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8D0F" w14:textId="77777777" w:rsidR="008A533B" w:rsidRDefault="00147827" w:rsidP="00C94CE2">
      <w:pPr>
        <w:spacing w:after="120" w:line="264" w:lineRule="auto"/>
        <w:rPr>
          <w:rFonts w:ascii="Times New Roman" w:hAnsi="Times New Roman" w:cs="Times New Roman"/>
          <w:noProof/>
          <w:lang w:eastAsia="en-GB"/>
        </w:rPr>
      </w:pPr>
      <w:r>
        <w:rPr>
          <w:rFonts w:ascii="Times New Roman" w:hAnsi="Times New Roman" w:cs="Times New Roman"/>
          <w:noProof/>
          <w:lang w:val="en-US"/>
        </w:rPr>
        <w:drawing>
          <wp:anchor distT="0" distB="0" distL="114300" distR="114300" simplePos="0" relativeHeight="251658240" behindDoc="1" locked="0" layoutInCell="1" allowOverlap="1" wp14:anchorId="3928D22D" wp14:editId="68C7E7EC">
            <wp:simplePos x="0" y="0"/>
            <wp:positionH relativeFrom="column">
              <wp:posOffset>-832022</wp:posOffset>
            </wp:positionH>
            <wp:positionV relativeFrom="paragraph">
              <wp:posOffset>3501</wp:posOffset>
            </wp:positionV>
            <wp:extent cx="7677150" cy="7613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WAVE.jpg"/>
                    <pic:cNvPicPr/>
                  </pic:nvPicPr>
                  <pic:blipFill>
                    <a:blip r:embed="rId8">
                      <a:extLst>
                        <a:ext uri="{28A0092B-C50C-407E-A947-70E740481C1C}">
                          <a14:useLocalDpi xmlns:a14="http://schemas.microsoft.com/office/drawing/2010/main" val="0"/>
                        </a:ext>
                      </a:extLst>
                    </a:blip>
                    <a:stretch>
                      <a:fillRect/>
                    </a:stretch>
                  </pic:blipFill>
                  <pic:spPr>
                    <a:xfrm>
                      <a:off x="0" y="0"/>
                      <a:ext cx="7677150" cy="7613115"/>
                    </a:xfrm>
                    <a:prstGeom prst="rect">
                      <a:avLst/>
                    </a:prstGeom>
                  </pic:spPr>
                </pic:pic>
              </a:graphicData>
            </a:graphic>
            <wp14:sizeRelH relativeFrom="margin">
              <wp14:pctWidth>0</wp14:pctWidth>
            </wp14:sizeRelH>
            <wp14:sizeRelV relativeFrom="margin">
              <wp14:pctHeight>0</wp14:pctHeight>
            </wp14:sizeRelV>
          </wp:anchor>
        </w:drawing>
      </w:r>
    </w:p>
    <w:p w14:paraId="13B930A6" w14:textId="77777777" w:rsidR="008A533B" w:rsidRDefault="008A533B" w:rsidP="00C94CE2">
      <w:pPr>
        <w:spacing w:after="120" w:line="264" w:lineRule="auto"/>
        <w:rPr>
          <w:rFonts w:ascii="Times New Roman" w:hAnsi="Times New Roman" w:cs="Times New Roman"/>
          <w:noProof/>
          <w:lang w:eastAsia="en-GB"/>
        </w:rPr>
      </w:pPr>
    </w:p>
    <w:p w14:paraId="428C0C9F" w14:textId="77777777" w:rsidR="008A533B" w:rsidRDefault="008A533B" w:rsidP="00C94CE2">
      <w:pPr>
        <w:spacing w:after="120" w:line="264" w:lineRule="auto"/>
        <w:rPr>
          <w:rFonts w:ascii="Times New Roman" w:hAnsi="Times New Roman" w:cs="Times New Roman"/>
          <w:noProof/>
          <w:lang w:eastAsia="en-GB"/>
        </w:rPr>
      </w:pPr>
    </w:p>
    <w:p w14:paraId="11CD1212" w14:textId="77777777" w:rsidR="00C94CE2" w:rsidRDefault="00C94CE2" w:rsidP="00C94CE2">
      <w:pPr>
        <w:spacing w:after="120" w:line="264" w:lineRule="auto"/>
        <w:rPr>
          <w:rFonts w:ascii="Times New Roman" w:hAnsi="Times New Roman" w:cs="Times New Roman"/>
        </w:rPr>
      </w:pPr>
    </w:p>
    <w:p w14:paraId="033AFC02" w14:textId="77777777" w:rsidR="008A533B" w:rsidRDefault="008A533B">
      <w:pPr>
        <w:spacing w:after="160" w:line="259" w:lineRule="auto"/>
        <w:rPr>
          <w:rFonts w:ascii="Times New Roman" w:hAnsi="Times New Roman" w:cs="Times New Roman"/>
        </w:rPr>
      </w:pPr>
    </w:p>
    <w:p w14:paraId="08E28670" w14:textId="77777777" w:rsidR="008A533B" w:rsidRDefault="008A533B">
      <w:pPr>
        <w:spacing w:after="160" w:line="259" w:lineRule="auto"/>
        <w:rPr>
          <w:rFonts w:ascii="Times New Roman" w:hAnsi="Times New Roman" w:cs="Times New Roman"/>
        </w:rPr>
      </w:pPr>
    </w:p>
    <w:p w14:paraId="754C2285" w14:textId="77777777" w:rsidR="008A533B" w:rsidRDefault="008A533B">
      <w:pPr>
        <w:spacing w:after="160" w:line="259" w:lineRule="auto"/>
        <w:rPr>
          <w:rFonts w:ascii="Times New Roman" w:hAnsi="Times New Roman" w:cs="Times New Roman"/>
        </w:rPr>
      </w:pPr>
    </w:p>
    <w:p w14:paraId="04D5431E" w14:textId="77777777" w:rsidR="008A533B" w:rsidRDefault="008A533B">
      <w:pPr>
        <w:spacing w:after="160" w:line="259" w:lineRule="auto"/>
        <w:rPr>
          <w:rFonts w:ascii="Times New Roman" w:hAnsi="Times New Roman" w:cs="Times New Roman"/>
        </w:rPr>
      </w:pPr>
    </w:p>
    <w:p w14:paraId="047C955E" w14:textId="77777777" w:rsidR="008A533B" w:rsidRDefault="008A533B">
      <w:pPr>
        <w:spacing w:after="160" w:line="259" w:lineRule="auto"/>
        <w:rPr>
          <w:rFonts w:ascii="Times New Roman" w:hAnsi="Times New Roman" w:cs="Times New Roman"/>
        </w:rPr>
      </w:pPr>
    </w:p>
    <w:p w14:paraId="3A7AE4DB" w14:textId="77777777" w:rsidR="008A533B" w:rsidRDefault="008A533B">
      <w:pPr>
        <w:spacing w:after="160" w:line="259" w:lineRule="auto"/>
        <w:rPr>
          <w:rFonts w:ascii="Times New Roman" w:hAnsi="Times New Roman" w:cs="Times New Roman"/>
        </w:rPr>
      </w:pPr>
    </w:p>
    <w:p w14:paraId="17AA77C2" w14:textId="77777777" w:rsidR="008A533B" w:rsidRDefault="008A533B">
      <w:pPr>
        <w:spacing w:after="160" w:line="259" w:lineRule="auto"/>
        <w:rPr>
          <w:rFonts w:ascii="Times New Roman" w:hAnsi="Times New Roman" w:cs="Times New Roman"/>
        </w:rPr>
      </w:pPr>
    </w:p>
    <w:p w14:paraId="01C10AEC" w14:textId="77777777" w:rsidR="008A533B" w:rsidRDefault="008A533B" w:rsidP="008A533B">
      <w:pPr>
        <w:spacing w:after="360" w:line="264" w:lineRule="auto"/>
        <w:jc w:val="center"/>
        <w:rPr>
          <w:rFonts w:ascii="Times New Roman" w:hAnsi="Times New Roman" w:cs="Times New Roman"/>
          <w:b/>
          <w:sz w:val="32"/>
          <w:szCs w:val="24"/>
        </w:rPr>
      </w:pPr>
      <w:r>
        <w:rPr>
          <w:rFonts w:ascii="Times New Roman" w:hAnsi="Times New Roman" w:cs="Times New Roman"/>
          <w:b/>
          <w:sz w:val="32"/>
          <w:szCs w:val="24"/>
        </w:rPr>
        <w:t>Cover note on</w:t>
      </w:r>
      <w:r w:rsidRPr="006F2CA5">
        <w:rPr>
          <w:rFonts w:ascii="Times New Roman" w:hAnsi="Times New Roman" w:cs="Times New Roman"/>
          <w:b/>
          <w:sz w:val="32"/>
          <w:szCs w:val="24"/>
        </w:rPr>
        <w:t xml:space="preserve"> output and result indicators</w:t>
      </w:r>
    </w:p>
    <w:p w14:paraId="65CCB11C" w14:textId="77777777" w:rsidR="008A533B" w:rsidRDefault="008A533B" w:rsidP="008A533B">
      <w:pPr>
        <w:spacing w:after="360" w:line="264" w:lineRule="auto"/>
        <w:jc w:val="center"/>
        <w:rPr>
          <w:rFonts w:ascii="Times New Roman" w:hAnsi="Times New Roman" w:cs="Times New Roman"/>
          <w:b/>
          <w:sz w:val="32"/>
          <w:szCs w:val="24"/>
        </w:rPr>
      </w:pPr>
    </w:p>
    <w:p w14:paraId="78B373E9" w14:textId="77777777" w:rsidR="008A533B" w:rsidRDefault="008A533B" w:rsidP="008A533B">
      <w:pPr>
        <w:spacing w:after="360" w:line="264" w:lineRule="auto"/>
        <w:jc w:val="center"/>
        <w:rPr>
          <w:rFonts w:ascii="Times New Roman" w:hAnsi="Times New Roman" w:cs="Times New Roman"/>
          <w:b/>
          <w:sz w:val="32"/>
          <w:szCs w:val="24"/>
        </w:rPr>
      </w:pPr>
    </w:p>
    <w:p w14:paraId="1772A257" w14:textId="77777777" w:rsidR="008A533B" w:rsidRDefault="008A533B" w:rsidP="008A533B">
      <w:pPr>
        <w:spacing w:after="360" w:line="264" w:lineRule="auto"/>
        <w:jc w:val="center"/>
        <w:rPr>
          <w:rFonts w:ascii="Times New Roman" w:hAnsi="Times New Roman" w:cs="Times New Roman"/>
          <w:b/>
          <w:sz w:val="32"/>
          <w:szCs w:val="24"/>
        </w:rPr>
      </w:pPr>
    </w:p>
    <w:p w14:paraId="23CA9E47" w14:textId="77777777" w:rsidR="008A533B" w:rsidRDefault="008A533B" w:rsidP="008A533B">
      <w:pPr>
        <w:spacing w:after="360" w:line="264" w:lineRule="auto"/>
        <w:jc w:val="center"/>
        <w:rPr>
          <w:rFonts w:ascii="Times New Roman" w:hAnsi="Times New Roman" w:cs="Times New Roman"/>
          <w:b/>
          <w:sz w:val="32"/>
          <w:szCs w:val="24"/>
        </w:rPr>
      </w:pPr>
    </w:p>
    <w:p w14:paraId="2F26C5E3" w14:textId="77777777" w:rsidR="003C2ED3" w:rsidRDefault="003C2ED3" w:rsidP="008A533B">
      <w:pPr>
        <w:spacing w:after="360" w:line="264" w:lineRule="auto"/>
        <w:jc w:val="center"/>
        <w:rPr>
          <w:rFonts w:ascii="Times New Roman" w:hAnsi="Times New Roman" w:cs="Times New Roman"/>
          <w:b/>
          <w:sz w:val="32"/>
          <w:szCs w:val="24"/>
        </w:rPr>
      </w:pPr>
    </w:p>
    <w:p w14:paraId="7D8262DD" w14:textId="77777777" w:rsidR="003C2ED3" w:rsidRDefault="003C2ED3" w:rsidP="008A533B">
      <w:pPr>
        <w:spacing w:after="360" w:line="264" w:lineRule="auto"/>
        <w:jc w:val="center"/>
        <w:rPr>
          <w:rFonts w:ascii="Times New Roman" w:hAnsi="Times New Roman" w:cs="Times New Roman"/>
          <w:b/>
          <w:sz w:val="32"/>
          <w:szCs w:val="24"/>
        </w:rPr>
      </w:pPr>
    </w:p>
    <w:p w14:paraId="0E17AA7B" w14:textId="77777777" w:rsidR="003C2ED3" w:rsidRDefault="003C2ED3" w:rsidP="008A533B">
      <w:pPr>
        <w:spacing w:after="360" w:line="264" w:lineRule="auto"/>
        <w:jc w:val="center"/>
        <w:rPr>
          <w:rFonts w:ascii="Times New Roman" w:hAnsi="Times New Roman" w:cs="Times New Roman"/>
          <w:b/>
          <w:sz w:val="32"/>
          <w:szCs w:val="24"/>
        </w:rPr>
      </w:pPr>
    </w:p>
    <w:p w14:paraId="3CF3DD44" w14:textId="5F27FA48" w:rsidR="008A533B" w:rsidRDefault="008A533B" w:rsidP="003C2ED3">
      <w:pPr>
        <w:spacing w:after="360" w:line="264" w:lineRule="auto"/>
        <w:rPr>
          <w:rFonts w:ascii="Times New Roman" w:hAnsi="Times New Roman" w:cs="Times New Roman"/>
        </w:rPr>
        <w:sectPr w:rsidR="008A53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Pr>
          <w:rFonts w:ascii="Times New Roman" w:hAnsi="Times New Roman" w:cs="Times New Roman"/>
          <w:sz w:val="24"/>
          <w:szCs w:val="24"/>
        </w:rPr>
        <w:t xml:space="preserve">Version </w:t>
      </w:r>
      <w:r w:rsidR="008571B0">
        <w:rPr>
          <w:rFonts w:ascii="Times New Roman" w:hAnsi="Times New Roman" w:cs="Times New Roman"/>
          <w:sz w:val="24"/>
          <w:szCs w:val="24"/>
        </w:rPr>
        <w:t>10.</w:t>
      </w:r>
      <w:r w:rsidR="00AE002F">
        <w:rPr>
          <w:rFonts w:ascii="Times New Roman" w:hAnsi="Times New Roman" w:cs="Times New Roman"/>
          <w:sz w:val="24"/>
          <w:szCs w:val="24"/>
        </w:rPr>
        <w:t>0</w:t>
      </w:r>
      <w:r w:rsidR="00032A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552C">
        <w:rPr>
          <w:rFonts w:ascii="Times New Roman" w:hAnsi="Times New Roman" w:cs="Times New Roman"/>
          <w:sz w:val="24"/>
          <w:szCs w:val="24"/>
        </w:rPr>
        <w:t>14</w:t>
      </w:r>
      <w:r w:rsidR="003F6CF3">
        <w:rPr>
          <w:rFonts w:ascii="Times New Roman" w:hAnsi="Times New Roman" w:cs="Times New Roman"/>
          <w:sz w:val="24"/>
          <w:szCs w:val="24"/>
        </w:rPr>
        <w:t>/</w:t>
      </w:r>
      <w:r w:rsidR="001B552C">
        <w:rPr>
          <w:rFonts w:ascii="Times New Roman" w:hAnsi="Times New Roman" w:cs="Times New Roman"/>
          <w:sz w:val="24"/>
          <w:szCs w:val="24"/>
        </w:rPr>
        <w:t>0</w:t>
      </w:r>
      <w:r w:rsidR="005F2467">
        <w:rPr>
          <w:rFonts w:ascii="Times New Roman" w:hAnsi="Times New Roman" w:cs="Times New Roman"/>
          <w:sz w:val="24"/>
          <w:szCs w:val="24"/>
        </w:rPr>
        <w:t>2</w:t>
      </w:r>
      <w:r w:rsidR="003F6CF3">
        <w:rPr>
          <w:rFonts w:ascii="Times New Roman" w:hAnsi="Times New Roman" w:cs="Times New Roman"/>
          <w:sz w:val="24"/>
          <w:szCs w:val="24"/>
        </w:rPr>
        <w:t>/</w:t>
      </w:r>
      <w:r>
        <w:rPr>
          <w:rFonts w:ascii="Times New Roman" w:hAnsi="Times New Roman" w:cs="Times New Roman"/>
          <w:sz w:val="24"/>
          <w:szCs w:val="24"/>
        </w:rPr>
        <w:t>202</w:t>
      </w:r>
      <w:r w:rsidR="001B552C">
        <w:rPr>
          <w:rFonts w:ascii="Times New Roman" w:hAnsi="Times New Roman" w:cs="Times New Roman"/>
          <w:sz w:val="24"/>
          <w:szCs w:val="24"/>
        </w:rPr>
        <w:t>3</w:t>
      </w:r>
    </w:p>
    <w:p w14:paraId="727C5676" w14:textId="77777777" w:rsidR="003C2ED3" w:rsidRDefault="003C2ED3" w:rsidP="003C2ED3">
      <w:pPr>
        <w:spacing w:after="120" w:line="264" w:lineRule="auto"/>
        <w:jc w:val="center"/>
        <w:rPr>
          <w:rFonts w:ascii="Times New Roman" w:hAnsi="Times New Roman" w:cs="Times New Roman"/>
          <w:b/>
          <w:sz w:val="20"/>
          <w:szCs w:val="20"/>
        </w:rPr>
      </w:pPr>
    </w:p>
    <w:p w14:paraId="270DE820" w14:textId="77777777" w:rsidR="003C2ED3" w:rsidRDefault="003C2ED3" w:rsidP="003C2ED3">
      <w:pPr>
        <w:spacing w:after="120" w:line="264" w:lineRule="auto"/>
        <w:jc w:val="center"/>
        <w:rPr>
          <w:rFonts w:ascii="Times New Roman" w:hAnsi="Times New Roman" w:cs="Times New Roman"/>
          <w:b/>
          <w:sz w:val="20"/>
          <w:szCs w:val="20"/>
        </w:rPr>
      </w:pPr>
    </w:p>
    <w:p w14:paraId="5B8EE5D2" w14:textId="77777777" w:rsidR="003C2ED3" w:rsidRDefault="003C2ED3" w:rsidP="003C2ED3">
      <w:pPr>
        <w:spacing w:after="120" w:line="264" w:lineRule="auto"/>
        <w:jc w:val="center"/>
        <w:rPr>
          <w:rFonts w:ascii="Times New Roman" w:hAnsi="Times New Roman" w:cs="Times New Roman"/>
          <w:b/>
          <w:sz w:val="20"/>
          <w:szCs w:val="20"/>
        </w:rPr>
      </w:pPr>
    </w:p>
    <w:p w14:paraId="14138D19" w14:textId="77777777" w:rsidR="003C2ED3" w:rsidRPr="003C2ED3" w:rsidRDefault="003C2ED3" w:rsidP="003C2ED3">
      <w:pPr>
        <w:spacing w:after="120" w:line="264" w:lineRule="auto"/>
        <w:rPr>
          <w:rFonts w:ascii="Times New Roman" w:hAnsi="Times New Roman" w:cs="Times New Roman"/>
          <w:b/>
          <w:sz w:val="20"/>
          <w:szCs w:val="20"/>
        </w:rPr>
      </w:pPr>
      <w:r w:rsidRPr="003C2ED3">
        <w:rPr>
          <w:rFonts w:ascii="Times New Roman" w:hAnsi="Times New Roman" w:cs="Times New Roman"/>
          <w:b/>
          <w:sz w:val="20"/>
          <w:szCs w:val="20"/>
        </w:rPr>
        <w:t>Disclaimer</w:t>
      </w:r>
    </w:p>
    <w:p w14:paraId="4D18A976" w14:textId="77777777" w:rsidR="003C2ED3" w:rsidRPr="003C2ED3" w:rsidRDefault="003C2ED3" w:rsidP="003C2ED3">
      <w:pPr>
        <w:spacing w:after="120" w:line="264" w:lineRule="auto"/>
        <w:jc w:val="both"/>
        <w:rPr>
          <w:rFonts w:ascii="Times New Roman" w:hAnsi="Times New Roman" w:cs="Times New Roman"/>
          <w:sz w:val="20"/>
          <w:szCs w:val="20"/>
        </w:rPr>
      </w:pPr>
      <w:r w:rsidRPr="003C2ED3">
        <w:rPr>
          <w:rFonts w:ascii="Times New Roman" w:hAnsi="Times New Roman" w:cs="Times New Roman"/>
          <w:sz w:val="20"/>
          <w:szCs w:val="20"/>
        </w:rPr>
        <w:t>This document is not a final document, as further adjustment may be needed after the adoption of the relevant delegated and implementing acts. The document has no legal binding value and does not bind the European Commission in relation to the future approval procedure.</w:t>
      </w:r>
    </w:p>
    <w:p w14:paraId="4629E23E" w14:textId="77777777" w:rsidR="003C2ED3" w:rsidRPr="003C2ED3" w:rsidRDefault="003C2ED3" w:rsidP="003C2ED3">
      <w:pPr>
        <w:rPr>
          <w:rFonts w:ascii="Times New Roman" w:hAnsi="Times New Roman" w:cs="Times New Roman"/>
          <w:sz w:val="20"/>
          <w:szCs w:val="20"/>
        </w:rPr>
      </w:pPr>
    </w:p>
    <w:p w14:paraId="4FD93E36" w14:textId="77777777" w:rsidR="003C2ED3" w:rsidRDefault="003C2ED3" w:rsidP="003C2ED3">
      <w:pPr>
        <w:rPr>
          <w:rFonts w:ascii="Times New Roman" w:hAnsi="Times New Roman" w:cs="Times New Roman"/>
          <w:sz w:val="20"/>
          <w:szCs w:val="20"/>
        </w:rPr>
      </w:pPr>
    </w:p>
    <w:p w14:paraId="5C3487B7" w14:textId="77777777" w:rsidR="003C2ED3" w:rsidRDefault="003C2ED3" w:rsidP="003C2ED3">
      <w:pPr>
        <w:rPr>
          <w:rFonts w:ascii="Times New Roman" w:hAnsi="Times New Roman" w:cs="Times New Roman"/>
          <w:sz w:val="20"/>
          <w:szCs w:val="20"/>
        </w:rPr>
      </w:pPr>
    </w:p>
    <w:p w14:paraId="6647591C" w14:textId="77777777" w:rsidR="003C2ED3" w:rsidRPr="003C2ED3" w:rsidRDefault="003C2ED3" w:rsidP="003C2ED3">
      <w:pPr>
        <w:rPr>
          <w:rFonts w:ascii="Times New Roman" w:hAnsi="Times New Roman" w:cs="Times New Roman"/>
          <w:sz w:val="20"/>
          <w:szCs w:val="20"/>
        </w:rPr>
      </w:pPr>
    </w:p>
    <w:p w14:paraId="5A327B02" w14:textId="77777777" w:rsidR="003C2ED3" w:rsidRPr="003C2ED3" w:rsidRDefault="003C2ED3" w:rsidP="003C2ED3">
      <w:pPr>
        <w:pStyle w:val="HeadingBody"/>
        <w:rPr>
          <w:rFonts w:ascii="Times New Roman" w:hAnsi="Times New Roman"/>
          <w:szCs w:val="20"/>
        </w:rPr>
      </w:pPr>
      <w:r w:rsidRPr="003C2ED3">
        <w:rPr>
          <w:rFonts w:ascii="Times New Roman" w:hAnsi="Times New Roman"/>
          <w:szCs w:val="20"/>
        </w:rPr>
        <w:t>EUROPEAN COMMISSION</w:t>
      </w:r>
    </w:p>
    <w:p w14:paraId="5DA5F4E2" w14:textId="77777777" w:rsidR="003C2ED3" w:rsidRPr="003C2ED3" w:rsidRDefault="003C2ED3" w:rsidP="003C2ED3">
      <w:pPr>
        <w:spacing w:after="0"/>
        <w:rPr>
          <w:rFonts w:ascii="Times New Roman" w:hAnsi="Times New Roman" w:cs="Times New Roman"/>
          <w:sz w:val="20"/>
          <w:szCs w:val="20"/>
        </w:rPr>
      </w:pPr>
      <w:r w:rsidRPr="003C2ED3">
        <w:rPr>
          <w:rFonts w:ascii="Times New Roman" w:hAnsi="Times New Roman" w:cs="Times New Roman"/>
          <w:sz w:val="20"/>
          <w:szCs w:val="20"/>
        </w:rPr>
        <w:t>Directorate-General for Agriculture and Rural Development</w:t>
      </w:r>
    </w:p>
    <w:p w14:paraId="42B0774A" w14:textId="77777777" w:rsidR="003C2ED3" w:rsidRPr="003C2ED3" w:rsidRDefault="003C2ED3" w:rsidP="003C2ED3">
      <w:pPr>
        <w:spacing w:after="0"/>
        <w:rPr>
          <w:rFonts w:ascii="Times New Roman" w:hAnsi="Times New Roman" w:cs="Times New Roman"/>
          <w:sz w:val="20"/>
          <w:szCs w:val="20"/>
        </w:rPr>
      </w:pPr>
      <w:r w:rsidRPr="003C2ED3">
        <w:rPr>
          <w:rFonts w:ascii="Times New Roman" w:hAnsi="Times New Roman" w:cs="Times New Roman"/>
          <w:sz w:val="20"/>
          <w:szCs w:val="20"/>
        </w:rPr>
        <w:t xml:space="preserve">Directorate A – Strategy and Policy Analysis </w:t>
      </w:r>
    </w:p>
    <w:p w14:paraId="06DD2F06" w14:textId="77777777" w:rsidR="003C2ED3" w:rsidRPr="003C2ED3" w:rsidRDefault="003C2ED3" w:rsidP="003C2ED3">
      <w:pPr>
        <w:spacing w:after="120"/>
        <w:rPr>
          <w:rFonts w:ascii="Times New Roman" w:hAnsi="Times New Roman" w:cs="Times New Roman"/>
          <w:i/>
          <w:color w:val="FF0000"/>
          <w:sz w:val="20"/>
          <w:szCs w:val="20"/>
        </w:rPr>
      </w:pPr>
      <w:r w:rsidRPr="003C2ED3">
        <w:rPr>
          <w:rFonts w:ascii="Times New Roman" w:hAnsi="Times New Roman" w:cs="Times New Roman"/>
          <w:sz w:val="20"/>
          <w:szCs w:val="20"/>
        </w:rPr>
        <w:t xml:space="preserve">Unit A3 – Policy performance </w:t>
      </w:r>
    </w:p>
    <w:p w14:paraId="6E61A430" w14:textId="77777777" w:rsidR="003C2ED3" w:rsidRPr="003C2ED3" w:rsidRDefault="003C2ED3" w:rsidP="003C2ED3">
      <w:pPr>
        <w:pStyle w:val="DocumentSubtitle"/>
        <w:tabs>
          <w:tab w:val="left" w:pos="4536"/>
        </w:tabs>
        <w:spacing w:after="120"/>
        <w:jc w:val="left"/>
        <w:rPr>
          <w:rFonts w:ascii="Times New Roman" w:hAnsi="Times New Roman"/>
          <w:sz w:val="20"/>
          <w:szCs w:val="20"/>
        </w:rPr>
      </w:pPr>
    </w:p>
    <w:p w14:paraId="32E4A951" w14:textId="77777777" w:rsidR="003C2ED3" w:rsidRPr="003C2ED3" w:rsidRDefault="003C2ED3" w:rsidP="003C2ED3">
      <w:pPr>
        <w:pStyle w:val="DocumentSubtitle"/>
        <w:tabs>
          <w:tab w:val="left" w:pos="4536"/>
        </w:tabs>
        <w:spacing w:after="120"/>
        <w:jc w:val="left"/>
        <w:rPr>
          <w:rFonts w:ascii="Times New Roman" w:hAnsi="Times New Roman"/>
          <w:i w:val="0"/>
          <w:sz w:val="20"/>
          <w:szCs w:val="20"/>
        </w:rPr>
      </w:pPr>
      <w:bookmarkStart w:id="0" w:name="_Toc126762201"/>
      <w:r w:rsidRPr="003C2ED3">
        <w:rPr>
          <w:rFonts w:ascii="Times New Roman" w:hAnsi="Times New Roman"/>
          <w:sz w:val="20"/>
          <w:szCs w:val="20"/>
        </w:rPr>
        <w:t>Contact dissemination: Unit A.3 – Policy Performance</w:t>
      </w:r>
      <w:bookmarkEnd w:id="0"/>
    </w:p>
    <w:p w14:paraId="09406737" w14:textId="77777777" w:rsidR="003C2ED3" w:rsidRPr="003C2ED3" w:rsidRDefault="003C2ED3" w:rsidP="003C2ED3">
      <w:pPr>
        <w:tabs>
          <w:tab w:val="left" w:pos="709"/>
        </w:tabs>
        <w:spacing w:after="120"/>
        <w:ind w:left="709" w:hanging="709"/>
        <w:rPr>
          <w:rFonts w:ascii="Times New Roman" w:hAnsi="Times New Roman" w:cs="Times New Roman"/>
          <w:i/>
          <w:color w:val="FF0000"/>
          <w:sz w:val="20"/>
          <w:szCs w:val="20"/>
        </w:rPr>
      </w:pPr>
      <w:r w:rsidRPr="003C2ED3">
        <w:rPr>
          <w:rFonts w:ascii="Times New Roman" w:hAnsi="Times New Roman" w:cs="Times New Roman"/>
          <w:i/>
          <w:sz w:val="20"/>
          <w:szCs w:val="20"/>
        </w:rPr>
        <w:t>E-mail:</w:t>
      </w:r>
      <w:r w:rsidRPr="003C2ED3">
        <w:rPr>
          <w:rFonts w:ascii="Times New Roman" w:hAnsi="Times New Roman" w:cs="Times New Roman"/>
          <w:i/>
          <w:sz w:val="20"/>
          <w:szCs w:val="20"/>
        </w:rPr>
        <w:tab/>
      </w:r>
      <w:hyperlink r:id="rId15" w:history="1">
        <w:r w:rsidRPr="003C2ED3">
          <w:rPr>
            <w:rStyle w:val="Hyperlink"/>
            <w:rFonts w:ascii="Times New Roman" w:hAnsi="Times New Roman" w:cs="Times New Roman"/>
            <w:sz w:val="20"/>
            <w:szCs w:val="20"/>
          </w:rPr>
          <w:t>AGRI-EVALUATION@ec.europa.eu</w:t>
        </w:r>
      </w:hyperlink>
    </w:p>
    <w:p w14:paraId="06C453D8" w14:textId="77777777" w:rsidR="003C2ED3" w:rsidRPr="003C2ED3" w:rsidRDefault="003C2ED3" w:rsidP="003C2ED3">
      <w:pPr>
        <w:tabs>
          <w:tab w:val="left" w:pos="709"/>
        </w:tabs>
        <w:spacing w:after="120"/>
        <w:ind w:left="709" w:hanging="709"/>
        <w:rPr>
          <w:rFonts w:ascii="Times New Roman" w:hAnsi="Times New Roman" w:cs="Times New Roman"/>
          <w:sz w:val="20"/>
          <w:szCs w:val="20"/>
        </w:rPr>
      </w:pPr>
    </w:p>
    <w:p w14:paraId="34D1350D" w14:textId="77777777" w:rsidR="003C2ED3" w:rsidRPr="003C2ED3" w:rsidRDefault="003C2ED3" w:rsidP="003C2ED3">
      <w:pPr>
        <w:spacing w:after="0"/>
        <w:rPr>
          <w:rStyle w:val="BodyChar"/>
          <w:rFonts w:ascii="Times New Roman" w:hAnsi="Times New Roman"/>
          <w:sz w:val="20"/>
          <w:szCs w:val="20"/>
        </w:rPr>
      </w:pPr>
      <w:r w:rsidRPr="003C2ED3">
        <w:rPr>
          <w:rFonts w:ascii="Times New Roman" w:hAnsi="Times New Roman" w:cs="Times New Roman"/>
          <w:i/>
          <w:sz w:val="20"/>
          <w:szCs w:val="20"/>
        </w:rPr>
        <w:t>European Commission</w:t>
      </w:r>
      <w:r w:rsidRPr="003C2ED3">
        <w:rPr>
          <w:rFonts w:ascii="Times New Roman" w:hAnsi="Times New Roman" w:cs="Times New Roman"/>
          <w:i/>
          <w:sz w:val="20"/>
          <w:szCs w:val="20"/>
        </w:rPr>
        <w:br/>
        <w:t>B-1049 Brussels</w:t>
      </w:r>
    </w:p>
    <w:p w14:paraId="58ECF44F" w14:textId="77777777" w:rsidR="003C2ED3" w:rsidRPr="003C2ED3" w:rsidRDefault="003C2ED3" w:rsidP="003C2ED3">
      <w:pPr>
        <w:rPr>
          <w:rFonts w:ascii="Times New Roman" w:hAnsi="Times New Roman" w:cs="Times New Roman"/>
          <w:sz w:val="20"/>
          <w:szCs w:val="20"/>
        </w:rPr>
      </w:pPr>
    </w:p>
    <w:p w14:paraId="15656A92" w14:textId="77777777" w:rsidR="003C2ED3" w:rsidRDefault="003C2ED3" w:rsidP="003C2ED3">
      <w:pPr>
        <w:rPr>
          <w:rFonts w:ascii="Times New Roman" w:hAnsi="Times New Roman" w:cs="Times New Roman"/>
          <w:sz w:val="20"/>
          <w:szCs w:val="20"/>
        </w:rPr>
      </w:pPr>
    </w:p>
    <w:p w14:paraId="6EB61DC8" w14:textId="77777777" w:rsidR="003C2ED3" w:rsidRDefault="003C2ED3" w:rsidP="003C2ED3">
      <w:pPr>
        <w:rPr>
          <w:rFonts w:ascii="Times New Roman" w:hAnsi="Times New Roman" w:cs="Times New Roman"/>
          <w:sz w:val="20"/>
          <w:szCs w:val="20"/>
        </w:rPr>
      </w:pPr>
    </w:p>
    <w:p w14:paraId="5BA16B14" w14:textId="77777777" w:rsidR="003C2ED3" w:rsidRDefault="003C2ED3" w:rsidP="003C2ED3">
      <w:pPr>
        <w:rPr>
          <w:rFonts w:ascii="Times New Roman" w:hAnsi="Times New Roman" w:cs="Times New Roman"/>
          <w:sz w:val="20"/>
          <w:szCs w:val="20"/>
        </w:rPr>
      </w:pPr>
    </w:p>
    <w:p w14:paraId="5A95CDFB" w14:textId="77777777" w:rsidR="003C2ED3" w:rsidRDefault="003C2ED3" w:rsidP="003C2ED3">
      <w:pPr>
        <w:rPr>
          <w:rFonts w:ascii="Times New Roman" w:hAnsi="Times New Roman" w:cs="Times New Roman"/>
          <w:sz w:val="20"/>
          <w:szCs w:val="20"/>
        </w:rPr>
      </w:pPr>
    </w:p>
    <w:p w14:paraId="400C0FB8" w14:textId="77777777" w:rsidR="003C2ED3" w:rsidRDefault="003C2ED3" w:rsidP="003C2ED3">
      <w:pPr>
        <w:rPr>
          <w:rFonts w:ascii="Times New Roman" w:hAnsi="Times New Roman" w:cs="Times New Roman"/>
          <w:sz w:val="20"/>
          <w:szCs w:val="20"/>
        </w:rPr>
      </w:pPr>
    </w:p>
    <w:p w14:paraId="29C3D126" w14:textId="77777777" w:rsidR="003C2ED3" w:rsidRDefault="003C2ED3" w:rsidP="003C2ED3">
      <w:pPr>
        <w:rPr>
          <w:rFonts w:ascii="Times New Roman" w:hAnsi="Times New Roman" w:cs="Times New Roman"/>
          <w:sz w:val="20"/>
          <w:szCs w:val="20"/>
        </w:rPr>
      </w:pPr>
    </w:p>
    <w:p w14:paraId="583B6756" w14:textId="77777777" w:rsidR="003C2ED3" w:rsidRDefault="003C2ED3" w:rsidP="003C2ED3">
      <w:pPr>
        <w:rPr>
          <w:rFonts w:ascii="Times New Roman" w:hAnsi="Times New Roman" w:cs="Times New Roman"/>
          <w:sz w:val="20"/>
          <w:szCs w:val="20"/>
        </w:rPr>
      </w:pPr>
    </w:p>
    <w:p w14:paraId="79F8217C" w14:textId="77777777" w:rsidR="003C2ED3" w:rsidRPr="003C2ED3" w:rsidRDefault="003C2ED3" w:rsidP="003C2ED3">
      <w:pPr>
        <w:rPr>
          <w:rFonts w:ascii="Times New Roman" w:hAnsi="Times New Roman" w:cs="Times New Roman"/>
          <w:sz w:val="20"/>
          <w:szCs w:val="20"/>
        </w:rPr>
      </w:pPr>
    </w:p>
    <w:p w14:paraId="3F298AAF" w14:textId="77777777" w:rsidR="003C2ED3" w:rsidRPr="003C2ED3" w:rsidRDefault="003C2ED3" w:rsidP="003C2ED3">
      <w:pPr>
        <w:spacing w:after="0"/>
        <w:rPr>
          <w:rFonts w:ascii="Times New Roman" w:hAnsi="Times New Roman" w:cs="Times New Roman"/>
          <w:sz w:val="20"/>
          <w:szCs w:val="20"/>
        </w:rPr>
      </w:pPr>
      <w:r w:rsidRPr="003C2ED3">
        <w:rPr>
          <w:rFonts w:ascii="Times New Roman" w:hAnsi="Times New Roman" w:cs="Times New Roman"/>
          <w:sz w:val="20"/>
          <w:szCs w:val="20"/>
        </w:rPr>
        <w:t>© European Union, 2022</w:t>
      </w:r>
    </w:p>
    <w:p w14:paraId="37BA2022" w14:textId="77777777" w:rsidR="003C2ED3" w:rsidRPr="006B10B4" w:rsidRDefault="003C2ED3" w:rsidP="003C2ED3">
      <w:pPr>
        <w:rPr>
          <w:rFonts w:ascii="Verdana" w:hAnsi="Verdana"/>
          <w:sz w:val="20"/>
          <w:szCs w:val="20"/>
        </w:rPr>
      </w:pPr>
      <w:r w:rsidRPr="003C2ED3">
        <w:rPr>
          <w:rFonts w:ascii="Times New Roman" w:hAnsi="Times New Roman" w:cs="Times New Roman"/>
          <w:sz w:val="20"/>
          <w:szCs w:val="20"/>
        </w:rPr>
        <w:t>Reproduction is authorised provided the source is acknowledged</w:t>
      </w:r>
      <w:r w:rsidRPr="006B10B4">
        <w:rPr>
          <w:rFonts w:ascii="Verdana" w:hAnsi="Verdana"/>
          <w:sz w:val="20"/>
          <w:szCs w:val="20"/>
        </w:rPr>
        <w:t>.</w:t>
      </w:r>
    </w:p>
    <w:p w14:paraId="7A6F99E8" w14:textId="77777777" w:rsidR="003C2ED3" w:rsidRDefault="003C2ED3" w:rsidP="003C2ED3">
      <w:pPr>
        <w:rPr>
          <w:rFonts w:ascii="Verdana" w:hAnsi="Verdana"/>
          <w:sz w:val="20"/>
          <w:szCs w:val="20"/>
        </w:rPr>
        <w:sectPr w:rsidR="003C2ED3">
          <w:headerReference w:type="default" r:id="rId16"/>
          <w:footerReference w:type="default" r:id="rId17"/>
          <w:pgSz w:w="12240" w:h="15840"/>
          <w:pgMar w:top="1440" w:right="1440" w:bottom="1440" w:left="1440" w:header="708" w:footer="708" w:gutter="0"/>
          <w:cols w:space="708"/>
          <w:docGrid w:linePitch="360"/>
        </w:sectPr>
      </w:pPr>
    </w:p>
    <w:p w14:paraId="26704627" w14:textId="77777777" w:rsidR="003C2ED3" w:rsidRPr="006B10B4" w:rsidRDefault="003C2ED3" w:rsidP="003C2ED3">
      <w:pPr>
        <w:rPr>
          <w:rFonts w:ascii="Verdana" w:hAnsi="Verdana"/>
          <w:sz w:val="20"/>
          <w:szCs w:val="20"/>
        </w:rPr>
      </w:pPr>
    </w:p>
    <w:sdt>
      <w:sdtPr>
        <w:rPr>
          <w:rFonts w:ascii="Times New Roman" w:eastAsiaTheme="minorHAnsi" w:hAnsi="Times New Roman" w:cs="Times New Roman"/>
          <w:color w:val="auto"/>
          <w:sz w:val="22"/>
          <w:szCs w:val="22"/>
          <w:lang w:val="en-GB"/>
        </w:rPr>
        <w:id w:val="983036590"/>
        <w:docPartObj>
          <w:docPartGallery w:val="Table of Contents"/>
          <w:docPartUnique/>
        </w:docPartObj>
      </w:sdtPr>
      <w:sdtEndPr>
        <w:rPr>
          <w:sz w:val="24"/>
          <w:szCs w:val="24"/>
        </w:rPr>
      </w:sdtEndPr>
      <w:sdtContent>
        <w:p w14:paraId="3C401D29" w14:textId="77777777" w:rsidR="00F8638D" w:rsidRPr="00213B05" w:rsidRDefault="00AC1DA5" w:rsidP="00A82615">
          <w:pPr>
            <w:pStyle w:val="TOCHeading"/>
            <w:spacing w:before="0" w:after="120" w:line="264" w:lineRule="auto"/>
            <w:rPr>
              <w:rFonts w:ascii="Times New Roman" w:hAnsi="Times New Roman" w:cs="Times New Roman"/>
              <w:color w:val="C45911" w:themeColor="accent2" w:themeShade="BF"/>
            </w:rPr>
          </w:pPr>
          <w:r w:rsidRPr="00213B05">
            <w:rPr>
              <w:rFonts w:ascii="Times New Roman" w:hAnsi="Times New Roman" w:cs="Times New Roman"/>
              <w:color w:val="C45911" w:themeColor="accent2" w:themeShade="BF"/>
            </w:rPr>
            <w:t>Table of c</w:t>
          </w:r>
          <w:r w:rsidR="00F8638D" w:rsidRPr="00213B05">
            <w:rPr>
              <w:rFonts w:ascii="Times New Roman" w:hAnsi="Times New Roman" w:cs="Times New Roman"/>
              <w:color w:val="C45911" w:themeColor="accent2" w:themeShade="BF"/>
            </w:rPr>
            <w:t>ontents</w:t>
          </w:r>
        </w:p>
        <w:p w14:paraId="2D5DF44D" w14:textId="0127DA81" w:rsidR="00653876" w:rsidRDefault="00F8638D" w:rsidP="00EE04BF">
          <w:pPr>
            <w:pStyle w:val="TOC1"/>
            <w:rPr>
              <w:rFonts w:eastAsiaTheme="minorEastAsia"/>
              <w:noProof/>
              <w:lang w:eastAsia="en-GB"/>
            </w:rPr>
          </w:pPr>
          <w:r w:rsidRPr="00213B05">
            <w:rPr>
              <w:rFonts w:cs="Times New Roman"/>
              <w:color w:val="C45911" w:themeColor="accent2" w:themeShade="BF"/>
              <w:sz w:val="24"/>
              <w:szCs w:val="24"/>
            </w:rPr>
            <w:fldChar w:fldCharType="begin"/>
          </w:r>
          <w:r w:rsidRPr="00213B05">
            <w:rPr>
              <w:rFonts w:cs="Times New Roman"/>
              <w:color w:val="C45911" w:themeColor="accent2" w:themeShade="BF"/>
              <w:sz w:val="24"/>
              <w:szCs w:val="24"/>
            </w:rPr>
            <w:instrText xml:space="preserve"> TOC \o "1-3" \h \z \u </w:instrText>
          </w:r>
          <w:r w:rsidRPr="00213B05">
            <w:rPr>
              <w:rFonts w:cs="Times New Roman"/>
              <w:color w:val="C45911" w:themeColor="accent2" w:themeShade="BF"/>
              <w:sz w:val="24"/>
              <w:szCs w:val="24"/>
            </w:rPr>
            <w:fldChar w:fldCharType="separate"/>
          </w:r>
          <w:hyperlink w:anchor="_Toc126762201" w:history="1">
            <w:r w:rsidR="00653876" w:rsidRPr="004534E7">
              <w:rPr>
                <w:rStyle w:val="Hyperlink"/>
                <w:rFonts w:ascii="Times New Roman" w:hAnsi="Times New Roman"/>
                <w:noProof/>
              </w:rPr>
              <w:t>Contact dissemination: Unit A.3 – Policy Performance</w:t>
            </w:r>
            <w:r w:rsidR="00653876">
              <w:rPr>
                <w:noProof/>
                <w:webHidden/>
              </w:rPr>
              <w:tab/>
            </w:r>
            <w:r w:rsidR="00653876">
              <w:rPr>
                <w:noProof/>
                <w:webHidden/>
              </w:rPr>
              <w:fldChar w:fldCharType="begin"/>
            </w:r>
            <w:r w:rsidR="00653876">
              <w:rPr>
                <w:noProof/>
                <w:webHidden/>
              </w:rPr>
              <w:instrText xml:space="preserve"> PAGEREF _Toc126762201 \h </w:instrText>
            </w:r>
            <w:r w:rsidR="00653876">
              <w:rPr>
                <w:noProof/>
                <w:webHidden/>
              </w:rPr>
            </w:r>
            <w:r w:rsidR="00653876">
              <w:rPr>
                <w:noProof/>
                <w:webHidden/>
              </w:rPr>
              <w:fldChar w:fldCharType="separate"/>
            </w:r>
            <w:r w:rsidR="00E7176D">
              <w:rPr>
                <w:noProof/>
                <w:webHidden/>
              </w:rPr>
              <w:t>2</w:t>
            </w:r>
            <w:r w:rsidR="00653876">
              <w:rPr>
                <w:noProof/>
                <w:webHidden/>
              </w:rPr>
              <w:fldChar w:fldCharType="end"/>
            </w:r>
          </w:hyperlink>
        </w:p>
        <w:p w14:paraId="0871F5D5" w14:textId="6E21778B" w:rsidR="00653876" w:rsidRDefault="00E87318" w:rsidP="00EE04BF">
          <w:pPr>
            <w:pStyle w:val="TOC1"/>
            <w:rPr>
              <w:rFonts w:eastAsiaTheme="minorEastAsia"/>
              <w:noProof/>
              <w:lang w:eastAsia="en-GB"/>
            </w:rPr>
          </w:pPr>
          <w:hyperlink w:anchor="_Toc126762202" w:history="1">
            <w:r w:rsidR="00653876" w:rsidRPr="004534E7">
              <w:rPr>
                <w:rStyle w:val="Hyperlink"/>
                <w:rFonts w:ascii="Times New Roman" w:hAnsi="Times New Roman" w:cs="Times New Roman"/>
                <w:noProof/>
              </w:rPr>
              <w:t>2</w:t>
            </w:r>
            <w:r w:rsidR="00653876">
              <w:rPr>
                <w:rFonts w:eastAsiaTheme="minorEastAsia"/>
                <w:noProof/>
                <w:lang w:eastAsia="en-GB"/>
              </w:rPr>
              <w:tab/>
            </w:r>
            <w:r w:rsidR="00653876" w:rsidRPr="004534E7">
              <w:rPr>
                <w:rStyle w:val="Hyperlink"/>
                <w:rFonts w:ascii="Times New Roman" w:hAnsi="Times New Roman" w:cs="Times New Roman"/>
                <w:noProof/>
              </w:rPr>
              <w:t>Output indicators</w:t>
            </w:r>
            <w:r w:rsidR="00653876">
              <w:rPr>
                <w:noProof/>
                <w:webHidden/>
              </w:rPr>
              <w:tab/>
            </w:r>
            <w:r w:rsidR="00653876">
              <w:rPr>
                <w:noProof/>
                <w:webHidden/>
              </w:rPr>
              <w:fldChar w:fldCharType="begin"/>
            </w:r>
            <w:r w:rsidR="00653876">
              <w:rPr>
                <w:noProof/>
                <w:webHidden/>
              </w:rPr>
              <w:instrText xml:space="preserve"> PAGEREF _Toc126762202 \h </w:instrText>
            </w:r>
            <w:r w:rsidR="00653876">
              <w:rPr>
                <w:noProof/>
                <w:webHidden/>
              </w:rPr>
            </w:r>
            <w:r w:rsidR="00653876">
              <w:rPr>
                <w:noProof/>
                <w:webHidden/>
              </w:rPr>
              <w:fldChar w:fldCharType="separate"/>
            </w:r>
            <w:r w:rsidR="00E7176D">
              <w:rPr>
                <w:noProof/>
                <w:webHidden/>
              </w:rPr>
              <w:t>2</w:t>
            </w:r>
            <w:r w:rsidR="00653876">
              <w:rPr>
                <w:noProof/>
                <w:webHidden/>
              </w:rPr>
              <w:fldChar w:fldCharType="end"/>
            </w:r>
          </w:hyperlink>
        </w:p>
        <w:p w14:paraId="16F0A746" w14:textId="71811DFB" w:rsidR="00653876" w:rsidRDefault="00E87318">
          <w:pPr>
            <w:pStyle w:val="TOC2"/>
            <w:tabs>
              <w:tab w:val="left" w:pos="880"/>
              <w:tab w:val="right" w:leader="dot" w:pos="9350"/>
            </w:tabs>
            <w:rPr>
              <w:rFonts w:eastAsiaTheme="minorEastAsia"/>
              <w:noProof/>
              <w:lang w:eastAsia="en-GB"/>
            </w:rPr>
          </w:pPr>
          <w:hyperlink w:anchor="_Toc126762203" w:history="1">
            <w:r w:rsidR="00653876" w:rsidRPr="004534E7">
              <w:rPr>
                <w:rStyle w:val="Hyperlink"/>
                <w:rFonts w:ascii="Times New Roman" w:hAnsi="Times New Roman" w:cs="Times New Roman"/>
                <w:noProof/>
              </w:rPr>
              <w:t>2.1</w:t>
            </w:r>
            <w:r w:rsidR="00653876">
              <w:rPr>
                <w:rFonts w:eastAsiaTheme="minorEastAsia"/>
                <w:noProof/>
                <w:lang w:eastAsia="en-GB"/>
              </w:rPr>
              <w:tab/>
            </w:r>
            <w:r w:rsidR="00653876" w:rsidRPr="004534E7">
              <w:rPr>
                <w:rStyle w:val="Hyperlink"/>
                <w:rFonts w:ascii="Times New Roman" w:hAnsi="Times New Roman" w:cs="Times New Roman"/>
                <w:noProof/>
              </w:rPr>
              <w:t>General principles for output indicators</w:t>
            </w:r>
            <w:r w:rsidR="00653876">
              <w:rPr>
                <w:noProof/>
                <w:webHidden/>
              </w:rPr>
              <w:tab/>
            </w:r>
            <w:r w:rsidR="00653876">
              <w:rPr>
                <w:noProof/>
                <w:webHidden/>
              </w:rPr>
              <w:fldChar w:fldCharType="begin"/>
            </w:r>
            <w:r w:rsidR="00653876">
              <w:rPr>
                <w:noProof/>
                <w:webHidden/>
              </w:rPr>
              <w:instrText xml:space="preserve"> PAGEREF _Toc126762203 \h </w:instrText>
            </w:r>
            <w:r w:rsidR="00653876">
              <w:rPr>
                <w:noProof/>
                <w:webHidden/>
              </w:rPr>
            </w:r>
            <w:r w:rsidR="00653876">
              <w:rPr>
                <w:noProof/>
                <w:webHidden/>
              </w:rPr>
              <w:fldChar w:fldCharType="separate"/>
            </w:r>
            <w:r w:rsidR="00E7176D">
              <w:rPr>
                <w:noProof/>
                <w:webHidden/>
              </w:rPr>
              <w:t>2</w:t>
            </w:r>
            <w:r w:rsidR="00653876">
              <w:rPr>
                <w:noProof/>
                <w:webHidden/>
              </w:rPr>
              <w:fldChar w:fldCharType="end"/>
            </w:r>
          </w:hyperlink>
        </w:p>
        <w:p w14:paraId="294DF96E" w14:textId="0FB5C268" w:rsidR="00653876" w:rsidRDefault="00E87318">
          <w:pPr>
            <w:pStyle w:val="TOC2"/>
            <w:tabs>
              <w:tab w:val="left" w:pos="880"/>
              <w:tab w:val="right" w:leader="dot" w:pos="9350"/>
            </w:tabs>
            <w:rPr>
              <w:rFonts w:eastAsiaTheme="minorEastAsia"/>
              <w:noProof/>
              <w:lang w:eastAsia="en-GB"/>
            </w:rPr>
          </w:pPr>
          <w:hyperlink w:anchor="_Toc126762204" w:history="1">
            <w:r w:rsidR="00653876" w:rsidRPr="004534E7">
              <w:rPr>
                <w:rStyle w:val="Hyperlink"/>
                <w:rFonts w:ascii="Times New Roman" w:hAnsi="Times New Roman" w:cs="Times New Roman"/>
                <w:noProof/>
              </w:rPr>
              <w:t>2.2</w:t>
            </w:r>
            <w:r w:rsidR="00653876">
              <w:rPr>
                <w:rFonts w:eastAsiaTheme="minorEastAsia"/>
                <w:noProof/>
                <w:lang w:eastAsia="en-GB"/>
              </w:rPr>
              <w:tab/>
            </w:r>
            <w:r w:rsidR="00653876" w:rsidRPr="004534E7">
              <w:rPr>
                <w:rStyle w:val="Hyperlink"/>
                <w:rFonts w:ascii="Times New Roman" w:hAnsi="Times New Roman" w:cs="Times New Roman"/>
                <w:noProof/>
              </w:rPr>
              <w:t>Unit of measurement for output indicators</w:t>
            </w:r>
            <w:r w:rsidR="00653876">
              <w:rPr>
                <w:noProof/>
                <w:webHidden/>
              </w:rPr>
              <w:tab/>
            </w:r>
            <w:r w:rsidR="00653876">
              <w:rPr>
                <w:noProof/>
                <w:webHidden/>
              </w:rPr>
              <w:fldChar w:fldCharType="begin"/>
            </w:r>
            <w:r w:rsidR="00653876">
              <w:rPr>
                <w:noProof/>
                <w:webHidden/>
              </w:rPr>
              <w:instrText xml:space="preserve"> PAGEREF _Toc126762204 \h </w:instrText>
            </w:r>
            <w:r w:rsidR="00653876">
              <w:rPr>
                <w:noProof/>
                <w:webHidden/>
              </w:rPr>
            </w:r>
            <w:r w:rsidR="00653876">
              <w:rPr>
                <w:noProof/>
                <w:webHidden/>
              </w:rPr>
              <w:fldChar w:fldCharType="separate"/>
            </w:r>
            <w:r w:rsidR="00E7176D">
              <w:rPr>
                <w:noProof/>
                <w:webHidden/>
              </w:rPr>
              <w:t>2</w:t>
            </w:r>
            <w:r w:rsidR="00653876">
              <w:rPr>
                <w:noProof/>
                <w:webHidden/>
              </w:rPr>
              <w:fldChar w:fldCharType="end"/>
            </w:r>
          </w:hyperlink>
        </w:p>
        <w:p w14:paraId="2F66B200" w14:textId="6D811CDC" w:rsidR="00653876" w:rsidRDefault="00E87318">
          <w:pPr>
            <w:pStyle w:val="TOC2"/>
            <w:tabs>
              <w:tab w:val="left" w:pos="880"/>
              <w:tab w:val="right" w:leader="dot" w:pos="9350"/>
            </w:tabs>
            <w:rPr>
              <w:rFonts w:eastAsiaTheme="minorEastAsia"/>
              <w:noProof/>
              <w:lang w:eastAsia="en-GB"/>
            </w:rPr>
          </w:pPr>
          <w:hyperlink w:anchor="_Toc126762205" w:history="1">
            <w:r w:rsidR="00653876" w:rsidRPr="004534E7">
              <w:rPr>
                <w:rStyle w:val="Hyperlink"/>
                <w:rFonts w:ascii="Times New Roman" w:hAnsi="Times New Roman" w:cs="Times New Roman"/>
                <w:noProof/>
              </w:rPr>
              <w:t>2.3</w:t>
            </w:r>
            <w:r w:rsidR="00653876">
              <w:rPr>
                <w:rFonts w:eastAsiaTheme="minorEastAsia"/>
                <w:noProof/>
                <w:lang w:eastAsia="en-GB"/>
              </w:rPr>
              <w:tab/>
            </w:r>
            <w:r w:rsidR="00653876" w:rsidRPr="004534E7">
              <w:rPr>
                <w:rStyle w:val="Hyperlink"/>
                <w:rFonts w:ascii="Times New Roman" w:hAnsi="Times New Roman" w:cs="Times New Roman"/>
                <w:noProof/>
              </w:rPr>
              <w:t>Output indicators to be used for performance clearance</w:t>
            </w:r>
            <w:r w:rsidR="00653876">
              <w:rPr>
                <w:noProof/>
                <w:webHidden/>
              </w:rPr>
              <w:tab/>
            </w:r>
            <w:r w:rsidR="00653876">
              <w:rPr>
                <w:noProof/>
                <w:webHidden/>
              </w:rPr>
              <w:fldChar w:fldCharType="begin"/>
            </w:r>
            <w:r w:rsidR="00653876">
              <w:rPr>
                <w:noProof/>
                <w:webHidden/>
              </w:rPr>
              <w:instrText xml:space="preserve"> PAGEREF _Toc126762205 \h </w:instrText>
            </w:r>
            <w:r w:rsidR="00653876">
              <w:rPr>
                <w:noProof/>
                <w:webHidden/>
              </w:rPr>
            </w:r>
            <w:r w:rsidR="00653876">
              <w:rPr>
                <w:noProof/>
                <w:webHidden/>
              </w:rPr>
              <w:fldChar w:fldCharType="separate"/>
            </w:r>
            <w:r w:rsidR="00E7176D">
              <w:rPr>
                <w:noProof/>
                <w:webHidden/>
              </w:rPr>
              <w:t>3</w:t>
            </w:r>
            <w:r w:rsidR="00653876">
              <w:rPr>
                <w:noProof/>
                <w:webHidden/>
              </w:rPr>
              <w:fldChar w:fldCharType="end"/>
            </w:r>
          </w:hyperlink>
        </w:p>
        <w:p w14:paraId="11C776F4" w14:textId="7BEDA4D2" w:rsidR="00653876" w:rsidRDefault="00E87318">
          <w:pPr>
            <w:pStyle w:val="TOC3"/>
            <w:tabs>
              <w:tab w:val="left" w:pos="1320"/>
              <w:tab w:val="right" w:leader="dot" w:pos="9350"/>
            </w:tabs>
            <w:rPr>
              <w:rFonts w:eastAsiaTheme="minorEastAsia"/>
              <w:noProof/>
              <w:lang w:eastAsia="en-GB"/>
            </w:rPr>
          </w:pPr>
          <w:hyperlink w:anchor="_Toc126762206" w:history="1">
            <w:r w:rsidR="00653876" w:rsidRPr="004534E7">
              <w:rPr>
                <w:rStyle w:val="Hyperlink"/>
                <w:rFonts w:ascii="Times New Roman" w:hAnsi="Times New Roman" w:cs="Times New Roman"/>
                <w:noProof/>
              </w:rPr>
              <w:t>2.3.1</w:t>
            </w:r>
            <w:r w:rsidR="00653876">
              <w:rPr>
                <w:rFonts w:eastAsiaTheme="minorEastAsia"/>
                <w:noProof/>
                <w:lang w:eastAsia="en-GB"/>
              </w:rPr>
              <w:tab/>
            </w:r>
            <w:r w:rsidR="00653876" w:rsidRPr="004534E7">
              <w:rPr>
                <w:rStyle w:val="Hyperlink"/>
                <w:rFonts w:ascii="Times New Roman" w:hAnsi="Times New Roman" w:cs="Times New Roman"/>
                <w:noProof/>
              </w:rPr>
              <w:t>Planning of output indicators</w:t>
            </w:r>
            <w:r w:rsidR="00653876">
              <w:rPr>
                <w:noProof/>
                <w:webHidden/>
              </w:rPr>
              <w:tab/>
            </w:r>
            <w:r w:rsidR="00653876">
              <w:rPr>
                <w:noProof/>
                <w:webHidden/>
              </w:rPr>
              <w:fldChar w:fldCharType="begin"/>
            </w:r>
            <w:r w:rsidR="00653876">
              <w:rPr>
                <w:noProof/>
                <w:webHidden/>
              </w:rPr>
              <w:instrText xml:space="preserve"> PAGEREF _Toc126762206 \h </w:instrText>
            </w:r>
            <w:r w:rsidR="00653876">
              <w:rPr>
                <w:noProof/>
                <w:webHidden/>
              </w:rPr>
            </w:r>
            <w:r w:rsidR="00653876">
              <w:rPr>
                <w:noProof/>
                <w:webHidden/>
              </w:rPr>
              <w:fldChar w:fldCharType="separate"/>
            </w:r>
            <w:r w:rsidR="00E7176D">
              <w:rPr>
                <w:noProof/>
                <w:webHidden/>
              </w:rPr>
              <w:t>3</w:t>
            </w:r>
            <w:r w:rsidR="00653876">
              <w:rPr>
                <w:noProof/>
                <w:webHidden/>
              </w:rPr>
              <w:fldChar w:fldCharType="end"/>
            </w:r>
          </w:hyperlink>
        </w:p>
        <w:p w14:paraId="2C2B3706" w14:textId="30F4A1C2" w:rsidR="00653876" w:rsidRDefault="00E87318">
          <w:pPr>
            <w:pStyle w:val="TOC3"/>
            <w:tabs>
              <w:tab w:val="left" w:pos="1320"/>
              <w:tab w:val="right" w:leader="dot" w:pos="9350"/>
            </w:tabs>
            <w:rPr>
              <w:rFonts w:eastAsiaTheme="minorEastAsia"/>
              <w:noProof/>
              <w:lang w:eastAsia="en-GB"/>
            </w:rPr>
          </w:pPr>
          <w:hyperlink w:anchor="_Toc126762207" w:history="1">
            <w:r w:rsidR="00653876" w:rsidRPr="004534E7">
              <w:rPr>
                <w:rStyle w:val="Hyperlink"/>
                <w:rFonts w:ascii="Times New Roman" w:hAnsi="Times New Roman" w:cs="Times New Roman"/>
                <w:noProof/>
              </w:rPr>
              <w:t>2.3.2</w:t>
            </w:r>
            <w:r w:rsidR="00653876">
              <w:rPr>
                <w:rFonts w:eastAsiaTheme="minorEastAsia"/>
                <w:noProof/>
                <w:lang w:eastAsia="en-GB"/>
              </w:rPr>
              <w:tab/>
            </w:r>
            <w:r w:rsidR="00653876" w:rsidRPr="004534E7">
              <w:rPr>
                <w:rStyle w:val="Hyperlink"/>
                <w:rFonts w:ascii="Times New Roman" w:eastAsia="Times New Roman" w:hAnsi="Times New Roman" w:cs="Times New Roman"/>
                <w:noProof/>
                <w:lang w:eastAsia="en-GB"/>
              </w:rPr>
              <w:t>Reportin</w:t>
            </w:r>
            <w:r w:rsidR="00653876" w:rsidRPr="004534E7">
              <w:rPr>
                <w:rStyle w:val="Hyperlink"/>
                <w:rFonts w:ascii="Times New Roman" w:hAnsi="Times New Roman" w:cs="Times New Roman"/>
                <w:noProof/>
              </w:rPr>
              <w:t>g of output indicators to be used for performance clearance</w:t>
            </w:r>
            <w:r w:rsidR="00653876">
              <w:rPr>
                <w:noProof/>
                <w:webHidden/>
              </w:rPr>
              <w:tab/>
            </w:r>
            <w:r w:rsidR="00653876">
              <w:rPr>
                <w:noProof/>
                <w:webHidden/>
              </w:rPr>
              <w:fldChar w:fldCharType="begin"/>
            </w:r>
            <w:r w:rsidR="00653876">
              <w:rPr>
                <w:noProof/>
                <w:webHidden/>
              </w:rPr>
              <w:instrText xml:space="preserve"> PAGEREF _Toc126762207 \h </w:instrText>
            </w:r>
            <w:r w:rsidR="00653876">
              <w:rPr>
                <w:noProof/>
                <w:webHidden/>
              </w:rPr>
            </w:r>
            <w:r w:rsidR="00653876">
              <w:rPr>
                <w:noProof/>
                <w:webHidden/>
              </w:rPr>
              <w:fldChar w:fldCharType="separate"/>
            </w:r>
            <w:r w:rsidR="00E7176D">
              <w:rPr>
                <w:noProof/>
                <w:webHidden/>
              </w:rPr>
              <w:t>4</w:t>
            </w:r>
            <w:r w:rsidR="00653876">
              <w:rPr>
                <w:noProof/>
                <w:webHidden/>
              </w:rPr>
              <w:fldChar w:fldCharType="end"/>
            </w:r>
          </w:hyperlink>
        </w:p>
        <w:p w14:paraId="10EAA67E" w14:textId="5B794389" w:rsidR="00653876" w:rsidRDefault="00E87318">
          <w:pPr>
            <w:pStyle w:val="TOC2"/>
            <w:tabs>
              <w:tab w:val="left" w:pos="880"/>
              <w:tab w:val="right" w:leader="dot" w:pos="9350"/>
            </w:tabs>
            <w:rPr>
              <w:rFonts w:eastAsiaTheme="minorEastAsia"/>
              <w:noProof/>
              <w:lang w:eastAsia="en-GB"/>
            </w:rPr>
          </w:pPr>
          <w:hyperlink w:anchor="_Toc126762208" w:history="1">
            <w:r w:rsidR="00653876" w:rsidRPr="004534E7">
              <w:rPr>
                <w:rStyle w:val="Hyperlink"/>
                <w:rFonts w:ascii="Times New Roman" w:hAnsi="Times New Roman" w:cs="Times New Roman"/>
                <w:noProof/>
              </w:rPr>
              <w:t>2.4</w:t>
            </w:r>
            <w:r w:rsidR="00653876">
              <w:rPr>
                <w:rFonts w:eastAsiaTheme="minorEastAsia"/>
                <w:noProof/>
                <w:lang w:eastAsia="en-GB"/>
              </w:rPr>
              <w:tab/>
            </w:r>
            <w:r w:rsidR="00653876" w:rsidRPr="004534E7">
              <w:rPr>
                <w:rStyle w:val="Hyperlink"/>
                <w:rFonts w:ascii="Times New Roman" w:hAnsi="Times New Roman" w:cs="Times New Roman"/>
                <w:noProof/>
              </w:rPr>
              <w:t>Aggregated values of output indicators and values of output indicators O.3 and O.34 to be used for the purpose of monitoring, communication and evaluation</w:t>
            </w:r>
            <w:r w:rsidR="00653876">
              <w:rPr>
                <w:noProof/>
                <w:webHidden/>
              </w:rPr>
              <w:tab/>
            </w:r>
            <w:r w:rsidR="00653876">
              <w:rPr>
                <w:noProof/>
                <w:webHidden/>
              </w:rPr>
              <w:fldChar w:fldCharType="begin"/>
            </w:r>
            <w:r w:rsidR="00653876">
              <w:rPr>
                <w:noProof/>
                <w:webHidden/>
              </w:rPr>
              <w:instrText xml:space="preserve"> PAGEREF _Toc126762208 \h </w:instrText>
            </w:r>
            <w:r w:rsidR="00653876">
              <w:rPr>
                <w:noProof/>
                <w:webHidden/>
              </w:rPr>
            </w:r>
            <w:r w:rsidR="00653876">
              <w:rPr>
                <w:noProof/>
                <w:webHidden/>
              </w:rPr>
              <w:fldChar w:fldCharType="separate"/>
            </w:r>
            <w:r w:rsidR="00E7176D">
              <w:rPr>
                <w:noProof/>
                <w:webHidden/>
              </w:rPr>
              <w:t>6</w:t>
            </w:r>
            <w:r w:rsidR="00653876">
              <w:rPr>
                <w:noProof/>
                <w:webHidden/>
              </w:rPr>
              <w:fldChar w:fldCharType="end"/>
            </w:r>
          </w:hyperlink>
        </w:p>
        <w:p w14:paraId="1501E3ED" w14:textId="451CB361" w:rsidR="00653876" w:rsidRDefault="00E87318">
          <w:pPr>
            <w:pStyle w:val="TOC3"/>
            <w:tabs>
              <w:tab w:val="left" w:pos="1320"/>
              <w:tab w:val="right" w:leader="dot" w:pos="9350"/>
            </w:tabs>
            <w:rPr>
              <w:rFonts w:eastAsiaTheme="minorEastAsia"/>
              <w:noProof/>
              <w:lang w:eastAsia="en-GB"/>
            </w:rPr>
          </w:pPr>
          <w:hyperlink w:anchor="_Toc126762209" w:history="1">
            <w:r w:rsidR="00653876" w:rsidRPr="004534E7">
              <w:rPr>
                <w:rStyle w:val="Hyperlink"/>
                <w:rFonts w:ascii="Times New Roman" w:hAnsi="Times New Roman" w:cs="Times New Roman"/>
                <w:noProof/>
              </w:rPr>
              <w:t>2.4.1</w:t>
            </w:r>
            <w:r w:rsidR="00653876">
              <w:rPr>
                <w:rFonts w:eastAsiaTheme="minorEastAsia"/>
                <w:noProof/>
                <w:lang w:eastAsia="en-GB"/>
              </w:rPr>
              <w:tab/>
            </w:r>
            <w:r w:rsidR="00653876" w:rsidRPr="004534E7">
              <w:rPr>
                <w:rStyle w:val="Hyperlink"/>
                <w:rFonts w:ascii="Times New Roman" w:hAnsi="Times New Roman" w:cs="Times New Roman"/>
                <w:noProof/>
              </w:rPr>
              <w:t>Planning of aggregate values and values for O.3 and O.34</w:t>
            </w:r>
            <w:r w:rsidR="00653876">
              <w:rPr>
                <w:noProof/>
                <w:webHidden/>
              </w:rPr>
              <w:tab/>
            </w:r>
            <w:r w:rsidR="00653876">
              <w:rPr>
                <w:noProof/>
                <w:webHidden/>
              </w:rPr>
              <w:fldChar w:fldCharType="begin"/>
            </w:r>
            <w:r w:rsidR="00653876">
              <w:rPr>
                <w:noProof/>
                <w:webHidden/>
              </w:rPr>
              <w:instrText xml:space="preserve"> PAGEREF _Toc126762209 \h </w:instrText>
            </w:r>
            <w:r w:rsidR="00653876">
              <w:rPr>
                <w:noProof/>
                <w:webHidden/>
              </w:rPr>
            </w:r>
            <w:r w:rsidR="00653876">
              <w:rPr>
                <w:noProof/>
                <w:webHidden/>
              </w:rPr>
              <w:fldChar w:fldCharType="separate"/>
            </w:r>
            <w:r w:rsidR="00E7176D">
              <w:rPr>
                <w:noProof/>
                <w:webHidden/>
              </w:rPr>
              <w:t>6</w:t>
            </w:r>
            <w:r w:rsidR="00653876">
              <w:rPr>
                <w:noProof/>
                <w:webHidden/>
              </w:rPr>
              <w:fldChar w:fldCharType="end"/>
            </w:r>
          </w:hyperlink>
        </w:p>
        <w:p w14:paraId="0491BEC3" w14:textId="074FDCD4" w:rsidR="00653876" w:rsidRDefault="00E87318">
          <w:pPr>
            <w:pStyle w:val="TOC3"/>
            <w:tabs>
              <w:tab w:val="left" w:pos="1320"/>
              <w:tab w:val="right" w:leader="dot" w:pos="9350"/>
            </w:tabs>
            <w:rPr>
              <w:rFonts w:eastAsiaTheme="minorEastAsia"/>
              <w:noProof/>
              <w:lang w:eastAsia="en-GB"/>
            </w:rPr>
          </w:pPr>
          <w:hyperlink w:anchor="_Toc126762210" w:history="1">
            <w:r w:rsidR="00653876" w:rsidRPr="004534E7">
              <w:rPr>
                <w:rStyle w:val="Hyperlink"/>
                <w:rFonts w:ascii="Times New Roman" w:hAnsi="Times New Roman" w:cs="Times New Roman"/>
                <w:noProof/>
              </w:rPr>
              <w:t>2.4.2</w:t>
            </w:r>
            <w:r w:rsidR="00653876">
              <w:rPr>
                <w:rFonts w:eastAsiaTheme="minorEastAsia"/>
                <w:noProof/>
                <w:lang w:eastAsia="en-GB"/>
              </w:rPr>
              <w:tab/>
            </w:r>
            <w:r w:rsidR="00653876" w:rsidRPr="004534E7">
              <w:rPr>
                <w:rStyle w:val="Hyperlink"/>
                <w:rFonts w:ascii="Times New Roman" w:hAnsi="Times New Roman" w:cs="Times New Roman"/>
                <w:noProof/>
              </w:rPr>
              <w:t>Reporting of aggregate values and values for O.3 and O.34</w:t>
            </w:r>
            <w:r w:rsidR="00653876">
              <w:rPr>
                <w:noProof/>
                <w:webHidden/>
              </w:rPr>
              <w:tab/>
            </w:r>
            <w:r w:rsidR="00653876">
              <w:rPr>
                <w:noProof/>
                <w:webHidden/>
              </w:rPr>
              <w:fldChar w:fldCharType="begin"/>
            </w:r>
            <w:r w:rsidR="00653876">
              <w:rPr>
                <w:noProof/>
                <w:webHidden/>
              </w:rPr>
              <w:instrText xml:space="preserve"> PAGEREF _Toc126762210 \h </w:instrText>
            </w:r>
            <w:r w:rsidR="00653876">
              <w:rPr>
                <w:noProof/>
                <w:webHidden/>
              </w:rPr>
            </w:r>
            <w:r w:rsidR="00653876">
              <w:rPr>
                <w:noProof/>
                <w:webHidden/>
              </w:rPr>
              <w:fldChar w:fldCharType="separate"/>
            </w:r>
            <w:r w:rsidR="00E7176D">
              <w:rPr>
                <w:noProof/>
                <w:webHidden/>
              </w:rPr>
              <w:t>6</w:t>
            </w:r>
            <w:r w:rsidR="00653876">
              <w:rPr>
                <w:noProof/>
                <w:webHidden/>
              </w:rPr>
              <w:fldChar w:fldCharType="end"/>
            </w:r>
          </w:hyperlink>
        </w:p>
        <w:p w14:paraId="664FF323" w14:textId="69096088" w:rsidR="00653876" w:rsidRDefault="00E87318">
          <w:pPr>
            <w:pStyle w:val="TOC3"/>
            <w:tabs>
              <w:tab w:val="left" w:pos="1320"/>
              <w:tab w:val="right" w:leader="dot" w:pos="9350"/>
            </w:tabs>
            <w:rPr>
              <w:rFonts w:eastAsiaTheme="minorEastAsia"/>
              <w:noProof/>
              <w:lang w:eastAsia="en-GB"/>
            </w:rPr>
          </w:pPr>
          <w:hyperlink w:anchor="_Toc126762211" w:history="1">
            <w:r w:rsidR="00653876" w:rsidRPr="004534E7">
              <w:rPr>
                <w:rStyle w:val="Hyperlink"/>
                <w:rFonts w:ascii="Times New Roman" w:eastAsia="Times New Roman" w:hAnsi="Times New Roman" w:cs="Times New Roman"/>
                <w:noProof/>
                <w:lang w:eastAsia="en-GB"/>
              </w:rPr>
              <w:t>2.4.3</w:t>
            </w:r>
            <w:r w:rsidR="00653876">
              <w:rPr>
                <w:rFonts w:eastAsiaTheme="minorEastAsia"/>
                <w:noProof/>
                <w:lang w:eastAsia="en-GB"/>
              </w:rPr>
              <w:tab/>
            </w:r>
            <w:r w:rsidR="00653876" w:rsidRPr="004534E7">
              <w:rPr>
                <w:rStyle w:val="Hyperlink"/>
                <w:rFonts w:ascii="Times New Roman" w:eastAsia="Times New Roman" w:hAnsi="Times New Roman" w:cs="Times New Roman"/>
                <w:noProof/>
                <w:lang w:eastAsia="en-GB"/>
              </w:rPr>
              <w:t>Calculation methods of aggregate values, and values for O.3 and O.34</w:t>
            </w:r>
            <w:r w:rsidR="00653876">
              <w:rPr>
                <w:noProof/>
                <w:webHidden/>
              </w:rPr>
              <w:tab/>
            </w:r>
            <w:r w:rsidR="00653876">
              <w:rPr>
                <w:noProof/>
                <w:webHidden/>
              </w:rPr>
              <w:fldChar w:fldCharType="begin"/>
            </w:r>
            <w:r w:rsidR="00653876">
              <w:rPr>
                <w:noProof/>
                <w:webHidden/>
              </w:rPr>
              <w:instrText xml:space="preserve"> PAGEREF _Toc126762211 \h </w:instrText>
            </w:r>
            <w:r w:rsidR="00653876">
              <w:rPr>
                <w:noProof/>
                <w:webHidden/>
              </w:rPr>
            </w:r>
            <w:r w:rsidR="00653876">
              <w:rPr>
                <w:noProof/>
                <w:webHidden/>
              </w:rPr>
              <w:fldChar w:fldCharType="separate"/>
            </w:r>
            <w:r w:rsidR="00E7176D">
              <w:rPr>
                <w:noProof/>
                <w:webHidden/>
              </w:rPr>
              <w:t>8</w:t>
            </w:r>
            <w:r w:rsidR="00653876">
              <w:rPr>
                <w:noProof/>
                <w:webHidden/>
              </w:rPr>
              <w:fldChar w:fldCharType="end"/>
            </w:r>
          </w:hyperlink>
        </w:p>
        <w:p w14:paraId="242F7DAD" w14:textId="6DE9DAB9" w:rsidR="00653876" w:rsidRDefault="00E87318">
          <w:pPr>
            <w:pStyle w:val="TOC2"/>
            <w:tabs>
              <w:tab w:val="left" w:pos="880"/>
              <w:tab w:val="right" w:leader="dot" w:pos="9350"/>
            </w:tabs>
            <w:rPr>
              <w:rFonts w:eastAsiaTheme="minorEastAsia"/>
              <w:noProof/>
              <w:lang w:eastAsia="en-GB"/>
            </w:rPr>
          </w:pPr>
          <w:hyperlink w:anchor="_Toc126762212" w:history="1">
            <w:r w:rsidR="00653876" w:rsidRPr="004534E7">
              <w:rPr>
                <w:rStyle w:val="Hyperlink"/>
                <w:rFonts w:ascii="Times New Roman" w:hAnsi="Times New Roman" w:cs="Times New Roman"/>
                <w:noProof/>
              </w:rPr>
              <w:t>2.5</w:t>
            </w:r>
            <w:r w:rsidR="00653876">
              <w:rPr>
                <w:rFonts w:eastAsiaTheme="minorEastAsia"/>
                <w:noProof/>
                <w:lang w:eastAsia="en-GB"/>
              </w:rPr>
              <w:tab/>
            </w:r>
            <w:r w:rsidR="00653876" w:rsidRPr="004534E7">
              <w:rPr>
                <w:rStyle w:val="Hyperlink"/>
                <w:rFonts w:ascii="Times New Roman" w:hAnsi="Times New Roman" w:cs="Times New Roman"/>
                <w:noProof/>
              </w:rPr>
              <w:t>Additional national financing for output indicators</w:t>
            </w:r>
            <w:r w:rsidR="00653876">
              <w:rPr>
                <w:noProof/>
                <w:webHidden/>
              </w:rPr>
              <w:tab/>
            </w:r>
            <w:r w:rsidR="00653876">
              <w:rPr>
                <w:noProof/>
                <w:webHidden/>
              </w:rPr>
              <w:fldChar w:fldCharType="begin"/>
            </w:r>
            <w:r w:rsidR="00653876">
              <w:rPr>
                <w:noProof/>
                <w:webHidden/>
              </w:rPr>
              <w:instrText xml:space="preserve"> PAGEREF _Toc126762212 \h </w:instrText>
            </w:r>
            <w:r w:rsidR="00653876">
              <w:rPr>
                <w:noProof/>
                <w:webHidden/>
              </w:rPr>
            </w:r>
            <w:r w:rsidR="00653876">
              <w:rPr>
                <w:noProof/>
                <w:webHidden/>
              </w:rPr>
              <w:fldChar w:fldCharType="separate"/>
            </w:r>
            <w:r w:rsidR="00E7176D">
              <w:rPr>
                <w:noProof/>
                <w:webHidden/>
              </w:rPr>
              <w:t>9</w:t>
            </w:r>
            <w:r w:rsidR="00653876">
              <w:rPr>
                <w:noProof/>
                <w:webHidden/>
              </w:rPr>
              <w:fldChar w:fldCharType="end"/>
            </w:r>
          </w:hyperlink>
        </w:p>
        <w:p w14:paraId="4CF52845" w14:textId="19B5D1E2" w:rsidR="00653876" w:rsidRDefault="00E87318" w:rsidP="00EE04BF">
          <w:pPr>
            <w:pStyle w:val="TOC1"/>
            <w:rPr>
              <w:rFonts w:eastAsiaTheme="minorEastAsia"/>
              <w:noProof/>
              <w:lang w:eastAsia="en-GB"/>
            </w:rPr>
          </w:pPr>
          <w:hyperlink w:anchor="_Toc126762213" w:history="1">
            <w:r w:rsidR="00653876" w:rsidRPr="004534E7">
              <w:rPr>
                <w:rStyle w:val="Hyperlink"/>
                <w:rFonts w:ascii="Times New Roman" w:hAnsi="Times New Roman" w:cs="Times New Roman"/>
                <w:noProof/>
              </w:rPr>
              <w:t>3</w:t>
            </w:r>
            <w:r w:rsidR="00653876">
              <w:rPr>
                <w:rFonts w:eastAsiaTheme="minorEastAsia"/>
                <w:noProof/>
                <w:lang w:eastAsia="en-GB"/>
              </w:rPr>
              <w:tab/>
            </w:r>
            <w:r w:rsidR="00653876" w:rsidRPr="004534E7">
              <w:rPr>
                <w:rStyle w:val="Hyperlink"/>
                <w:rFonts w:ascii="Times New Roman" w:hAnsi="Times New Roman" w:cs="Times New Roman"/>
                <w:noProof/>
              </w:rPr>
              <w:t>Result indicators</w:t>
            </w:r>
            <w:r w:rsidR="00653876">
              <w:rPr>
                <w:noProof/>
                <w:webHidden/>
              </w:rPr>
              <w:tab/>
            </w:r>
            <w:r w:rsidR="00653876">
              <w:rPr>
                <w:noProof/>
                <w:webHidden/>
              </w:rPr>
              <w:fldChar w:fldCharType="begin"/>
            </w:r>
            <w:r w:rsidR="00653876">
              <w:rPr>
                <w:noProof/>
                <w:webHidden/>
              </w:rPr>
              <w:instrText xml:space="preserve"> PAGEREF _Toc126762213 \h </w:instrText>
            </w:r>
            <w:r w:rsidR="00653876">
              <w:rPr>
                <w:noProof/>
                <w:webHidden/>
              </w:rPr>
            </w:r>
            <w:r w:rsidR="00653876">
              <w:rPr>
                <w:noProof/>
                <w:webHidden/>
              </w:rPr>
              <w:fldChar w:fldCharType="separate"/>
            </w:r>
            <w:r w:rsidR="00E7176D">
              <w:rPr>
                <w:noProof/>
                <w:webHidden/>
              </w:rPr>
              <w:t>10</w:t>
            </w:r>
            <w:r w:rsidR="00653876">
              <w:rPr>
                <w:noProof/>
                <w:webHidden/>
              </w:rPr>
              <w:fldChar w:fldCharType="end"/>
            </w:r>
          </w:hyperlink>
        </w:p>
        <w:p w14:paraId="7416B169" w14:textId="3E03AC8D" w:rsidR="00653876" w:rsidRDefault="00E87318">
          <w:pPr>
            <w:pStyle w:val="TOC2"/>
            <w:tabs>
              <w:tab w:val="left" w:pos="880"/>
              <w:tab w:val="right" w:leader="dot" w:pos="9350"/>
            </w:tabs>
            <w:rPr>
              <w:rFonts w:eastAsiaTheme="minorEastAsia"/>
              <w:noProof/>
              <w:lang w:eastAsia="en-GB"/>
            </w:rPr>
          </w:pPr>
          <w:hyperlink w:anchor="_Toc126762214" w:history="1">
            <w:r w:rsidR="00653876" w:rsidRPr="004534E7">
              <w:rPr>
                <w:rStyle w:val="Hyperlink"/>
                <w:rFonts w:ascii="Times New Roman" w:hAnsi="Times New Roman" w:cs="Times New Roman"/>
                <w:noProof/>
              </w:rPr>
              <w:t>3.1</w:t>
            </w:r>
            <w:r w:rsidR="00653876">
              <w:rPr>
                <w:rFonts w:eastAsiaTheme="minorEastAsia"/>
                <w:noProof/>
                <w:lang w:eastAsia="en-GB"/>
              </w:rPr>
              <w:tab/>
            </w:r>
            <w:r w:rsidR="00653876" w:rsidRPr="004534E7">
              <w:rPr>
                <w:rStyle w:val="Hyperlink"/>
                <w:rFonts w:ascii="Times New Roman" w:hAnsi="Times New Roman" w:cs="Times New Roman"/>
                <w:noProof/>
              </w:rPr>
              <w:t>General principles for result indicators</w:t>
            </w:r>
            <w:r w:rsidR="00653876">
              <w:rPr>
                <w:noProof/>
                <w:webHidden/>
              </w:rPr>
              <w:tab/>
            </w:r>
            <w:r w:rsidR="00653876">
              <w:rPr>
                <w:noProof/>
                <w:webHidden/>
              </w:rPr>
              <w:fldChar w:fldCharType="begin"/>
            </w:r>
            <w:r w:rsidR="00653876">
              <w:rPr>
                <w:noProof/>
                <w:webHidden/>
              </w:rPr>
              <w:instrText xml:space="preserve"> PAGEREF _Toc126762214 \h </w:instrText>
            </w:r>
            <w:r w:rsidR="00653876">
              <w:rPr>
                <w:noProof/>
                <w:webHidden/>
              </w:rPr>
            </w:r>
            <w:r w:rsidR="00653876">
              <w:rPr>
                <w:noProof/>
                <w:webHidden/>
              </w:rPr>
              <w:fldChar w:fldCharType="separate"/>
            </w:r>
            <w:r w:rsidR="00E7176D">
              <w:rPr>
                <w:noProof/>
                <w:webHidden/>
              </w:rPr>
              <w:t>10</w:t>
            </w:r>
            <w:r w:rsidR="00653876">
              <w:rPr>
                <w:noProof/>
                <w:webHidden/>
              </w:rPr>
              <w:fldChar w:fldCharType="end"/>
            </w:r>
          </w:hyperlink>
        </w:p>
        <w:p w14:paraId="25A0FAE3" w14:textId="3BF1F936" w:rsidR="00653876" w:rsidRDefault="00E87318">
          <w:pPr>
            <w:pStyle w:val="TOC2"/>
            <w:tabs>
              <w:tab w:val="left" w:pos="880"/>
              <w:tab w:val="right" w:leader="dot" w:pos="9350"/>
            </w:tabs>
            <w:rPr>
              <w:rFonts w:eastAsiaTheme="minorEastAsia"/>
              <w:noProof/>
              <w:lang w:eastAsia="en-GB"/>
            </w:rPr>
          </w:pPr>
          <w:hyperlink w:anchor="_Toc126762215" w:history="1">
            <w:r w:rsidR="00653876" w:rsidRPr="004534E7">
              <w:rPr>
                <w:rStyle w:val="Hyperlink"/>
                <w:rFonts w:ascii="Times New Roman" w:hAnsi="Times New Roman" w:cs="Times New Roman"/>
                <w:noProof/>
              </w:rPr>
              <w:t>3.2</w:t>
            </w:r>
            <w:r w:rsidR="00653876">
              <w:rPr>
                <w:rFonts w:eastAsiaTheme="minorEastAsia"/>
                <w:noProof/>
                <w:lang w:eastAsia="en-GB"/>
              </w:rPr>
              <w:tab/>
            </w:r>
            <w:r w:rsidR="00653876" w:rsidRPr="004534E7">
              <w:rPr>
                <w:rStyle w:val="Hyperlink"/>
                <w:rFonts w:ascii="Times New Roman" w:hAnsi="Times New Roman" w:cs="Times New Roman"/>
                <w:noProof/>
              </w:rPr>
              <w:t>Linking result indicators and specific objectives</w:t>
            </w:r>
            <w:r w:rsidR="00653876">
              <w:rPr>
                <w:noProof/>
                <w:webHidden/>
              </w:rPr>
              <w:tab/>
            </w:r>
            <w:r w:rsidR="00653876">
              <w:rPr>
                <w:noProof/>
                <w:webHidden/>
              </w:rPr>
              <w:fldChar w:fldCharType="begin"/>
            </w:r>
            <w:r w:rsidR="00653876">
              <w:rPr>
                <w:noProof/>
                <w:webHidden/>
              </w:rPr>
              <w:instrText xml:space="preserve"> PAGEREF _Toc126762215 \h </w:instrText>
            </w:r>
            <w:r w:rsidR="00653876">
              <w:rPr>
                <w:noProof/>
                <w:webHidden/>
              </w:rPr>
            </w:r>
            <w:r w:rsidR="00653876">
              <w:rPr>
                <w:noProof/>
                <w:webHidden/>
              </w:rPr>
              <w:fldChar w:fldCharType="separate"/>
            </w:r>
            <w:r w:rsidR="00E7176D">
              <w:rPr>
                <w:noProof/>
                <w:webHidden/>
              </w:rPr>
              <w:t>11</w:t>
            </w:r>
            <w:r w:rsidR="00653876">
              <w:rPr>
                <w:noProof/>
                <w:webHidden/>
              </w:rPr>
              <w:fldChar w:fldCharType="end"/>
            </w:r>
          </w:hyperlink>
        </w:p>
        <w:p w14:paraId="2BC5A61D" w14:textId="07DEC45F" w:rsidR="00653876" w:rsidRDefault="00E87318">
          <w:pPr>
            <w:pStyle w:val="TOC2"/>
            <w:tabs>
              <w:tab w:val="left" w:pos="880"/>
              <w:tab w:val="right" w:leader="dot" w:pos="9350"/>
            </w:tabs>
            <w:rPr>
              <w:rFonts w:eastAsiaTheme="minorEastAsia"/>
              <w:noProof/>
              <w:lang w:eastAsia="en-GB"/>
            </w:rPr>
          </w:pPr>
          <w:hyperlink w:anchor="_Toc126762216" w:history="1">
            <w:r w:rsidR="00653876" w:rsidRPr="004534E7">
              <w:rPr>
                <w:rStyle w:val="Hyperlink"/>
                <w:rFonts w:ascii="Times New Roman" w:hAnsi="Times New Roman" w:cs="Times New Roman"/>
                <w:noProof/>
              </w:rPr>
              <w:t>3.3</w:t>
            </w:r>
            <w:r w:rsidR="00653876">
              <w:rPr>
                <w:rFonts w:eastAsiaTheme="minorEastAsia"/>
                <w:noProof/>
                <w:lang w:eastAsia="en-GB"/>
              </w:rPr>
              <w:tab/>
            </w:r>
            <w:r w:rsidR="00653876" w:rsidRPr="004534E7">
              <w:rPr>
                <w:rStyle w:val="Hyperlink"/>
                <w:rFonts w:ascii="Times New Roman" w:hAnsi="Times New Roman" w:cs="Times New Roman"/>
                <w:noProof/>
              </w:rPr>
              <w:t>Linking result indicators and types of interventions</w:t>
            </w:r>
            <w:r w:rsidR="00653876">
              <w:rPr>
                <w:noProof/>
                <w:webHidden/>
              </w:rPr>
              <w:tab/>
            </w:r>
            <w:r w:rsidR="00653876">
              <w:rPr>
                <w:noProof/>
                <w:webHidden/>
              </w:rPr>
              <w:fldChar w:fldCharType="begin"/>
            </w:r>
            <w:r w:rsidR="00653876">
              <w:rPr>
                <w:noProof/>
                <w:webHidden/>
              </w:rPr>
              <w:instrText xml:space="preserve"> PAGEREF _Toc126762216 \h </w:instrText>
            </w:r>
            <w:r w:rsidR="00653876">
              <w:rPr>
                <w:noProof/>
                <w:webHidden/>
              </w:rPr>
            </w:r>
            <w:r w:rsidR="00653876">
              <w:rPr>
                <w:noProof/>
                <w:webHidden/>
              </w:rPr>
              <w:fldChar w:fldCharType="separate"/>
            </w:r>
            <w:r w:rsidR="00E7176D">
              <w:rPr>
                <w:noProof/>
                <w:webHidden/>
              </w:rPr>
              <w:t>11</w:t>
            </w:r>
            <w:r w:rsidR="00653876">
              <w:rPr>
                <w:noProof/>
                <w:webHidden/>
              </w:rPr>
              <w:fldChar w:fldCharType="end"/>
            </w:r>
          </w:hyperlink>
        </w:p>
        <w:p w14:paraId="58828398" w14:textId="566757AE" w:rsidR="00653876" w:rsidRDefault="00E87318">
          <w:pPr>
            <w:pStyle w:val="TOC2"/>
            <w:tabs>
              <w:tab w:val="left" w:pos="880"/>
              <w:tab w:val="right" w:leader="dot" w:pos="9350"/>
            </w:tabs>
            <w:rPr>
              <w:rFonts w:eastAsiaTheme="minorEastAsia"/>
              <w:noProof/>
              <w:lang w:eastAsia="en-GB"/>
            </w:rPr>
          </w:pPr>
          <w:hyperlink w:anchor="_Toc126762217" w:history="1">
            <w:r w:rsidR="00653876" w:rsidRPr="004534E7">
              <w:rPr>
                <w:rStyle w:val="Hyperlink"/>
                <w:rFonts w:ascii="Times New Roman" w:hAnsi="Times New Roman" w:cs="Times New Roman"/>
                <w:noProof/>
              </w:rPr>
              <w:t>3.4</w:t>
            </w:r>
            <w:r w:rsidR="00653876">
              <w:rPr>
                <w:rFonts w:eastAsiaTheme="minorEastAsia"/>
                <w:noProof/>
                <w:lang w:eastAsia="en-GB"/>
              </w:rPr>
              <w:tab/>
            </w:r>
            <w:r w:rsidR="00653876" w:rsidRPr="004534E7">
              <w:rPr>
                <w:rStyle w:val="Hyperlink"/>
                <w:rFonts w:ascii="Times New Roman" w:hAnsi="Times New Roman" w:cs="Times New Roman"/>
                <w:noProof/>
              </w:rPr>
              <w:t>Planning of result indicators</w:t>
            </w:r>
            <w:r w:rsidR="00653876">
              <w:rPr>
                <w:noProof/>
                <w:webHidden/>
              </w:rPr>
              <w:tab/>
            </w:r>
            <w:r w:rsidR="00653876">
              <w:rPr>
                <w:noProof/>
                <w:webHidden/>
              </w:rPr>
              <w:fldChar w:fldCharType="begin"/>
            </w:r>
            <w:r w:rsidR="00653876">
              <w:rPr>
                <w:noProof/>
                <w:webHidden/>
              </w:rPr>
              <w:instrText xml:space="preserve"> PAGEREF _Toc126762217 \h </w:instrText>
            </w:r>
            <w:r w:rsidR="00653876">
              <w:rPr>
                <w:noProof/>
                <w:webHidden/>
              </w:rPr>
            </w:r>
            <w:r w:rsidR="00653876">
              <w:rPr>
                <w:noProof/>
                <w:webHidden/>
              </w:rPr>
              <w:fldChar w:fldCharType="separate"/>
            </w:r>
            <w:r w:rsidR="00E7176D">
              <w:rPr>
                <w:noProof/>
                <w:webHidden/>
              </w:rPr>
              <w:t>14</w:t>
            </w:r>
            <w:r w:rsidR="00653876">
              <w:rPr>
                <w:noProof/>
                <w:webHidden/>
              </w:rPr>
              <w:fldChar w:fldCharType="end"/>
            </w:r>
          </w:hyperlink>
        </w:p>
        <w:p w14:paraId="21FF4EFD" w14:textId="4E73C1B7" w:rsidR="00653876" w:rsidRDefault="00E87318">
          <w:pPr>
            <w:pStyle w:val="TOC3"/>
            <w:tabs>
              <w:tab w:val="left" w:pos="1320"/>
              <w:tab w:val="right" w:leader="dot" w:pos="9350"/>
            </w:tabs>
            <w:rPr>
              <w:rFonts w:eastAsiaTheme="minorEastAsia"/>
              <w:noProof/>
              <w:lang w:eastAsia="en-GB"/>
            </w:rPr>
          </w:pPr>
          <w:hyperlink w:anchor="_Toc126762218" w:history="1">
            <w:r w:rsidR="00653876" w:rsidRPr="004534E7">
              <w:rPr>
                <w:rStyle w:val="Hyperlink"/>
                <w:rFonts w:ascii="Times New Roman" w:hAnsi="Times New Roman" w:cs="Times New Roman"/>
                <w:noProof/>
              </w:rPr>
              <w:t>3.4.1</w:t>
            </w:r>
            <w:r w:rsidR="00653876">
              <w:rPr>
                <w:rFonts w:eastAsiaTheme="minorEastAsia"/>
                <w:noProof/>
                <w:lang w:eastAsia="en-GB"/>
              </w:rPr>
              <w:tab/>
            </w:r>
            <w:r w:rsidR="00653876" w:rsidRPr="004534E7">
              <w:rPr>
                <w:rStyle w:val="Hyperlink"/>
                <w:rFonts w:ascii="Times New Roman" w:hAnsi="Times New Roman" w:cs="Times New Roman"/>
                <w:noProof/>
              </w:rPr>
              <w:t>Carry-over of expenditure from previous programming periods</w:t>
            </w:r>
            <w:r w:rsidR="00653876">
              <w:rPr>
                <w:noProof/>
                <w:webHidden/>
              </w:rPr>
              <w:tab/>
            </w:r>
            <w:r w:rsidR="00653876">
              <w:rPr>
                <w:noProof/>
                <w:webHidden/>
              </w:rPr>
              <w:fldChar w:fldCharType="begin"/>
            </w:r>
            <w:r w:rsidR="00653876">
              <w:rPr>
                <w:noProof/>
                <w:webHidden/>
              </w:rPr>
              <w:instrText xml:space="preserve"> PAGEREF _Toc126762218 \h </w:instrText>
            </w:r>
            <w:r w:rsidR="00653876">
              <w:rPr>
                <w:noProof/>
                <w:webHidden/>
              </w:rPr>
            </w:r>
            <w:r w:rsidR="00653876">
              <w:rPr>
                <w:noProof/>
                <w:webHidden/>
              </w:rPr>
              <w:fldChar w:fldCharType="separate"/>
            </w:r>
            <w:r w:rsidR="00E7176D">
              <w:rPr>
                <w:noProof/>
                <w:webHidden/>
              </w:rPr>
              <w:t>14</w:t>
            </w:r>
            <w:r w:rsidR="00653876">
              <w:rPr>
                <w:noProof/>
                <w:webHidden/>
              </w:rPr>
              <w:fldChar w:fldCharType="end"/>
            </w:r>
          </w:hyperlink>
        </w:p>
        <w:p w14:paraId="5A86018C" w14:textId="03976EC5" w:rsidR="00653876" w:rsidRDefault="00E87318">
          <w:pPr>
            <w:pStyle w:val="TOC2"/>
            <w:tabs>
              <w:tab w:val="left" w:pos="880"/>
              <w:tab w:val="right" w:leader="dot" w:pos="9350"/>
            </w:tabs>
            <w:rPr>
              <w:rFonts w:eastAsiaTheme="minorEastAsia"/>
              <w:noProof/>
              <w:lang w:eastAsia="en-GB"/>
            </w:rPr>
          </w:pPr>
          <w:hyperlink w:anchor="_Toc126762219" w:history="1">
            <w:r w:rsidR="00653876" w:rsidRPr="004534E7">
              <w:rPr>
                <w:rStyle w:val="Hyperlink"/>
                <w:rFonts w:ascii="Times New Roman" w:hAnsi="Times New Roman" w:cs="Times New Roman"/>
                <w:noProof/>
              </w:rPr>
              <w:t>3.5</w:t>
            </w:r>
            <w:r w:rsidR="00653876">
              <w:rPr>
                <w:rFonts w:eastAsiaTheme="minorEastAsia"/>
                <w:noProof/>
                <w:lang w:eastAsia="en-GB"/>
              </w:rPr>
              <w:tab/>
            </w:r>
            <w:r w:rsidR="00653876" w:rsidRPr="004534E7">
              <w:rPr>
                <w:rStyle w:val="Hyperlink"/>
                <w:rFonts w:ascii="Times New Roman" w:hAnsi="Times New Roman" w:cs="Times New Roman"/>
                <w:noProof/>
              </w:rPr>
              <w:t>Reporting of result indicators</w:t>
            </w:r>
            <w:r w:rsidR="00653876">
              <w:rPr>
                <w:noProof/>
                <w:webHidden/>
              </w:rPr>
              <w:tab/>
            </w:r>
            <w:r w:rsidR="00653876">
              <w:rPr>
                <w:noProof/>
                <w:webHidden/>
              </w:rPr>
              <w:fldChar w:fldCharType="begin"/>
            </w:r>
            <w:r w:rsidR="00653876">
              <w:rPr>
                <w:noProof/>
                <w:webHidden/>
              </w:rPr>
              <w:instrText xml:space="preserve"> PAGEREF _Toc126762219 \h </w:instrText>
            </w:r>
            <w:r w:rsidR="00653876">
              <w:rPr>
                <w:noProof/>
                <w:webHidden/>
              </w:rPr>
            </w:r>
            <w:r w:rsidR="00653876">
              <w:rPr>
                <w:noProof/>
                <w:webHidden/>
              </w:rPr>
              <w:fldChar w:fldCharType="separate"/>
            </w:r>
            <w:r w:rsidR="00E7176D">
              <w:rPr>
                <w:noProof/>
                <w:webHidden/>
              </w:rPr>
              <w:t>14</w:t>
            </w:r>
            <w:r w:rsidR="00653876">
              <w:rPr>
                <w:noProof/>
                <w:webHidden/>
              </w:rPr>
              <w:fldChar w:fldCharType="end"/>
            </w:r>
          </w:hyperlink>
        </w:p>
        <w:p w14:paraId="61F63631" w14:textId="6FEAB42A" w:rsidR="00653876" w:rsidRDefault="00E87318">
          <w:pPr>
            <w:pStyle w:val="TOC3"/>
            <w:tabs>
              <w:tab w:val="left" w:pos="1320"/>
              <w:tab w:val="right" w:leader="dot" w:pos="9350"/>
            </w:tabs>
            <w:rPr>
              <w:rFonts w:eastAsiaTheme="minorEastAsia"/>
              <w:noProof/>
              <w:lang w:eastAsia="en-GB"/>
            </w:rPr>
          </w:pPr>
          <w:hyperlink w:anchor="_Toc126762220" w:history="1">
            <w:r w:rsidR="00653876" w:rsidRPr="004534E7">
              <w:rPr>
                <w:rStyle w:val="Hyperlink"/>
                <w:rFonts w:ascii="Times New Roman" w:hAnsi="Times New Roman" w:cs="Times New Roman"/>
                <w:noProof/>
              </w:rPr>
              <w:t>3.5.1</w:t>
            </w:r>
            <w:r w:rsidR="00653876">
              <w:rPr>
                <w:rFonts w:eastAsiaTheme="minorEastAsia"/>
                <w:noProof/>
                <w:lang w:eastAsia="en-GB"/>
              </w:rPr>
              <w:tab/>
            </w:r>
            <w:r w:rsidR="00653876" w:rsidRPr="004534E7">
              <w:rPr>
                <w:rStyle w:val="Hyperlink"/>
                <w:rFonts w:ascii="Times New Roman" w:hAnsi="Times New Roman" w:cs="Times New Roman"/>
                <w:noProof/>
              </w:rPr>
              <w:t>Breakdown of result indicators for reporting</w:t>
            </w:r>
            <w:r w:rsidR="00653876">
              <w:rPr>
                <w:noProof/>
                <w:webHidden/>
              </w:rPr>
              <w:tab/>
            </w:r>
            <w:r w:rsidR="00653876">
              <w:rPr>
                <w:noProof/>
                <w:webHidden/>
              </w:rPr>
              <w:fldChar w:fldCharType="begin"/>
            </w:r>
            <w:r w:rsidR="00653876">
              <w:rPr>
                <w:noProof/>
                <w:webHidden/>
              </w:rPr>
              <w:instrText xml:space="preserve"> PAGEREF _Toc126762220 \h </w:instrText>
            </w:r>
            <w:r w:rsidR="00653876">
              <w:rPr>
                <w:noProof/>
                <w:webHidden/>
              </w:rPr>
            </w:r>
            <w:r w:rsidR="00653876">
              <w:rPr>
                <w:noProof/>
                <w:webHidden/>
              </w:rPr>
              <w:fldChar w:fldCharType="separate"/>
            </w:r>
            <w:r w:rsidR="00E7176D">
              <w:rPr>
                <w:noProof/>
                <w:webHidden/>
              </w:rPr>
              <w:t>14</w:t>
            </w:r>
            <w:r w:rsidR="00653876">
              <w:rPr>
                <w:noProof/>
                <w:webHidden/>
              </w:rPr>
              <w:fldChar w:fldCharType="end"/>
            </w:r>
          </w:hyperlink>
        </w:p>
        <w:p w14:paraId="3D89E9F1" w14:textId="3C63422C" w:rsidR="00653876" w:rsidRDefault="00E87318">
          <w:pPr>
            <w:pStyle w:val="TOC2"/>
            <w:tabs>
              <w:tab w:val="left" w:pos="880"/>
              <w:tab w:val="right" w:leader="dot" w:pos="9350"/>
            </w:tabs>
            <w:rPr>
              <w:rFonts w:eastAsiaTheme="minorEastAsia"/>
              <w:noProof/>
              <w:lang w:eastAsia="en-GB"/>
            </w:rPr>
          </w:pPr>
          <w:hyperlink w:anchor="_Toc126762221" w:history="1">
            <w:r w:rsidR="00653876" w:rsidRPr="004534E7">
              <w:rPr>
                <w:rStyle w:val="Hyperlink"/>
                <w:rFonts w:ascii="Times New Roman" w:hAnsi="Times New Roman" w:cs="Times New Roman"/>
                <w:noProof/>
              </w:rPr>
              <w:t>3.6</w:t>
            </w:r>
            <w:r w:rsidR="00653876">
              <w:rPr>
                <w:rFonts w:eastAsiaTheme="minorEastAsia"/>
                <w:noProof/>
                <w:lang w:eastAsia="en-GB"/>
              </w:rPr>
              <w:tab/>
            </w:r>
            <w:r w:rsidR="00653876" w:rsidRPr="004534E7">
              <w:rPr>
                <w:rStyle w:val="Hyperlink"/>
                <w:rFonts w:ascii="Times New Roman" w:hAnsi="Times New Roman" w:cs="Times New Roman"/>
                <w:noProof/>
              </w:rPr>
              <w:t>Calculation methods for result indicators</w:t>
            </w:r>
            <w:r w:rsidR="00653876">
              <w:rPr>
                <w:noProof/>
                <w:webHidden/>
              </w:rPr>
              <w:tab/>
            </w:r>
            <w:r w:rsidR="00653876">
              <w:rPr>
                <w:noProof/>
                <w:webHidden/>
              </w:rPr>
              <w:fldChar w:fldCharType="begin"/>
            </w:r>
            <w:r w:rsidR="00653876">
              <w:rPr>
                <w:noProof/>
                <w:webHidden/>
              </w:rPr>
              <w:instrText xml:space="preserve"> PAGEREF _Toc126762221 \h </w:instrText>
            </w:r>
            <w:r w:rsidR="00653876">
              <w:rPr>
                <w:noProof/>
                <w:webHidden/>
              </w:rPr>
            </w:r>
            <w:r w:rsidR="00653876">
              <w:rPr>
                <w:noProof/>
                <w:webHidden/>
              </w:rPr>
              <w:fldChar w:fldCharType="separate"/>
            </w:r>
            <w:r w:rsidR="00E7176D">
              <w:rPr>
                <w:noProof/>
                <w:webHidden/>
              </w:rPr>
              <w:t>15</w:t>
            </w:r>
            <w:r w:rsidR="00653876">
              <w:rPr>
                <w:noProof/>
                <w:webHidden/>
              </w:rPr>
              <w:fldChar w:fldCharType="end"/>
            </w:r>
          </w:hyperlink>
        </w:p>
        <w:p w14:paraId="6EE08ADB" w14:textId="42C279CD" w:rsidR="00653876" w:rsidRDefault="00E87318">
          <w:pPr>
            <w:pStyle w:val="TOC3"/>
            <w:tabs>
              <w:tab w:val="left" w:pos="1320"/>
              <w:tab w:val="right" w:leader="dot" w:pos="9350"/>
            </w:tabs>
            <w:rPr>
              <w:rFonts w:eastAsiaTheme="minorEastAsia"/>
              <w:noProof/>
              <w:lang w:eastAsia="en-GB"/>
            </w:rPr>
          </w:pPr>
          <w:hyperlink w:anchor="_Toc126762222" w:history="1">
            <w:r w:rsidR="00653876" w:rsidRPr="004534E7">
              <w:rPr>
                <w:rStyle w:val="Hyperlink"/>
                <w:rFonts w:ascii="Times New Roman" w:eastAsia="Times New Roman" w:hAnsi="Times New Roman" w:cs="Times New Roman"/>
                <w:noProof/>
                <w:lang w:eastAsia="en-GB"/>
              </w:rPr>
              <w:t>3.6.1</w:t>
            </w:r>
            <w:r w:rsidR="00653876">
              <w:rPr>
                <w:rFonts w:eastAsiaTheme="minorEastAsia"/>
                <w:noProof/>
                <w:lang w:eastAsia="en-GB"/>
              </w:rPr>
              <w:tab/>
            </w:r>
            <w:r w:rsidR="00653876" w:rsidRPr="004534E7">
              <w:rPr>
                <w:rStyle w:val="Hyperlink"/>
                <w:rFonts w:ascii="Times New Roman" w:eastAsia="Times New Roman" w:hAnsi="Times New Roman" w:cs="Times New Roman"/>
                <w:noProof/>
                <w:lang w:eastAsia="en-GB"/>
              </w:rPr>
              <w:t>Rules to avoid double counting</w:t>
            </w:r>
            <w:r w:rsidR="00653876" w:rsidRPr="004534E7">
              <w:rPr>
                <w:rStyle w:val="Hyperlink"/>
                <w:rFonts w:ascii="Times New Roman" w:hAnsi="Times New Roman" w:cs="Times New Roman"/>
                <w:noProof/>
              </w:rPr>
              <w:t xml:space="preserve"> </w:t>
            </w:r>
            <w:r w:rsidR="00653876" w:rsidRPr="004534E7">
              <w:rPr>
                <w:rStyle w:val="Hyperlink"/>
                <w:rFonts w:ascii="Times New Roman" w:eastAsia="Times New Roman" w:hAnsi="Times New Roman" w:cs="Times New Roman"/>
                <w:noProof/>
                <w:lang w:eastAsia="en-GB"/>
              </w:rPr>
              <w:t>in result indicators</w:t>
            </w:r>
            <w:r w:rsidR="00653876">
              <w:rPr>
                <w:noProof/>
                <w:webHidden/>
              </w:rPr>
              <w:tab/>
            </w:r>
            <w:r w:rsidR="00653876">
              <w:rPr>
                <w:noProof/>
                <w:webHidden/>
              </w:rPr>
              <w:fldChar w:fldCharType="begin"/>
            </w:r>
            <w:r w:rsidR="00653876">
              <w:rPr>
                <w:noProof/>
                <w:webHidden/>
              </w:rPr>
              <w:instrText xml:space="preserve"> PAGEREF _Toc126762222 \h </w:instrText>
            </w:r>
            <w:r w:rsidR="00653876">
              <w:rPr>
                <w:noProof/>
                <w:webHidden/>
              </w:rPr>
            </w:r>
            <w:r w:rsidR="00653876">
              <w:rPr>
                <w:noProof/>
                <w:webHidden/>
              </w:rPr>
              <w:fldChar w:fldCharType="separate"/>
            </w:r>
            <w:r w:rsidR="00E7176D">
              <w:rPr>
                <w:noProof/>
                <w:webHidden/>
              </w:rPr>
              <w:t>18</w:t>
            </w:r>
            <w:r w:rsidR="00653876">
              <w:rPr>
                <w:noProof/>
                <w:webHidden/>
              </w:rPr>
              <w:fldChar w:fldCharType="end"/>
            </w:r>
          </w:hyperlink>
        </w:p>
        <w:p w14:paraId="373BD843" w14:textId="34D5CE4C" w:rsidR="00653876" w:rsidRDefault="00E87318">
          <w:pPr>
            <w:pStyle w:val="TOC2"/>
            <w:tabs>
              <w:tab w:val="left" w:pos="880"/>
              <w:tab w:val="right" w:leader="dot" w:pos="9350"/>
            </w:tabs>
            <w:rPr>
              <w:rFonts w:eastAsiaTheme="minorEastAsia"/>
              <w:noProof/>
              <w:lang w:eastAsia="en-GB"/>
            </w:rPr>
          </w:pPr>
          <w:hyperlink w:anchor="_Toc126762223" w:history="1">
            <w:r w:rsidR="00653876" w:rsidRPr="004534E7">
              <w:rPr>
                <w:rStyle w:val="Hyperlink"/>
                <w:rFonts w:ascii="Times New Roman" w:eastAsia="Times New Roman" w:hAnsi="Times New Roman" w:cs="Times New Roman"/>
                <w:noProof/>
                <w:lang w:eastAsia="en-GB"/>
              </w:rPr>
              <w:t>3.7</w:t>
            </w:r>
            <w:r w:rsidR="00653876">
              <w:rPr>
                <w:rFonts w:eastAsiaTheme="minorEastAsia"/>
                <w:noProof/>
                <w:lang w:eastAsia="en-GB"/>
              </w:rPr>
              <w:tab/>
            </w:r>
            <w:r w:rsidR="00653876" w:rsidRPr="004534E7">
              <w:rPr>
                <w:rStyle w:val="Hyperlink"/>
                <w:rFonts w:ascii="Times New Roman" w:eastAsia="Times New Roman" w:hAnsi="Times New Roman" w:cs="Times New Roman"/>
                <w:noProof/>
                <w:lang w:eastAsia="en-GB"/>
              </w:rPr>
              <w:t>Denominators of result indicators</w:t>
            </w:r>
            <w:r w:rsidR="00653876">
              <w:rPr>
                <w:noProof/>
                <w:webHidden/>
              </w:rPr>
              <w:tab/>
            </w:r>
            <w:r w:rsidR="00653876">
              <w:rPr>
                <w:noProof/>
                <w:webHidden/>
              </w:rPr>
              <w:fldChar w:fldCharType="begin"/>
            </w:r>
            <w:r w:rsidR="00653876">
              <w:rPr>
                <w:noProof/>
                <w:webHidden/>
              </w:rPr>
              <w:instrText xml:space="preserve"> PAGEREF _Toc126762223 \h </w:instrText>
            </w:r>
            <w:r w:rsidR="00653876">
              <w:rPr>
                <w:noProof/>
                <w:webHidden/>
              </w:rPr>
            </w:r>
            <w:r w:rsidR="00653876">
              <w:rPr>
                <w:noProof/>
                <w:webHidden/>
              </w:rPr>
              <w:fldChar w:fldCharType="separate"/>
            </w:r>
            <w:r w:rsidR="00E7176D">
              <w:rPr>
                <w:noProof/>
                <w:webHidden/>
              </w:rPr>
              <w:t>18</w:t>
            </w:r>
            <w:r w:rsidR="00653876">
              <w:rPr>
                <w:noProof/>
                <w:webHidden/>
              </w:rPr>
              <w:fldChar w:fldCharType="end"/>
            </w:r>
          </w:hyperlink>
        </w:p>
        <w:p w14:paraId="0DE460FA" w14:textId="13538FED" w:rsidR="00653876" w:rsidRDefault="00E87318" w:rsidP="00EE04BF">
          <w:pPr>
            <w:pStyle w:val="TOC1"/>
            <w:rPr>
              <w:rFonts w:eastAsiaTheme="minorEastAsia"/>
              <w:noProof/>
              <w:lang w:eastAsia="en-GB"/>
            </w:rPr>
          </w:pPr>
          <w:hyperlink w:anchor="_Toc126762224" w:history="1">
            <w:r w:rsidR="00653876" w:rsidRPr="004534E7">
              <w:rPr>
                <w:rStyle w:val="Hyperlink"/>
                <w:rFonts w:ascii="Times New Roman" w:hAnsi="Times New Roman" w:cs="Times New Roman"/>
                <w:noProof/>
              </w:rPr>
              <w:t>4</w:t>
            </w:r>
            <w:r w:rsidR="00653876">
              <w:rPr>
                <w:rFonts w:eastAsiaTheme="minorEastAsia"/>
                <w:noProof/>
                <w:lang w:eastAsia="en-GB"/>
              </w:rPr>
              <w:tab/>
            </w:r>
            <w:r w:rsidR="00653876" w:rsidRPr="004534E7">
              <w:rPr>
                <w:rStyle w:val="Hyperlink"/>
                <w:rFonts w:ascii="Times New Roman" w:hAnsi="Times New Roman" w:cs="Times New Roman"/>
                <w:noProof/>
              </w:rPr>
              <w:t>Sectoral Interventions</w:t>
            </w:r>
            <w:r w:rsidR="00653876">
              <w:rPr>
                <w:noProof/>
                <w:webHidden/>
              </w:rPr>
              <w:tab/>
            </w:r>
            <w:r w:rsidR="00653876">
              <w:rPr>
                <w:noProof/>
                <w:webHidden/>
              </w:rPr>
              <w:fldChar w:fldCharType="begin"/>
            </w:r>
            <w:r w:rsidR="00653876">
              <w:rPr>
                <w:noProof/>
                <w:webHidden/>
              </w:rPr>
              <w:instrText xml:space="preserve"> PAGEREF _Toc126762224 \h </w:instrText>
            </w:r>
            <w:r w:rsidR="00653876">
              <w:rPr>
                <w:noProof/>
                <w:webHidden/>
              </w:rPr>
            </w:r>
            <w:r w:rsidR="00653876">
              <w:rPr>
                <w:noProof/>
                <w:webHidden/>
              </w:rPr>
              <w:fldChar w:fldCharType="separate"/>
            </w:r>
            <w:r w:rsidR="00E7176D">
              <w:rPr>
                <w:noProof/>
                <w:webHidden/>
              </w:rPr>
              <w:t>19</w:t>
            </w:r>
            <w:r w:rsidR="00653876">
              <w:rPr>
                <w:noProof/>
                <w:webHidden/>
              </w:rPr>
              <w:fldChar w:fldCharType="end"/>
            </w:r>
          </w:hyperlink>
        </w:p>
        <w:p w14:paraId="0D691A1C" w14:textId="334F6BF2" w:rsidR="00653876" w:rsidRDefault="00E87318" w:rsidP="00EE04BF">
          <w:pPr>
            <w:pStyle w:val="TOC1"/>
            <w:rPr>
              <w:rFonts w:eastAsiaTheme="minorEastAsia"/>
              <w:noProof/>
              <w:lang w:eastAsia="en-GB"/>
            </w:rPr>
          </w:pPr>
          <w:hyperlink w:anchor="_Toc126762225" w:history="1">
            <w:r w:rsidR="00653876" w:rsidRPr="004534E7">
              <w:rPr>
                <w:rStyle w:val="Hyperlink"/>
                <w:rFonts w:ascii="Times New Roman" w:hAnsi="Times New Roman" w:cs="Times New Roman"/>
                <w:noProof/>
              </w:rPr>
              <w:t>5</w:t>
            </w:r>
            <w:r w:rsidR="00653876">
              <w:rPr>
                <w:rFonts w:eastAsiaTheme="minorEastAsia"/>
                <w:noProof/>
                <w:lang w:eastAsia="en-GB"/>
              </w:rPr>
              <w:tab/>
            </w:r>
            <w:r w:rsidR="00653876" w:rsidRPr="004534E7">
              <w:rPr>
                <w:rStyle w:val="Hyperlink"/>
                <w:rFonts w:ascii="Times New Roman" w:hAnsi="Times New Roman" w:cs="Times New Roman"/>
                <w:noProof/>
              </w:rPr>
              <w:t>Leader</w:t>
            </w:r>
            <w:r w:rsidR="00653876">
              <w:rPr>
                <w:noProof/>
                <w:webHidden/>
              </w:rPr>
              <w:tab/>
            </w:r>
            <w:r w:rsidR="00653876">
              <w:rPr>
                <w:noProof/>
                <w:webHidden/>
              </w:rPr>
              <w:fldChar w:fldCharType="begin"/>
            </w:r>
            <w:r w:rsidR="00653876">
              <w:rPr>
                <w:noProof/>
                <w:webHidden/>
              </w:rPr>
              <w:instrText xml:space="preserve"> PAGEREF _Toc126762225 \h </w:instrText>
            </w:r>
            <w:r w:rsidR="00653876">
              <w:rPr>
                <w:noProof/>
                <w:webHidden/>
              </w:rPr>
            </w:r>
            <w:r w:rsidR="00653876">
              <w:rPr>
                <w:noProof/>
                <w:webHidden/>
              </w:rPr>
              <w:fldChar w:fldCharType="separate"/>
            </w:r>
            <w:r w:rsidR="00E7176D">
              <w:rPr>
                <w:noProof/>
                <w:webHidden/>
              </w:rPr>
              <w:t>20</w:t>
            </w:r>
            <w:r w:rsidR="00653876">
              <w:rPr>
                <w:noProof/>
                <w:webHidden/>
              </w:rPr>
              <w:fldChar w:fldCharType="end"/>
            </w:r>
          </w:hyperlink>
        </w:p>
        <w:p w14:paraId="141B5BFF" w14:textId="03539033" w:rsidR="00653876" w:rsidRDefault="00E87318" w:rsidP="00EE04BF">
          <w:pPr>
            <w:pStyle w:val="TOC1"/>
            <w:rPr>
              <w:rFonts w:eastAsiaTheme="minorEastAsia"/>
              <w:noProof/>
              <w:lang w:eastAsia="en-GB"/>
            </w:rPr>
          </w:pPr>
          <w:hyperlink w:anchor="_Toc126762226" w:history="1">
            <w:r w:rsidR="00653876" w:rsidRPr="004534E7">
              <w:rPr>
                <w:rStyle w:val="Hyperlink"/>
                <w:rFonts w:ascii="Times New Roman" w:hAnsi="Times New Roman" w:cs="Times New Roman"/>
                <w:noProof/>
              </w:rPr>
              <w:t>6</w:t>
            </w:r>
            <w:r w:rsidR="00653876">
              <w:rPr>
                <w:rFonts w:eastAsiaTheme="minorEastAsia"/>
                <w:noProof/>
                <w:lang w:eastAsia="en-GB"/>
              </w:rPr>
              <w:tab/>
            </w:r>
            <w:r w:rsidR="00653876" w:rsidRPr="004534E7">
              <w:rPr>
                <w:rStyle w:val="Hyperlink"/>
                <w:rFonts w:ascii="Times New Roman" w:hAnsi="Times New Roman" w:cs="Times New Roman"/>
                <w:noProof/>
              </w:rPr>
              <w:t>Annex I: Types of interventions and associated output indicators</w:t>
            </w:r>
            <w:r w:rsidR="00653876">
              <w:rPr>
                <w:noProof/>
                <w:webHidden/>
              </w:rPr>
              <w:tab/>
            </w:r>
            <w:r w:rsidR="00653876">
              <w:rPr>
                <w:noProof/>
                <w:webHidden/>
              </w:rPr>
              <w:fldChar w:fldCharType="begin"/>
            </w:r>
            <w:r w:rsidR="00653876">
              <w:rPr>
                <w:noProof/>
                <w:webHidden/>
              </w:rPr>
              <w:instrText xml:space="preserve"> PAGEREF _Toc126762226 \h </w:instrText>
            </w:r>
            <w:r w:rsidR="00653876">
              <w:rPr>
                <w:noProof/>
                <w:webHidden/>
              </w:rPr>
            </w:r>
            <w:r w:rsidR="00653876">
              <w:rPr>
                <w:noProof/>
                <w:webHidden/>
              </w:rPr>
              <w:fldChar w:fldCharType="separate"/>
            </w:r>
            <w:r w:rsidR="00E7176D">
              <w:rPr>
                <w:noProof/>
                <w:webHidden/>
              </w:rPr>
              <w:t>21</w:t>
            </w:r>
            <w:r w:rsidR="00653876">
              <w:rPr>
                <w:noProof/>
                <w:webHidden/>
              </w:rPr>
              <w:fldChar w:fldCharType="end"/>
            </w:r>
          </w:hyperlink>
        </w:p>
        <w:p w14:paraId="78A50579" w14:textId="33CEE727" w:rsidR="00653876" w:rsidRDefault="00E87318" w:rsidP="00EE04BF">
          <w:pPr>
            <w:pStyle w:val="TOC1"/>
            <w:rPr>
              <w:rFonts w:eastAsiaTheme="minorEastAsia"/>
              <w:noProof/>
              <w:lang w:eastAsia="en-GB"/>
            </w:rPr>
          </w:pPr>
          <w:hyperlink w:anchor="_Toc126762227" w:history="1">
            <w:r w:rsidR="00653876" w:rsidRPr="004534E7">
              <w:rPr>
                <w:rStyle w:val="Hyperlink"/>
                <w:rFonts w:ascii="Times New Roman" w:hAnsi="Times New Roman" w:cs="Times New Roman"/>
                <w:noProof/>
              </w:rPr>
              <w:t>7</w:t>
            </w:r>
            <w:r w:rsidR="00653876">
              <w:rPr>
                <w:rFonts w:eastAsiaTheme="minorEastAsia"/>
                <w:noProof/>
                <w:lang w:eastAsia="en-GB"/>
              </w:rPr>
              <w:tab/>
            </w:r>
            <w:r w:rsidR="00653876" w:rsidRPr="004534E7">
              <w:rPr>
                <w:rStyle w:val="Hyperlink"/>
                <w:rFonts w:ascii="Times New Roman" w:hAnsi="Times New Roman" w:cs="Times New Roman"/>
                <w:noProof/>
              </w:rPr>
              <w:t>Annex II: Possible units of measurement for outputs</w:t>
            </w:r>
            <w:r w:rsidR="00653876">
              <w:rPr>
                <w:noProof/>
                <w:webHidden/>
              </w:rPr>
              <w:tab/>
            </w:r>
            <w:r w:rsidR="00653876">
              <w:rPr>
                <w:noProof/>
                <w:webHidden/>
              </w:rPr>
              <w:fldChar w:fldCharType="begin"/>
            </w:r>
            <w:r w:rsidR="00653876">
              <w:rPr>
                <w:noProof/>
                <w:webHidden/>
              </w:rPr>
              <w:instrText xml:space="preserve"> PAGEREF _Toc126762227 \h </w:instrText>
            </w:r>
            <w:r w:rsidR="00653876">
              <w:rPr>
                <w:noProof/>
                <w:webHidden/>
              </w:rPr>
            </w:r>
            <w:r w:rsidR="00653876">
              <w:rPr>
                <w:noProof/>
                <w:webHidden/>
              </w:rPr>
              <w:fldChar w:fldCharType="separate"/>
            </w:r>
            <w:r w:rsidR="00E7176D">
              <w:rPr>
                <w:noProof/>
                <w:webHidden/>
              </w:rPr>
              <w:t>23</w:t>
            </w:r>
            <w:r w:rsidR="00653876">
              <w:rPr>
                <w:noProof/>
                <w:webHidden/>
              </w:rPr>
              <w:fldChar w:fldCharType="end"/>
            </w:r>
          </w:hyperlink>
        </w:p>
        <w:p w14:paraId="6DCFE9DE" w14:textId="7B5C88C3" w:rsidR="00653876" w:rsidRDefault="00E87318" w:rsidP="00EE04BF">
          <w:pPr>
            <w:pStyle w:val="TOC1"/>
            <w:rPr>
              <w:rFonts w:eastAsiaTheme="minorEastAsia"/>
              <w:noProof/>
              <w:lang w:eastAsia="en-GB"/>
            </w:rPr>
          </w:pPr>
          <w:hyperlink w:anchor="_Toc126762228" w:history="1">
            <w:r w:rsidR="00653876" w:rsidRPr="004534E7">
              <w:rPr>
                <w:rStyle w:val="Hyperlink"/>
                <w:rFonts w:ascii="Times New Roman" w:hAnsi="Times New Roman" w:cs="Times New Roman"/>
                <w:noProof/>
              </w:rPr>
              <w:t>8</w:t>
            </w:r>
            <w:r w:rsidR="00653876">
              <w:rPr>
                <w:rFonts w:eastAsiaTheme="minorEastAsia"/>
                <w:noProof/>
                <w:lang w:eastAsia="en-GB"/>
              </w:rPr>
              <w:tab/>
            </w:r>
            <w:r w:rsidR="00653876" w:rsidRPr="004534E7">
              <w:rPr>
                <w:rStyle w:val="Hyperlink"/>
                <w:rFonts w:ascii="Times New Roman" w:hAnsi="Times New Roman" w:cs="Times New Roman"/>
                <w:noProof/>
              </w:rPr>
              <w:t>Annex III: Types of interventions using financial instruments</w:t>
            </w:r>
            <w:r w:rsidR="00653876">
              <w:rPr>
                <w:noProof/>
                <w:webHidden/>
              </w:rPr>
              <w:tab/>
            </w:r>
            <w:r w:rsidR="00653876">
              <w:rPr>
                <w:noProof/>
                <w:webHidden/>
              </w:rPr>
              <w:fldChar w:fldCharType="begin"/>
            </w:r>
            <w:r w:rsidR="00653876">
              <w:rPr>
                <w:noProof/>
                <w:webHidden/>
              </w:rPr>
              <w:instrText xml:space="preserve"> PAGEREF _Toc126762228 \h </w:instrText>
            </w:r>
            <w:r w:rsidR="00653876">
              <w:rPr>
                <w:noProof/>
                <w:webHidden/>
              </w:rPr>
            </w:r>
            <w:r w:rsidR="00653876">
              <w:rPr>
                <w:noProof/>
                <w:webHidden/>
              </w:rPr>
              <w:fldChar w:fldCharType="separate"/>
            </w:r>
            <w:r w:rsidR="00E7176D">
              <w:rPr>
                <w:noProof/>
                <w:webHidden/>
              </w:rPr>
              <w:t>26</w:t>
            </w:r>
            <w:r w:rsidR="00653876">
              <w:rPr>
                <w:noProof/>
                <w:webHidden/>
              </w:rPr>
              <w:fldChar w:fldCharType="end"/>
            </w:r>
          </w:hyperlink>
        </w:p>
        <w:p w14:paraId="5C4BCDAD" w14:textId="60350866" w:rsidR="00653876" w:rsidRDefault="00E87318" w:rsidP="00EE04BF">
          <w:pPr>
            <w:pStyle w:val="TOC1"/>
            <w:rPr>
              <w:rFonts w:eastAsiaTheme="minorEastAsia"/>
              <w:noProof/>
              <w:lang w:eastAsia="en-GB"/>
            </w:rPr>
          </w:pPr>
          <w:hyperlink w:anchor="_Toc126762229" w:history="1">
            <w:r w:rsidR="00653876" w:rsidRPr="004534E7">
              <w:rPr>
                <w:rStyle w:val="Hyperlink"/>
                <w:rFonts w:ascii="Times New Roman" w:hAnsi="Times New Roman" w:cs="Times New Roman"/>
                <w:noProof/>
              </w:rPr>
              <w:t>9</w:t>
            </w:r>
            <w:r w:rsidR="00653876">
              <w:rPr>
                <w:rFonts w:eastAsiaTheme="minorEastAsia"/>
                <w:noProof/>
                <w:lang w:eastAsia="en-GB"/>
              </w:rPr>
              <w:tab/>
            </w:r>
            <w:r w:rsidR="00653876" w:rsidRPr="004534E7">
              <w:rPr>
                <w:rStyle w:val="Hyperlink"/>
                <w:rFonts w:ascii="Times New Roman" w:hAnsi="Times New Roman" w:cs="Times New Roman"/>
                <w:noProof/>
              </w:rPr>
              <w:t>Annex IV: Coefficients to convert animals in livestock units</w:t>
            </w:r>
            <w:r w:rsidR="00653876">
              <w:rPr>
                <w:noProof/>
                <w:webHidden/>
              </w:rPr>
              <w:tab/>
            </w:r>
            <w:r w:rsidR="00653876">
              <w:rPr>
                <w:noProof/>
                <w:webHidden/>
              </w:rPr>
              <w:fldChar w:fldCharType="begin"/>
            </w:r>
            <w:r w:rsidR="00653876">
              <w:rPr>
                <w:noProof/>
                <w:webHidden/>
              </w:rPr>
              <w:instrText xml:space="preserve"> PAGEREF _Toc126762229 \h </w:instrText>
            </w:r>
            <w:r w:rsidR="00653876">
              <w:rPr>
                <w:noProof/>
                <w:webHidden/>
              </w:rPr>
            </w:r>
            <w:r w:rsidR="00653876">
              <w:rPr>
                <w:noProof/>
                <w:webHidden/>
              </w:rPr>
              <w:fldChar w:fldCharType="separate"/>
            </w:r>
            <w:r w:rsidR="00E7176D">
              <w:rPr>
                <w:noProof/>
                <w:webHidden/>
              </w:rPr>
              <w:t>28</w:t>
            </w:r>
            <w:r w:rsidR="00653876">
              <w:rPr>
                <w:noProof/>
                <w:webHidden/>
              </w:rPr>
              <w:fldChar w:fldCharType="end"/>
            </w:r>
          </w:hyperlink>
        </w:p>
        <w:p w14:paraId="631E5291" w14:textId="4CDBC3E2" w:rsidR="00653876" w:rsidRDefault="00E87318" w:rsidP="00EE04BF">
          <w:pPr>
            <w:pStyle w:val="TOC1"/>
            <w:rPr>
              <w:rFonts w:eastAsiaTheme="minorEastAsia"/>
              <w:noProof/>
              <w:lang w:eastAsia="en-GB"/>
            </w:rPr>
          </w:pPr>
          <w:hyperlink w:anchor="_Toc126762230" w:history="1">
            <w:r w:rsidR="00653876" w:rsidRPr="004534E7">
              <w:rPr>
                <w:rStyle w:val="Hyperlink"/>
                <w:rFonts w:ascii="Times New Roman" w:hAnsi="Times New Roman" w:cs="Times New Roman"/>
                <w:noProof/>
              </w:rPr>
              <w:t>10</w:t>
            </w:r>
            <w:r w:rsidR="00653876">
              <w:rPr>
                <w:rFonts w:eastAsiaTheme="minorEastAsia"/>
                <w:noProof/>
                <w:lang w:eastAsia="en-GB"/>
              </w:rPr>
              <w:tab/>
            </w:r>
            <w:r w:rsidR="00653876" w:rsidRPr="004534E7">
              <w:rPr>
                <w:rStyle w:val="Hyperlink"/>
                <w:rFonts w:ascii="Times New Roman" w:hAnsi="Times New Roman" w:cs="Times New Roman"/>
                <w:noProof/>
              </w:rPr>
              <w:t>Annex V: How to calculate partial outputs for non-IACS interventions when additional national financing is provided for these interventions</w:t>
            </w:r>
            <w:r w:rsidR="00653876">
              <w:rPr>
                <w:noProof/>
                <w:webHidden/>
              </w:rPr>
              <w:tab/>
            </w:r>
            <w:r w:rsidR="00653876">
              <w:rPr>
                <w:noProof/>
                <w:webHidden/>
              </w:rPr>
              <w:fldChar w:fldCharType="begin"/>
            </w:r>
            <w:r w:rsidR="00653876">
              <w:rPr>
                <w:noProof/>
                <w:webHidden/>
              </w:rPr>
              <w:instrText xml:space="preserve"> PAGEREF _Toc126762230 \h </w:instrText>
            </w:r>
            <w:r w:rsidR="00653876">
              <w:rPr>
                <w:noProof/>
                <w:webHidden/>
              </w:rPr>
            </w:r>
            <w:r w:rsidR="00653876">
              <w:rPr>
                <w:noProof/>
                <w:webHidden/>
              </w:rPr>
              <w:fldChar w:fldCharType="separate"/>
            </w:r>
            <w:r w:rsidR="00E7176D">
              <w:rPr>
                <w:noProof/>
                <w:webHidden/>
              </w:rPr>
              <w:t>29</w:t>
            </w:r>
            <w:r w:rsidR="00653876">
              <w:rPr>
                <w:noProof/>
                <w:webHidden/>
              </w:rPr>
              <w:fldChar w:fldCharType="end"/>
            </w:r>
          </w:hyperlink>
        </w:p>
        <w:p w14:paraId="1D527406" w14:textId="02461DA7" w:rsidR="00653876" w:rsidRDefault="00E87318" w:rsidP="00EE04BF">
          <w:pPr>
            <w:pStyle w:val="TOC1"/>
            <w:rPr>
              <w:rFonts w:eastAsiaTheme="minorEastAsia"/>
              <w:noProof/>
              <w:lang w:eastAsia="en-GB"/>
            </w:rPr>
          </w:pPr>
          <w:hyperlink w:anchor="_Toc126762231" w:history="1">
            <w:r w:rsidR="00653876" w:rsidRPr="004534E7">
              <w:rPr>
                <w:rStyle w:val="Hyperlink"/>
                <w:rFonts w:ascii="Times New Roman" w:hAnsi="Times New Roman" w:cs="Times New Roman"/>
                <w:noProof/>
              </w:rPr>
              <w:t>11</w:t>
            </w:r>
            <w:r w:rsidR="00653876">
              <w:rPr>
                <w:rFonts w:eastAsiaTheme="minorEastAsia"/>
                <w:noProof/>
                <w:lang w:eastAsia="en-GB"/>
              </w:rPr>
              <w:tab/>
            </w:r>
            <w:r w:rsidR="00653876" w:rsidRPr="004534E7">
              <w:rPr>
                <w:rStyle w:val="Hyperlink"/>
                <w:rFonts w:ascii="Times New Roman" w:hAnsi="Times New Roman" w:cs="Times New Roman"/>
                <w:noProof/>
              </w:rPr>
              <w:t>Annex VI: Rule to avoid double counting</w:t>
            </w:r>
            <w:r w:rsidR="00653876">
              <w:rPr>
                <w:noProof/>
                <w:webHidden/>
              </w:rPr>
              <w:tab/>
            </w:r>
            <w:r w:rsidR="00653876">
              <w:rPr>
                <w:noProof/>
                <w:webHidden/>
              </w:rPr>
              <w:fldChar w:fldCharType="begin"/>
            </w:r>
            <w:r w:rsidR="00653876">
              <w:rPr>
                <w:noProof/>
                <w:webHidden/>
              </w:rPr>
              <w:instrText xml:space="preserve"> PAGEREF _Toc126762231 \h </w:instrText>
            </w:r>
            <w:r w:rsidR="00653876">
              <w:rPr>
                <w:noProof/>
                <w:webHidden/>
              </w:rPr>
            </w:r>
            <w:r w:rsidR="00653876">
              <w:rPr>
                <w:noProof/>
                <w:webHidden/>
              </w:rPr>
              <w:fldChar w:fldCharType="separate"/>
            </w:r>
            <w:r w:rsidR="00E7176D">
              <w:rPr>
                <w:noProof/>
                <w:webHidden/>
              </w:rPr>
              <w:t>31</w:t>
            </w:r>
            <w:r w:rsidR="00653876">
              <w:rPr>
                <w:noProof/>
                <w:webHidden/>
              </w:rPr>
              <w:fldChar w:fldCharType="end"/>
            </w:r>
          </w:hyperlink>
        </w:p>
        <w:p w14:paraId="7F39BA81" w14:textId="41852C5B" w:rsidR="00653876" w:rsidRDefault="00E87318" w:rsidP="00EE04BF">
          <w:pPr>
            <w:pStyle w:val="TOC1"/>
            <w:rPr>
              <w:rFonts w:eastAsiaTheme="minorEastAsia"/>
              <w:noProof/>
              <w:lang w:eastAsia="en-GB"/>
            </w:rPr>
          </w:pPr>
          <w:hyperlink w:anchor="_Toc126762232" w:history="1">
            <w:r w:rsidR="00653876" w:rsidRPr="004534E7">
              <w:rPr>
                <w:rStyle w:val="Hyperlink"/>
                <w:rFonts w:ascii="Times New Roman" w:hAnsi="Times New Roman" w:cs="Times New Roman"/>
                <w:noProof/>
              </w:rPr>
              <w:t>12</w:t>
            </w:r>
            <w:r w:rsidR="00653876">
              <w:rPr>
                <w:rFonts w:eastAsiaTheme="minorEastAsia"/>
                <w:noProof/>
                <w:lang w:eastAsia="en-GB"/>
              </w:rPr>
              <w:tab/>
            </w:r>
            <w:r w:rsidR="00653876" w:rsidRPr="004534E7">
              <w:rPr>
                <w:rStyle w:val="Hyperlink"/>
                <w:rFonts w:ascii="Times New Roman" w:hAnsi="Times New Roman" w:cs="Times New Roman"/>
                <w:noProof/>
              </w:rPr>
              <w:t>Annex VII: Link between results indicators and specific objectives</w:t>
            </w:r>
            <w:r w:rsidR="00653876">
              <w:rPr>
                <w:noProof/>
                <w:webHidden/>
              </w:rPr>
              <w:tab/>
            </w:r>
            <w:r w:rsidR="00653876">
              <w:rPr>
                <w:noProof/>
                <w:webHidden/>
              </w:rPr>
              <w:fldChar w:fldCharType="begin"/>
            </w:r>
            <w:r w:rsidR="00653876">
              <w:rPr>
                <w:noProof/>
                <w:webHidden/>
              </w:rPr>
              <w:instrText xml:space="preserve"> PAGEREF _Toc126762232 \h </w:instrText>
            </w:r>
            <w:r w:rsidR="00653876">
              <w:rPr>
                <w:noProof/>
                <w:webHidden/>
              </w:rPr>
            </w:r>
            <w:r w:rsidR="00653876">
              <w:rPr>
                <w:noProof/>
                <w:webHidden/>
              </w:rPr>
              <w:fldChar w:fldCharType="separate"/>
            </w:r>
            <w:r w:rsidR="00E7176D">
              <w:rPr>
                <w:noProof/>
                <w:webHidden/>
              </w:rPr>
              <w:t>32</w:t>
            </w:r>
            <w:r w:rsidR="00653876">
              <w:rPr>
                <w:noProof/>
                <w:webHidden/>
              </w:rPr>
              <w:fldChar w:fldCharType="end"/>
            </w:r>
          </w:hyperlink>
        </w:p>
        <w:p w14:paraId="64B4ED22" w14:textId="7A13B7C8" w:rsidR="00653876" w:rsidRDefault="00E87318" w:rsidP="00EE04BF">
          <w:pPr>
            <w:pStyle w:val="TOC1"/>
            <w:rPr>
              <w:rFonts w:eastAsiaTheme="minorEastAsia"/>
              <w:noProof/>
              <w:lang w:eastAsia="en-GB"/>
            </w:rPr>
          </w:pPr>
          <w:hyperlink w:anchor="_Toc126762233" w:history="1">
            <w:r w:rsidR="00653876" w:rsidRPr="004534E7">
              <w:rPr>
                <w:rStyle w:val="Hyperlink"/>
                <w:rFonts w:ascii="Times New Roman" w:hAnsi="Times New Roman" w:cs="Times New Roman"/>
                <w:noProof/>
              </w:rPr>
              <w:t>13</w:t>
            </w:r>
            <w:r w:rsidR="00653876">
              <w:rPr>
                <w:rFonts w:eastAsiaTheme="minorEastAsia"/>
                <w:noProof/>
                <w:lang w:eastAsia="en-GB"/>
              </w:rPr>
              <w:tab/>
            </w:r>
            <w:r w:rsidR="00653876" w:rsidRPr="004534E7">
              <w:rPr>
                <w:rStyle w:val="Hyperlink"/>
                <w:rFonts w:ascii="Times New Roman" w:hAnsi="Times New Roman" w:cs="Times New Roman"/>
                <w:noProof/>
              </w:rPr>
              <w:t>Annex VIII: Matrix linking result indicators and specific objectives</w:t>
            </w:r>
            <w:r w:rsidR="00653876">
              <w:rPr>
                <w:noProof/>
                <w:webHidden/>
              </w:rPr>
              <w:tab/>
            </w:r>
            <w:r w:rsidR="00653876">
              <w:rPr>
                <w:noProof/>
                <w:webHidden/>
              </w:rPr>
              <w:fldChar w:fldCharType="begin"/>
            </w:r>
            <w:r w:rsidR="00653876">
              <w:rPr>
                <w:noProof/>
                <w:webHidden/>
              </w:rPr>
              <w:instrText xml:space="preserve"> PAGEREF _Toc126762233 \h </w:instrText>
            </w:r>
            <w:r w:rsidR="00653876">
              <w:rPr>
                <w:noProof/>
                <w:webHidden/>
              </w:rPr>
            </w:r>
            <w:r w:rsidR="00653876">
              <w:rPr>
                <w:noProof/>
                <w:webHidden/>
              </w:rPr>
              <w:fldChar w:fldCharType="separate"/>
            </w:r>
            <w:r w:rsidR="00E7176D">
              <w:rPr>
                <w:noProof/>
                <w:webHidden/>
              </w:rPr>
              <w:t>35</w:t>
            </w:r>
            <w:r w:rsidR="00653876">
              <w:rPr>
                <w:noProof/>
                <w:webHidden/>
              </w:rPr>
              <w:fldChar w:fldCharType="end"/>
            </w:r>
          </w:hyperlink>
        </w:p>
        <w:p w14:paraId="0BFA1E60" w14:textId="4C07270B" w:rsidR="00653876" w:rsidRDefault="00E87318" w:rsidP="00EE04BF">
          <w:pPr>
            <w:pStyle w:val="TOC1"/>
            <w:rPr>
              <w:rFonts w:eastAsiaTheme="minorEastAsia"/>
              <w:noProof/>
              <w:lang w:eastAsia="en-GB"/>
            </w:rPr>
          </w:pPr>
          <w:hyperlink w:anchor="_Toc126762234" w:history="1">
            <w:r w:rsidR="00653876" w:rsidRPr="004534E7">
              <w:rPr>
                <w:rStyle w:val="Hyperlink"/>
                <w:rFonts w:ascii="Times New Roman" w:hAnsi="Times New Roman" w:cs="Times New Roman"/>
                <w:noProof/>
              </w:rPr>
              <w:t>14</w:t>
            </w:r>
            <w:r w:rsidR="00653876">
              <w:rPr>
                <w:rFonts w:eastAsiaTheme="minorEastAsia"/>
                <w:noProof/>
                <w:lang w:eastAsia="en-GB"/>
              </w:rPr>
              <w:tab/>
            </w:r>
            <w:r w:rsidR="00653876" w:rsidRPr="004534E7">
              <w:rPr>
                <w:rStyle w:val="Hyperlink"/>
                <w:rFonts w:ascii="Times New Roman" w:hAnsi="Times New Roman" w:cs="Times New Roman"/>
                <w:noProof/>
              </w:rPr>
              <w:t>Annex IX: How to report cumulative values for result indicators</w:t>
            </w:r>
            <w:r w:rsidR="00653876">
              <w:rPr>
                <w:noProof/>
                <w:webHidden/>
              </w:rPr>
              <w:tab/>
            </w:r>
            <w:r w:rsidR="00653876">
              <w:rPr>
                <w:noProof/>
                <w:webHidden/>
              </w:rPr>
              <w:fldChar w:fldCharType="begin"/>
            </w:r>
            <w:r w:rsidR="00653876">
              <w:rPr>
                <w:noProof/>
                <w:webHidden/>
              </w:rPr>
              <w:instrText xml:space="preserve"> PAGEREF _Toc126762234 \h </w:instrText>
            </w:r>
            <w:r w:rsidR="00653876">
              <w:rPr>
                <w:noProof/>
                <w:webHidden/>
              </w:rPr>
            </w:r>
            <w:r w:rsidR="00653876">
              <w:rPr>
                <w:noProof/>
                <w:webHidden/>
              </w:rPr>
              <w:fldChar w:fldCharType="separate"/>
            </w:r>
            <w:r w:rsidR="00E7176D">
              <w:rPr>
                <w:noProof/>
                <w:webHidden/>
              </w:rPr>
              <w:t>41</w:t>
            </w:r>
            <w:r w:rsidR="00653876">
              <w:rPr>
                <w:noProof/>
                <w:webHidden/>
              </w:rPr>
              <w:fldChar w:fldCharType="end"/>
            </w:r>
          </w:hyperlink>
        </w:p>
        <w:p w14:paraId="156C075E" w14:textId="2A65B1E3" w:rsidR="00653876" w:rsidRDefault="00E87318" w:rsidP="00EE04BF">
          <w:pPr>
            <w:pStyle w:val="TOC1"/>
            <w:rPr>
              <w:rFonts w:eastAsiaTheme="minorEastAsia"/>
              <w:noProof/>
              <w:lang w:eastAsia="en-GB"/>
            </w:rPr>
          </w:pPr>
          <w:hyperlink w:anchor="_Toc126762235" w:history="1">
            <w:r w:rsidR="00653876" w:rsidRPr="004534E7">
              <w:rPr>
                <w:rStyle w:val="Hyperlink"/>
                <w:rFonts w:ascii="Times New Roman" w:hAnsi="Times New Roman" w:cs="Times New Roman"/>
                <w:noProof/>
              </w:rPr>
              <w:t>15</w:t>
            </w:r>
            <w:r w:rsidR="00653876">
              <w:rPr>
                <w:rFonts w:eastAsiaTheme="minorEastAsia"/>
                <w:noProof/>
                <w:lang w:eastAsia="en-GB"/>
              </w:rPr>
              <w:tab/>
            </w:r>
            <w:r w:rsidR="00653876" w:rsidRPr="004534E7">
              <w:rPr>
                <w:rStyle w:val="Hyperlink"/>
                <w:rFonts w:ascii="Times New Roman" w:hAnsi="Times New Roman" w:cs="Times New Roman"/>
                <w:noProof/>
              </w:rPr>
              <w:t>Annex X: How to calculate R.6, R.7 and R.43</w:t>
            </w:r>
            <w:r w:rsidR="00653876">
              <w:rPr>
                <w:noProof/>
                <w:webHidden/>
              </w:rPr>
              <w:tab/>
            </w:r>
            <w:r w:rsidR="00653876">
              <w:rPr>
                <w:noProof/>
                <w:webHidden/>
              </w:rPr>
              <w:fldChar w:fldCharType="begin"/>
            </w:r>
            <w:r w:rsidR="00653876">
              <w:rPr>
                <w:noProof/>
                <w:webHidden/>
              </w:rPr>
              <w:instrText xml:space="preserve"> PAGEREF _Toc126762235 \h </w:instrText>
            </w:r>
            <w:r w:rsidR="00653876">
              <w:rPr>
                <w:noProof/>
                <w:webHidden/>
              </w:rPr>
            </w:r>
            <w:r w:rsidR="00653876">
              <w:rPr>
                <w:noProof/>
                <w:webHidden/>
              </w:rPr>
              <w:fldChar w:fldCharType="separate"/>
            </w:r>
            <w:r w:rsidR="00E7176D">
              <w:rPr>
                <w:noProof/>
                <w:webHidden/>
              </w:rPr>
              <w:t>45</w:t>
            </w:r>
            <w:r w:rsidR="00653876">
              <w:rPr>
                <w:noProof/>
                <w:webHidden/>
              </w:rPr>
              <w:fldChar w:fldCharType="end"/>
            </w:r>
          </w:hyperlink>
        </w:p>
        <w:p w14:paraId="6C63675B" w14:textId="5B421065" w:rsidR="00653876" w:rsidRDefault="00E87318" w:rsidP="00EE04BF">
          <w:pPr>
            <w:pStyle w:val="TOC1"/>
            <w:rPr>
              <w:rFonts w:eastAsiaTheme="minorEastAsia"/>
              <w:noProof/>
              <w:lang w:eastAsia="en-GB"/>
            </w:rPr>
          </w:pPr>
          <w:hyperlink w:anchor="_Toc126762236" w:history="1">
            <w:r w:rsidR="00653876" w:rsidRPr="004534E7">
              <w:rPr>
                <w:rStyle w:val="Hyperlink"/>
                <w:rFonts w:ascii="Times New Roman" w:hAnsi="Times New Roman" w:cs="Times New Roman"/>
                <w:noProof/>
              </w:rPr>
              <w:t>16</w:t>
            </w:r>
            <w:r w:rsidR="00653876">
              <w:rPr>
                <w:rFonts w:eastAsiaTheme="minorEastAsia"/>
                <w:noProof/>
                <w:lang w:eastAsia="en-GB"/>
              </w:rPr>
              <w:tab/>
            </w:r>
            <w:r w:rsidR="00653876" w:rsidRPr="004534E7">
              <w:rPr>
                <w:rStyle w:val="Hyperlink"/>
                <w:rFonts w:ascii="Times New Roman" w:hAnsi="Times New Roman" w:cs="Times New Roman"/>
                <w:noProof/>
              </w:rPr>
              <w:t>Annex XI: Where to record sectoral types of interventions?</w:t>
            </w:r>
            <w:r w:rsidR="00653876">
              <w:rPr>
                <w:noProof/>
                <w:webHidden/>
              </w:rPr>
              <w:tab/>
            </w:r>
            <w:r w:rsidR="00653876">
              <w:rPr>
                <w:noProof/>
                <w:webHidden/>
              </w:rPr>
              <w:fldChar w:fldCharType="begin"/>
            </w:r>
            <w:r w:rsidR="00653876">
              <w:rPr>
                <w:noProof/>
                <w:webHidden/>
              </w:rPr>
              <w:instrText xml:space="preserve"> PAGEREF _Toc126762236 \h </w:instrText>
            </w:r>
            <w:r w:rsidR="00653876">
              <w:rPr>
                <w:noProof/>
                <w:webHidden/>
              </w:rPr>
            </w:r>
            <w:r w:rsidR="00653876">
              <w:rPr>
                <w:noProof/>
                <w:webHidden/>
              </w:rPr>
              <w:fldChar w:fldCharType="separate"/>
            </w:r>
            <w:r w:rsidR="00E7176D">
              <w:rPr>
                <w:noProof/>
                <w:webHidden/>
              </w:rPr>
              <w:t>50</w:t>
            </w:r>
            <w:r w:rsidR="00653876">
              <w:rPr>
                <w:noProof/>
                <w:webHidden/>
              </w:rPr>
              <w:fldChar w:fldCharType="end"/>
            </w:r>
          </w:hyperlink>
        </w:p>
        <w:p w14:paraId="28854BA1" w14:textId="21A02B7E" w:rsidR="00AC1DA5" w:rsidRPr="003C2ED3" w:rsidRDefault="00F8638D" w:rsidP="00A82615">
          <w:pPr>
            <w:spacing w:after="120" w:line="264" w:lineRule="auto"/>
            <w:rPr>
              <w:rFonts w:ascii="Times New Roman" w:hAnsi="Times New Roman" w:cs="Times New Roman"/>
              <w:color w:val="C45911" w:themeColor="accent2" w:themeShade="BF"/>
              <w:sz w:val="24"/>
              <w:szCs w:val="24"/>
            </w:rPr>
          </w:pPr>
          <w:r w:rsidRPr="00213B05">
            <w:rPr>
              <w:rFonts w:ascii="Times New Roman" w:hAnsi="Times New Roman" w:cs="Times New Roman"/>
              <w:color w:val="C45911" w:themeColor="accent2" w:themeShade="BF"/>
              <w:sz w:val="24"/>
              <w:szCs w:val="24"/>
            </w:rPr>
            <w:fldChar w:fldCharType="end"/>
          </w:r>
        </w:p>
      </w:sdtContent>
    </w:sdt>
    <w:p w14:paraId="1CB315E4" w14:textId="77777777" w:rsidR="003C2ED3" w:rsidRDefault="003C2ED3" w:rsidP="00A82615">
      <w:pPr>
        <w:spacing w:before="120" w:after="240" w:line="264" w:lineRule="auto"/>
        <w:jc w:val="both"/>
        <w:rPr>
          <w:rFonts w:ascii="Times New Roman" w:hAnsi="Times New Roman" w:cs="Times New Roman"/>
        </w:rPr>
      </w:pPr>
    </w:p>
    <w:p w14:paraId="1D5B7A5C" w14:textId="77777777" w:rsidR="003C2ED3" w:rsidRDefault="003C2ED3" w:rsidP="00A82615">
      <w:pPr>
        <w:spacing w:before="120" w:after="240" w:line="264" w:lineRule="auto"/>
        <w:jc w:val="both"/>
        <w:rPr>
          <w:rFonts w:ascii="Times New Roman" w:hAnsi="Times New Roman" w:cs="Times New Roman"/>
        </w:rPr>
        <w:sectPr w:rsidR="003C2ED3">
          <w:footerReference w:type="default" r:id="rId18"/>
          <w:pgSz w:w="12240" w:h="15840"/>
          <w:pgMar w:top="1440" w:right="1440" w:bottom="1440" w:left="1440" w:header="708" w:footer="708" w:gutter="0"/>
          <w:cols w:space="708"/>
          <w:docGrid w:linePitch="360"/>
        </w:sectPr>
      </w:pPr>
    </w:p>
    <w:p w14:paraId="02B2CA56" w14:textId="269955B7" w:rsidR="003C2ED3" w:rsidRPr="006F2CA5" w:rsidRDefault="003C2ED3" w:rsidP="003C2ED3">
      <w:pPr>
        <w:pStyle w:val="Heading1"/>
        <w:spacing w:after="240" w:line="264" w:lineRule="auto"/>
        <w:ind w:left="431" w:hanging="431"/>
        <w:jc w:val="both"/>
        <w:rPr>
          <w:rFonts w:ascii="Times New Roman" w:hAnsi="Times New Roman" w:cs="Times New Roman"/>
          <w:color w:val="C45911" w:themeColor="accent2" w:themeShade="BF"/>
        </w:rPr>
      </w:pPr>
      <w:bookmarkStart w:id="1" w:name="_Toc89902366"/>
      <w:bookmarkStart w:id="2" w:name="_Toc126762202"/>
      <w:r w:rsidRPr="006F2CA5">
        <w:rPr>
          <w:rFonts w:ascii="Times New Roman" w:hAnsi="Times New Roman" w:cs="Times New Roman"/>
          <w:color w:val="C45911" w:themeColor="accent2" w:themeShade="BF"/>
        </w:rPr>
        <w:lastRenderedPageBreak/>
        <w:t>Output indicators</w:t>
      </w:r>
      <w:bookmarkEnd w:id="1"/>
      <w:bookmarkEnd w:id="2"/>
    </w:p>
    <w:p w14:paraId="2008FABE" w14:textId="7849B8AD" w:rsidR="003C2ED3" w:rsidRPr="006F2CA5" w:rsidRDefault="003C2ED3" w:rsidP="003C2ED3">
      <w:pPr>
        <w:pStyle w:val="Heading2"/>
        <w:spacing w:before="120" w:after="240" w:line="264" w:lineRule="auto"/>
        <w:jc w:val="both"/>
        <w:rPr>
          <w:rFonts w:ascii="Times New Roman" w:hAnsi="Times New Roman" w:cs="Times New Roman"/>
          <w:color w:val="C45911" w:themeColor="accent2" w:themeShade="BF"/>
        </w:rPr>
      </w:pPr>
      <w:bookmarkStart w:id="3" w:name="_Toc89902367"/>
      <w:bookmarkStart w:id="4" w:name="_Toc126762203"/>
      <w:r w:rsidRPr="006F2CA5">
        <w:rPr>
          <w:rFonts w:ascii="Times New Roman" w:hAnsi="Times New Roman" w:cs="Times New Roman"/>
          <w:color w:val="C45911" w:themeColor="accent2" w:themeShade="BF"/>
        </w:rPr>
        <w:t>General principles</w:t>
      </w:r>
      <w:bookmarkEnd w:id="3"/>
      <w:r w:rsidRPr="006F2CA5">
        <w:rPr>
          <w:rFonts w:ascii="Times New Roman" w:hAnsi="Times New Roman" w:cs="Times New Roman"/>
          <w:color w:val="C45911" w:themeColor="accent2" w:themeShade="BF"/>
        </w:rPr>
        <w:t xml:space="preserve"> for output indicato</w:t>
      </w:r>
      <w:r w:rsidRPr="00AC1A8A">
        <w:rPr>
          <w:rFonts w:ascii="Times New Roman" w:hAnsi="Times New Roman" w:cs="Times New Roman"/>
          <w:color w:val="C45911" w:themeColor="accent2" w:themeShade="BF"/>
        </w:rPr>
        <w:t>rs</w:t>
      </w:r>
      <w:bookmarkEnd w:id="4"/>
    </w:p>
    <w:p w14:paraId="6734EF64" w14:textId="77777777" w:rsidR="00D67ED3" w:rsidRPr="006F2CA5" w:rsidRDefault="00020B7E"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Output indicators </w:t>
      </w:r>
      <w:r w:rsidR="00FF03B5" w:rsidRPr="006F2CA5">
        <w:rPr>
          <w:rFonts w:ascii="Times New Roman" w:hAnsi="Times New Roman" w:cs="Times New Roman"/>
        </w:rPr>
        <w:t>measure</w:t>
      </w:r>
      <w:r w:rsidR="000A02F9" w:rsidRPr="006F2CA5">
        <w:rPr>
          <w:rFonts w:ascii="Times New Roman" w:hAnsi="Times New Roman" w:cs="Times New Roman"/>
        </w:rPr>
        <w:t xml:space="preserve"> the outputs generated through interventions supported by the CAP</w:t>
      </w:r>
      <w:r w:rsidR="001E674B">
        <w:rPr>
          <w:rFonts w:ascii="Times New Roman" w:hAnsi="Times New Roman" w:cs="Times New Roman"/>
        </w:rPr>
        <w:t xml:space="preserve"> </w:t>
      </w:r>
      <w:r w:rsidR="001E674B" w:rsidRPr="001E674B">
        <w:rPr>
          <w:rFonts w:ascii="Times New Roman" w:hAnsi="Times New Roman" w:cs="Times New Roman"/>
        </w:rPr>
        <w:t>(e.g. number of hectares, projects, beneficiaries, etc.)</w:t>
      </w:r>
      <w:r w:rsidR="00FF03B5" w:rsidRPr="006F2CA5">
        <w:rPr>
          <w:rFonts w:ascii="Times New Roman" w:hAnsi="Times New Roman" w:cs="Times New Roman"/>
        </w:rPr>
        <w:t xml:space="preserve">. </w:t>
      </w:r>
      <w:r w:rsidR="001E674B" w:rsidRPr="001E674B">
        <w:rPr>
          <w:rFonts w:ascii="Times New Roman" w:hAnsi="Times New Roman" w:cs="Times New Roman"/>
        </w:rPr>
        <w:t>They follow an accounting logic: for each expenditure linked to an intervention, one output is generated and counted</w:t>
      </w:r>
      <w:r w:rsidR="001E674B">
        <w:rPr>
          <w:rFonts w:ascii="Times New Roman" w:hAnsi="Times New Roman" w:cs="Times New Roman"/>
        </w:rPr>
        <w:t>.</w:t>
      </w:r>
    </w:p>
    <w:p w14:paraId="74D0C4F6" w14:textId="77777777" w:rsidR="00FD3C4A" w:rsidRPr="006F2CA5" w:rsidRDefault="001E674B" w:rsidP="00A82615">
      <w:pPr>
        <w:spacing w:before="120" w:after="240" w:line="264" w:lineRule="auto"/>
        <w:jc w:val="both"/>
        <w:rPr>
          <w:rFonts w:ascii="Times New Roman" w:hAnsi="Times New Roman" w:cs="Times New Roman"/>
        </w:rPr>
      </w:pPr>
      <w:r w:rsidRPr="001E674B">
        <w:rPr>
          <w:rFonts w:ascii="Times New Roman" w:hAnsi="Times New Roman" w:cs="Times New Roman"/>
        </w:rPr>
        <w:t>There is a one-to-one relationship between an intervention and an output indicator</w:t>
      </w:r>
      <w:r w:rsidR="009626E2">
        <w:rPr>
          <w:rFonts w:ascii="Times New Roman" w:hAnsi="Times New Roman" w:cs="Times New Roman"/>
        </w:rPr>
        <w:t xml:space="preserve"> (i.e.</w:t>
      </w:r>
      <w:r w:rsidR="009626E2" w:rsidRPr="009626E2">
        <w:t xml:space="preserve"> </w:t>
      </w:r>
      <w:r w:rsidR="009626E2" w:rsidRPr="009626E2">
        <w:rPr>
          <w:rFonts w:ascii="Times New Roman" w:hAnsi="Times New Roman" w:cs="Times New Roman"/>
        </w:rPr>
        <w:t xml:space="preserve">only one output indicator </w:t>
      </w:r>
      <w:r w:rsidR="009626E2">
        <w:rPr>
          <w:rFonts w:ascii="Times New Roman" w:hAnsi="Times New Roman" w:cs="Times New Roman"/>
        </w:rPr>
        <w:t>can be associated with an intervention</w:t>
      </w:r>
      <w:r w:rsidR="009626E2" w:rsidRPr="009626E2">
        <w:rPr>
          <w:rFonts w:ascii="Times New Roman" w:hAnsi="Times New Roman" w:cs="Times New Roman"/>
        </w:rPr>
        <w:t>)</w:t>
      </w:r>
      <w:r w:rsidR="00FF03B5" w:rsidRPr="006F2CA5">
        <w:rPr>
          <w:rFonts w:ascii="Times New Roman" w:hAnsi="Times New Roman" w:cs="Times New Roman"/>
        </w:rPr>
        <w:t>.</w:t>
      </w:r>
      <w:r w:rsidR="00A615C8">
        <w:rPr>
          <w:rFonts w:ascii="Times New Roman" w:hAnsi="Times New Roman" w:cs="Times New Roman"/>
        </w:rPr>
        <w:t xml:space="preserve"> It means that o</w:t>
      </w:r>
      <w:r w:rsidR="00A615C8" w:rsidRPr="006F2CA5">
        <w:rPr>
          <w:rFonts w:ascii="Times New Roman" w:hAnsi="Times New Roman" w:cs="Times New Roman"/>
        </w:rPr>
        <w:t xml:space="preserve">utputs generated by an intervention are planned </w:t>
      </w:r>
      <w:r w:rsidR="00A615C8">
        <w:rPr>
          <w:rFonts w:ascii="Times New Roman" w:hAnsi="Times New Roman" w:cs="Times New Roman"/>
        </w:rPr>
        <w:t xml:space="preserve">and reported </w:t>
      </w:r>
      <w:r w:rsidR="00A615C8" w:rsidRPr="006F2CA5">
        <w:rPr>
          <w:rFonts w:ascii="Times New Roman" w:hAnsi="Times New Roman" w:cs="Times New Roman"/>
        </w:rPr>
        <w:t xml:space="preserve">only once under the output indicator associated with that intervention in the </w:t>
      </w:r>
      <w:r w:rsidR="00731331">
        <w:rPr>
          <w:rFonts w:ascii="Times New Roman" w:hAnsi="Times New Roman" w:cs="Times New Roman"/>
        </w:rPr>
        <w:t>CAP strategic plan</w:t>
      </w:r>
      <w:r w:rsidR="00A615C8" w:rsidRPr="006F2CA5">
        <w:rPr>
          <w:rFonts w:ascii="Times New Roman" w:hAnsi="Times New Roman" w:cs="Times New Roman"/>
        </w:rPr>
        <w:t>.</w:t>
      </w:r>
      <w:r w:rsidR="00A615C8">
        <w:rPr>
          <w:rFonts w:ascii="Times New Roman" w:hAnsi="Times New Roman" w:cs="Times New Roman"/>
        </w:rPr>
        <w:t xml:space="preserve"> </w:t>
      </w:r>
      <w:r w:rsidR="000A02F9" w:rsidRPr="006F2CA5">
        <w:rPr>
          <w:rFonts w:ascii="Times New Roman" w:hAnsi="Times New Roman" w:cs="Times New Roman"/>
        </w:rPr>
        <w:t xml:space="preserve">The list of </w:t>
      </w:r>
      <w:r w:rsidR="00941BA0" w:rsidRPr="006F2CA5">
        <w:rPr>
          <w:rFonts w:ascii="Times New Roman" w:hAnsi="Times New Roman" w:cs="Times New Roman"/>
        </w:rPr>
        <w:t xml:space="preserve">all the </w:t>
      </w:r>
      <w:r w:rsidR="000A02F9" w:rsidRPr="006F2CA5">
        <w:rPr>
          <w:rFonts w:ascii="Times New Roman" w:hAnsi="Times New Roman" w:cs="Times New Roman"/>
        </w:rPr>
        <w:t>output indicators</w:t>
      </w:r>
      <w:r w:rsidR="00FF03B5" w:rsidRPr="006F2CA5">
        <w:rPr>
          <w:rFonts w:ascii="Times New Roman" w:hAnsi="Times New Roman" w:cs="Times New Roman"/>
        </w:rPr>
        <w:t xml:space="preserve"> </w:t>
      </w:r>
      <w:r w:rsidR="00941BA0" w:rsidRPr="006F2CA5">
        <w:rPr>
          <w:rFonts w:ascii="Times New Roman" w:hAnsi="Times New Roman" w:cs="Times New Roman"/>
        </w:rPr>
        <w:t xml:space="preserve">with full label </w:t>
      </w:r>
      <w:r w:rsidR="00FF03B5" w:rsidRPr="006F2CA5">
        <w:rPr>
          <w:rFonts w:ascii="Times New Roman" w:hAnsi="Times New Roman" w:cs="Times New Roman"/>
        </w:rPr>
        <w:t xml:space="preserve">and associated </w:t>
      </w:r>
      <w:r w:rsidR="008446A2" w:rsidRPr="006F2CA5">
        <w:rPr>
          <w:rFonts w:ascii="Times New Roman" w:hAnsi="Times New Roman" w:cs="Times New Roman"/>
        </w:rPr>
        <w:t xml:space="preserve">type of </w:t>
      </w:r>
      <w:r w:rsidR="0039680F" w:rsidRPr="006F2CA5">
        <w:rPr>
          <w:rFonts w:ascii="Times New Roman" w:hAnsi="Times New Roman" w:cs="Times New Roman"/>
        </w:rPr>
        <w:t>intervention</w:t>
      </w:r>
      <w:r w:rsidR="000A02F9" w:rsidRPr="006F2CA5">
        <w:rPr>
          <w:rFonts w:ascii="Times New Roman" w:hAnsi="Times New Roman" w:cs="Times New Roman"/>
        </w:rPr>
        <w:t xml:space="preserve"> is</w:t>
      </w:r>
      <w:r w:rsidR="00020B7E" w:rsidRPr="006F2CA5">
        <w:rPr>
          <w:rFonts w:ascii="Times New Roman" w:hAnsi="Times New Roman" w:cs="Times New Roman"/>
        </w:rPr>
        <w:t xml:space="preserve"> included </w:t>
      </w:r>
      <w:r w:rsidR="001108ED" w:rsidRPr="006F2CA5">
        <w:rPr>
          <w:rFonts w:ascii="Times New Roman" w:hAnsi="Times New Roman" w:cs="Times New Roman"/>
        </w:rPr>
        <w:t>i</w:t>
      </w:r>
      <w:r w:rsidR="00437E28" w:rsidRPr="006F2CA5">
        <w:rPr>
          <w:rFonts w:ascii="Times New Roman" w:hAnsi="Times New Roman" w:cs="Times New Roman"/>
        </w:rPr>
        <w:t xml:space="preserve">n </w:t>
      </w:r>
      <w:r w:rsidR="00437E28" w:rsidRPr="007E2F15">
        <w:rPr>
          <w:rFonts w:ascii="Times New Roman" w:hAnsi="Times New Roman" w:cs="Times New Roman"/>
          <w:b/>
        </w:rPr>
        <w:t>Annex I</w:t>
      </w:r>
      <w:r w:rsidR="00437E28" w:rsidRPr="006F2CA5">
        <w:rPr>
          <w:rFonts w:ascii="Times New Roman" w:hAnsi="Times New Roman" w:cs="Times New Roman"/>
        </w:rPr>
        <w:t xml:space="preserve"> </w:t>
      </w:r>
      <w:r w:rsidR="00A84B21">
        <w:rPr>
          <w:rFonts w:ascii="Times New Roman" w:hAnsi="Times New Roman" w:cs="Times New Roman"/>
        </w:rPr>
        <w:t>to</w:t>
      </w:r>
      <w:r w:rsidR="00437E28" w:rsidRPr="006F2CA5">
        <w:rPr>
          <w:rFonts w:ascii="Times New Roman" w:hAnsi="Times New Roman" w:cs="Times New Roman"/>
        </w:rPr>
        <w:t xml:space="preserve"> th</w:t>
      </w:r>
      <w:r w:rsidR="001108ED" w:rsidRPr="006F2CA5">
        <w:rPr>
          <w:rFonts w:ascii="Times New Roman" w:hAnsi="Times New Roman" w:cs="Times New Roman"/>
        </w:rPr>
        <w:t>is</w:t>
      </w:r>
      <w:r w:rsidR="00437E28" w:rsidRPr="006F2CA5">
        <w:rPr>
          <w:rFonts w:ascii="Times New Roman" w:hAnsi="Times New Roman" w:cs="Times New Roman"/>
        </w:rPr>
        <w:t xml:space="preserve"> </w:t>
      </w:r>
      <w:r w:rsidR="001108ED" w:rsidRPr="006F2CA5">
        <w:rPr>
          <w:rFonts w:ascii="Times New Roman" w:hAnsi="Times New Roman" w:cs="Times New Roman"/>
        </w:rPr>
        <w:t>cover note.</w:t>
      </w:r>
    </w:p>
    <w:p w14:paraId="08211851" w14:textId="77777777" w:rsidR="003462C0" w:rsidRDefault="00BD3FF7" w:rsidP="00A82615">
      <w:pPr>
        <w:spacing w:before="120" w:after="240" w:line="264" w:lineRule="auto"/>
        <w:jc w:val="both"/>
        <w:rPr>
          <w:rFonts w:ascii="Times New Roman" w:hAnsi="Times New Roman" w:cs="Times New Roman"/>
        </w:rPr>
      </w:pPr>
      <w:r w:rsidRPr="006F2CA5">
        <w:rPr>
          <w:rFonts w:ascii="Times New Roman" w:hAnsi="Times New Roman" w:cs="Times New Roman"/>
        </w:rPr>
        <w:t>There are 37 output indicators</w:t>
      </w:r>
      <w:r w:rsidR="00941BA0" w:rsidRPr="006F2CA5">
        <w:rPr>
          <w:rFonts w:ascii="Times New Roman" w:hAnsi="Times New Roman" w:cs="Times New Roman"/>
        </w:rPr>
        <w:t xml:space="preserve"> in total</w:t>
      </w:r>
      <w:r w:rsidRPr="006F2CA5">
        <w:rPr>
          <w:rFonts w:ascii="Times New Roman" w:hAnsi="Times New Roman" w:cs="Times New Roman"/>
        </w:rPr>
        <w:t>, out of which 35 are used for performance clearance</w:t>
      </w:r>
      <w:r w:rsidR="008446A2" w:rsidRPr="006F2CA5">
        <w:rPr>
          <w:rFonts w:ascii="Times New Roman" w:hAnsi="Times New Roman" w:cs="Times New Roman"/>
        </w:rPr>
        <w:t xml:space="preserve"> as well as </w:t>
      </w:r>
      <w:r w:rsidR="008F7221" w:rsidRPr="006F2CA5">
        <w:rPr>
          <w:rFonts w:ascii="Times New Roman" w:hAnsi="Times New Roman" w:cs="Times New Roman"/>
        </w:rPr>
        <w:t xml:space="preserve">monitoring, </w:t>
      </w:r>
      <w:r w:rsidR="00E56CFB" w:rsidRPr="006F2CA5">
        <w:rPr>
          <w:rFonts w:ascii="Times New Roman" w:hAnsi="Times New Roman" w:cs="Times New Roman"/>
        </w:rPr>
        <w:t>commun</w:t>
      </w:r>
      <w:r w:rsidR="00D32D46">
        <w:rPr>
          <w:rFonts w:ascii="Times New Roman" w:hAnsi="Times New Roman" w:cs="Times New Roman"/>
        </w:rPr>
        <w:t>ication and evaluation.</w:t>
      </w:r>
      <w:r w:rsidR="00E56CFB" w:rsidRPr="006F2CA5">
        <w:rPr>
          <w:rFonts w:ascii="Times New Roman" w:hAnsi="Times New Roman" w:cs="Times New Roman"/>
        </w:rPr>
        <w:t xml:space="preserve"> </w:t>
      </w:r>
    </w:p>
    <w:p w14:paraId="78AE9425" w14:textId="7F3BB2B8" w:rsidR="00020B7E" w:rsidRPr="006F2CA5" w:rsidRDefault="00D32D46" w:rsidP="00A82615">
      <w:pPr>
        <w:spacing w:before="120" w:after="240" w:line="264" w:lineRule="auto"/>
        <w:jc w:val="both"/>
        <w:rPr>
          <w:rFonts w:ascii="Times New Roman" w:hAnsi="Times New Roman" w:cs="Times New Roman"/>
        </w:rPr>
      </w:pPr>
      <w:r>
        <w:rPr>
          <w:rFonts w:ascii="Times New Roman" w:hAnsi="Times New Roman" w:cs="Times New Roman"/>
        </w:rPr>
        <w:t>T</w:t>
      </w:r>
      <w:r w:rsidR="008446A2" w:rsidRPr="006F2CA5">
        <w:rPr>
          <w:rFonts w:ascii="Times New Roman" w:hAnsi="Times New Roman" w:cs="Times New Roman"/>
        </w:rPr>
        <w:t>wo</w:t>
      </w:r>
      <w:r w:rsidR="00E50171">
        <w:rPr>
          <w:rFonts w:ascii="Times New Roman" w:hAnsi="Times New Roman" w:cs="Times New Roman"/>
        </w:rPr>
        <w:t xml:space="preserve"> output indicators</w:t>
      </w:r>
      <w:r w:rsidR="008F7221" w:rsidRPr="006F2CA5">
        <w:rPr>
          <w:rFonts w:ascii="Times New Roman" w:hAnsi="Times New Roman" w:cs="Times New Roman"/>
        </w:rPr>
        <w:t xml:space="preserve">, </w:t>
      </w:r>
      <w:r w:rsidR="00FB7FD4">
        <w:rPr>
          <w:rFonts w:ascii="Times New Roman" w:hAnsi="Times New Roman" w:cs="Times New Roman"/>
        </w:rPr>
        <w:t xml:space="preserve">which are </w:t>
      </w:r>
      <w:r w:rsidR="008F7221" w:rsidRPr="006F2CA5">
        <w:rPr>
          <w:rFonts w:ascii="Times New Roman" w:hAnsi="Times New Roman" w:cs="Times New Roman"/>
        </w:rPr>
        <w:t xml:space="preserve">O.3 </w:t>
      </w:r>
      <w:r w:rsidR="001E674B">
        <w:rPr>
          <w:rFonts w:ascii="Times New Roman" w:hAnsi="Times New Roman" w:cs="Times New Roman"/>
        </w:rPr>
        <w:t xml:space="preserve">(CAP beneficiaries) </w:t>
      </w:r>
      <w:r w:rsidR="008F7221" w:rsidRPr="006F2CA5">
        <w:rPr>
          <w:rFonts w:ascii="Times New Roman" w:hAnsi="Times New Roman" w:cs="Times New Roman"/>
        </w:rPr>
        <w:t>and O.34</w:t>
      </w:r>
      <w:r w:rsidR="001E674B">
        <w:rPr>
          <w:rFonts w:ascii="Times New Roman" w:hAnsi="Times New Roman" w:cs="Times New Roman"/>
        </w:rPr>
        <w:t xml:space="preserve"> (</w:t>
      </w:r>
      <w:r w:rsidR="003462C0">
        <w:rPr>
          <w:rFonts w:ascii="Times New Roman" w:hAnsi="Times New Roman" w:cs="Times New Roman"/>
        </w:rPr>
        <w:t>h</w:t>
      </w:r>
      <w:r w:rsidR="001E674B">
        <w:rPr>
          <w:rFonts w:ascii="Times New Roman" w:hAnsi="Times New Roman" w:cs="Times New Roman"/>
        </w:rPr>
        <w:t>ectares under environmental practices)</w:t>
      </w:r>
      <w:r w:rsidR="008F7221" w:rsidRPr="006F2CA5">
        <w:rPr>
          <w:rFonts w:ascii="Times New Roman" w:hAnsi="Times New Roman" w:cs="Times New Roman"/>
        </w:rPr>
        <w:t xml:space="preserve">, </w:t>
      </w:r>
      <w:r w:rsidR="008446A2" w:rsidRPr="006F2CA5">
        <w:rPr>
          <w:rFonts w:ascii="Times New Roman" w:hAnsi="Times New Roman" w:cs="Times New Roman"/>
        </w:rPr>
        <w:t xml:space="preserve">are </w:t>
      </w:r>
      <w:r w:rsidR="00E50171">
        <w:rPr>
          <w:rFonts w:ascii="Times New Roman" w:hAnsi="Times New Roman" w:cs="Times New Roman"/>
        </w:rPr>
        <w:t>only used for the</w:t>
      </w:r>
      <w:r>
        <w:rPr>
          <w:rFonts w:ascii="Times New Roman" w:hAnsi="Times New Roman" w:cs="Times New Roman"/>
        </w:rPr>
        <w:t xml:space="preserve"> effective </w:t>
      </w:r>
      <w:r w:rsidR="008446A2" w:rsidRPr="006F2CA5">
        <w:rPr>
          <w:rFonts w:ascii="Times New Roman" w:hAnsi="Times New Roman" w:cs="Times New Roman"/>
        </w:rPr>
        <w:t>monitoring, communication and evaluation</w:t>
      </w:r>
      <w:r w:rsidR="00FB7FD4">
        <w:rPr>
          <w:rFonts w:ascii="Times New Roman" w:hAnsi="Times New Roman" w:cs="Times New Roman"/>
        </w:rPr>
        <w:t xml:space="preserve"> of the CAP</w:t>
      </w:r>
      <w:r>
        <w:rPr>
          <w:rFonts w:ascii="Times New Roman" w:hAnsi="Times New Roman" w:cs="Times New Roman"/>
        </w:rPr>
        <w:t xml:space="preserve">, </w:t>
      </w:r>
      <w:r w:rsidR="00E50171">
        <w:rPr>
          <w:rFonts w:ascii="Times New Roman" w:hAnsi="Times New Roman" w:cs="Times New Roman"/>
        </w:rPr>
        <w:t>and</w:t>
      </w:r>
      <w:r w:rsidRPr="003D66CB">
        <w:rPr>
          <w:rFonts w:ascii="Times New Roman" w:hAnsi="Times New Roman" w:cs="Times New Roman"/>
        </w:rPr>
        <w:t xml:space="preserve"> are</w:t>
      </w:r>
      <w:r w:rsidR="00E50171">
        <w:rPr>
          <w:rFonts w:ascii="Times New Roman" w:hAnsi="Times New Roman" w:cs="Times New Roman"/>
        </w:rPr>
        <w:t xml:space="preserve"> neither</w:t>
      </w:r>
      <w:r w:rsidRPr="003D66CB">
        <w:rPr>
          <w:rFonts w:ascii="Times New Roman" w:hAnsi="Times New Roman" w:cs="Times New Roman"/>
        </w:rPr>
        <w:t xml:space="preserve"> planned</w:t>
      </w:r>
      <w:r w:rsidR="00E50171">
        <w:rPr>
          <w:rFonts w:ascii="Times New Roman" w:hAnsi="Times New Roman" w:cs="Times New Roman"/>
        </w:rPr>
        <w:t xml:space="preserve"> nor used for performance clearance</w:t>
      </w:r>
      <w:r w:rsidR="008446A2" w:rsidRPr="006F2CA5">
        <w:rPr>
          <w:rFonts w:ascii="Times New Roman" w:hAnsi="Times New Roman" w:cs="Times New Roman"/>
        </w:rPr>
        <w:t>.</w:t>
      </w:r>
      <w:r w:rsidR="000102BD">
        <w:rPr>
          <w:rFonts w:ascii="Times New Roman" w:hAnsi="Times New Roman" w:cs="Times New Roman"/>
        </w:rPr>
        <w:t xml:space="preserve"> </w:t>
      </w:r>
      <w:r w:rsidR="00FB7FD4">
        <w:rPr>
          <w:rFonts w:ascii="Times New Roman" w:hAnsi="Times New Roman" w:cs="Times New Roman"/>
        </w:rPr>
        <w:t>For</w:t>
      </w:r>
      <w:r w:rsidR="00E50171">
        <w:rPr>
          <w:rFonts w:ascii="Times New Roman" w:hAnsi="Times New Roman" w:cs="Times New Roman"/>
        </w:rPr>
        <w:t xml:space="preserve"> this reason, the one-to-one relationship between an interventio</w:t>
      </w:r>
      <w:r w:rsidR="00FB7FD4">
        <w:rPr>
          <w:rFonts w:ascii="Times New Roman" w:hAnsi="Times New Roman" w:cs="Times New Roman"/>
        </w:rPr>
        <w:t>n and an output indicator does no</w:t>
      </w:r>
      <w:r w:rsidR="00E50171">
        <w:rPr>
          <w:rFonts w:ascii="Times New Roman" w:hAnsi="Times New Roman" w:cs="Times New Roman"/>
        </w:rPr>
        <w:t xml:space="preserve">t apply to these two indicators. </w:t>
      </w:r>
      <w:r w:rsidR="000102BD" w:rsidRPr="000102BD">
        <w:rPr>
          <w:rFonts w:ascii="Times New Roman" w:hAnsi="Times New Roman" w:cs="Times New Roman"/>
        </w:rPr>
        <w:t xml:space="preserve">Both </w:t>
      </w:r>
      <w:r w:rsidR="00E50171">
        <w:rPr>
          <w:rFonts w:ascii="Times New Roman" w:hAnsi="Times New Roman" w:cs="Times New Roman"/>
        </w:rPr>
        <w:t xml:space="preserve">indicators </w:t>
      </w:r>
      <w:r w:rsidR="000102BD" w:rsidRPr="000102BD">
        <w:rPr>
          <w:rFonts w:ascii="Times New Roman" w:hAnsi="Times New Roman" w:cs="Times New Roman"/>
        </w:rPr>
        <w:t>belong to the core list of</w:t>
      </w:r>
      <w:r w:rsidR="000102BD">
        <w:rPr>
          <w:rFonts w:ascii="Times New Roman" w:hAnsi="Times New Roman" w:cs="Times New Roman"/>
        </w:rPr>
        <w:t xml:space="preserve"> indicators listed in Annex XIV</w:t>
      </w:r>
      <w:r w:rsidR="000102BD" w:rsidRPr="000102BD">
        <w:rPr>
          <w:rFonts w:ascii="Times New Roman" w:hAnsi="Times New Roman" w:cs="Times New Roman"/>
        </w:rPr>
        <w:t xml:space="preserve"> </w:t>
      </w:r>
      <w:r w:rsidR="00A84B21">
        <w:rPr>
          <w:rFonts w:ascii="Times New Roman" w:hAnsi="Times New Roman" w:cs="Times New Roman"/>
        </w:rPr>
        <w:t>to</w:t>
      </w:r>
      <w:r w:rsidR="000102BD">
        <w:rPr>
          <w:rFonts w:ascii="Times New Roman" w:hAnsi="Times New Roman" w:cs="Times New Roman"/>
        </w:rPr>
        <w:t xml:space="preserve"> </w:t>
      </w:r>
      <w:r w:rsidR="000102BD" w:rsidRPr="000102BD">
        <w:rPr>
          <w:rFonts w:ascii="Times New Roman" w:hAnsi="Times New Roman" w:cs="Times New Roman"/>
        </w:rPr>
        <w:t>Regulation (EU) 2021/</w:t>
      </w:r>
      <w:r w:rsidR="00EB4005" w:rsidRPr="000102BD">
        <w:rPr>
          <w:rFonts w:ascii="Times New Roman" w:hAnsi="Times New Roman" w:cs="Times New Roman"/>
        </w:rPr>
        <w:t>21</w:t>
      </w:r>
      <w:r w:rsidR="00EB4005">
        <w:rPr>
          <w:rFonts w:ascii="Times New Roman" w:hAnsi="Times New Roman" w:cs="Times New Roman"/>
        </w:rPr>
        <w:t>1</w:t>
      </w:r>
      <w:r w:rsidR="00EB4005" w:rsidRPr="000102BD">
        <w:rPr>
          <w:rFonts w:ascii="Times New Roman" w:hAnsi="Times New Roman" w:cs="Times New Roman"/>
        </w:rPr>
        <w:t xml:space="preserve">5 </w:t>
      </w:r>
      <w:r w:rsidR="000102BD" w:rsidRPr="000102BD">
        <w:rPr>
          <w:rFonts w:ascii="Times New Roman" w:hAnsi="Times New Roman" w:cs="Times New Roman"/>
        </w:rPr>
        <w:t>(</w:t>
      </w:r>
      <w:r w:rsidR="008A6A84" w:rsidRPr="00B61CED">
        <w:rPr>
          <w:rFonts w:ascii="Times New Roman" w:hAnsi="Times New Roman" w:cs="Times New Roman"/>
          <w:b/>
        </w:rPr>
        <w:t>SPR</w:t>
      </w:r>
      <w:r w:rsidR="000102BD" w:rsidRPr="000102BD">
        <w:rPr>
          <w:rFonts w:ascii="Times New Roman" w:hAnsi="Times New Roman" w:cs="Times New Roman"/>
        </w:rPr>
        <w:t xml:space="preserve">) to be reported to the EP and Council pursuant to Article </w:t>
      </w:r>
      <w:r w:rsidR="000102BD">
        <w:rPr>
          <w:rFonts w:ascii="Times New Roman" w:hAnsi="Times New Roman" w:cs="Times New Roman"/>
        </w:rPr>
        <w:t>142 of that Regulation.</w:t>
      </w:r>
    </w:p>
    <w:p w14:paraId="5C763C89" w14:textId="6B43C3F1" w:rsidR="00D67ED3" w:rsidRPr="006F2CA5" w:rsidRDefault="00D67ED3" w:rsidP="00A82615">
      <w:pPr>
        <w:pStyle w:val="Heading2"/>
        <w:spacing w:before="120" w:after="240" w:line="264" w:lineRule="auto"/>
        <w:rPr>
          <w:rFonts w:ascii="Times New Roman" w:hAnsi="Times New Roman" w:cs="Times New Roman"/>
          <w:color w:val="C45911" w:themeColor="accent2" w:themeShade="BF"/>
        </w:rPr>
      </w:pPr>
      <w:bookmarkStart w:id="5" w:name="_Toc126762204"/>
      <w:r w:rsidRPr="006F2CA5">
        <w:rPr>
          <w:rFonts w:ascii="Times New Roman" w:hAnsi="Times New Roman" w:cs="Times New Roman"/>
          <w:color w:val="C45911" w:themeColor="accent2" w:themeShade="BF"/>
        </w:rPr>
        <w:t>Unit of measurement</w:t>
      </w:r>
      <w:r w:rsidR="00C9099C" w:rsidRPr="006F2CA5">
        <w:rPr>
          <w:rFonts w:ascii="Times New Roman" w:hAnsi="Times New Roman" w:cs="Times New Roman"/>
          <w:color w:val="C45911" w:themeColor="accent2" w:themeShade="BF"/>
        </w:rPr>
        <w:t xml:space="preserve"> for output indicators</w:t>
      </w:r>
      <w:bookmarkEnd w:id="5"/>
    </w:p>
    <w:p w14:paraId="3EFD3F97" w14:textId="77777777" w:rsidR="00D67ED3" w:rsidRPr="006F2CA5" w:rsidRDefault="00D67ED3" w:rsidP="00A82615">
      <w:pPr>
        <w:spacing w:before="120" w:after="240" w:line="264" w:lineRule="auto"/>
        <w:jc w:val="both"/>
        <w:rPr>
          <w:rFonts w:ascii="Times New Roman" w:hAnsi="Times New Roman" w:cs="Times New Roman"/>
        </w:rPr>
      </w:pPr>
      <w:r w:rsidRPr="006F2CA5">
        <w:rPr>
          <w:rFonts w:ascii="Times New Roman" w:hAnsi="Times New Roman" w:cs="Times New Roman"/>
        </w:rPr>
        <w:t>Output indicators can have different unit</w:t>
      </w:r>
      <w:r w:rsidR="006740F4">
        <w:rPr>
          <w:rFonts w:ascii="Times New Roman" w:hAnsi="Times New Roman" w:cs="Times New Roman"/>
        </w:rPr>
        <w:t>s</w:t>
      </w:r>
      <w:r w:rsidRPr="006F2CA5">
        <w:rPr>
          <w:rFonts w:ascii="Times New Roman" w:hAnsi="Times New Roman" w:cs="Times New Roman"/>
        </w:rPr>
        <w:t xml:space="preserve"> of measurement, which are </w:t>
      </w:r>
      <w:r w:rsidRPr="007E2F15">
        <w:rPr>
          <w:rFonts w:ascii="Times New Roman" w:hAnsi="Times New Roman" w:cs="Times New Roman"/>
        </w:rPr>
        <w:t xml:space="preserve">listed in </w:t>
      </w:r>
      <w:r w:rsidRPr="007E2F15">
        <w:rPr>
          <w:rFonts w:ascii="Times New Roman" w:hAnsi="Times New Roman" w:cs="Times New Roman"/>
          <w:b/>
        </w:rPr>
        <w:t>Annex II</w:t>
      </w:r>
      <w:r w:rsidRPr="007E2F15">
        <w:rPr>
          <w:rFonts w:ascii="Times New Roman" w:hAnsi="Times New Roman" w:cs="Times New Roman"/>
        </w:rPr>
        <w:t xml:space="preserve"> </w:t>
      </w:r>
      <w:r w:rsidR="00A84B21">
        <w:rPr>
          <w:rFonts w:ascii="Times New Roman" w:hAnsi="Times New Roman" w:cs="Times New Roman"/>
        </w:rPr>
        <w:t>to</w:t>
      </w:r>
      <w:r w:rsidRPr="007E2F15">
        <w:rPr>
          <w:rFonts w:ascii="Times New Roman" w:hAnsi="Times New Roman" w:cs="Times New Roman"/>
        </w:rPr>
        <w:t xml:space="preserve"> this</w:t>
      </w:r>
      <w:r w:rsidRPr="006F2CA5">
        <w:rPr>
          <w:rFonts w:ascii="Times New Roman" w:hAnsi="Times New Roman" w:cs="Times New Roman"/>
        </w:rPr>
        <w:t xml:space="preserve"> cover note.</w:t>
      </w:r>
    </w:p>
    <w:p w14:paraId="147D6C4F" w14:textId="77777777" w:rsidR="00D9785F" w:rsidRPr="006F2CA5" w:rsidRDefault="00D9785F"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 unit of measurement can be, for instance, farmers, beneficiaries, operations, livestock units, </w:t>
      </w:r>
      <w:r w:rsidR="001E674B">
        <w:rPr>
          <w:rFonts w:ascii="Times New Roman" w:hAnsi="Times New Roman" w:cs="Times New Roman"/>
        </w:rPr>
        <w:t xml:space="preserve">heads, </w:t>
      </w:r>
      <w:r w:rsidRPr="006F2CA5">
        <w:rPr>
          <w:rFonts w:ascii="Times New Roman" w:hAnsi="Times New Roman" w:cs="Times New Roman"/>
        </w:rPr>
        <w:t xml:space="preserve">hectares, beehives, depending on the definition of the unit amount for an intervention in the </w:t>
      </w:r>
      <w:r w:rsidR="00731331">
        <w:rPr>
          <w:rFonts w:ascii="Times New Roman" w:hAnsi="Times New Roman" w:cs="Times New Roman"/>
        </w:rPr>
        <w:t>CAP strategic plan</w:t>
      </w:r>
      <w:r w:rsidRPr="00B61CED">
        <w:rPr>
          <w:rFonts w:ascii="Times New Roman" w:hAnsi="Times New Roman" w:cs="Times New Roman"/>
        </w:rPr>
        <w:t>.</w:t>
      </w:r>
      <w:r w:rsidR="00E21969" w:rsidRPr="00B61CED">
        <w:rPr>
          <w:rFonts w:ascii="Times New Roman" w:hAnsi="Times New Roman" w:cs="Times New Roman"/>
        </w:rPr>
        <w:t xml:space="preserve"> For </w:t>
      </w:r>
      <w:r w:rsidR="00CF4F25" w:rsidRPr="00B61CED">
        <w:rPr>
          <w:rFonts w:ascii="Times New Roman" w:hAnsi="Times New Roman" w:cs="Times New Roman"/>
        </w:rPr>
        <w:t xml:space="preserve">simplification, in </w:t>
      </w:r>
      <w:r w:rsidR="00CF4F25" w:rsidRPr="00B61CED">
        <w:rPr>
          <w:rFonts w:ascii="Times New Roman" w:hAnsi="Times New Roman" w:cs="Times New Roman"/>
          <w:b/>
        </w:rPr>
        <w:t>Annex II</w:t>
      </w:r>
      <w:r w:rsidR="00CF4F25" w:rsidRPr="00B61CED">
        <w:rPr>
          <w:rFonts w:ascii="Times New Roman" w:hAnsi="Times New Roman" w:cs="Times New Roman"/>
        </w:rPr>
        <w:t xml:space="preserve"> </w:t>
      </w:r>
      <w:r w:rsidR="00D865C2">
        <w:rPr>
          <w:rFonts w:ascii="Times New Roman" w:hAnsi="Times New Roman" w:cs="Times New Roman"/>
        </w:rPr>
        <w:t xml:space="preserve">to this cover note </w:t>
      </w:r>
      <w:r w:rsidR="00CF4F25" w:rsidRPr="00B61CED">
        <w:rPr>
          <w:rFonts w:ascii="Times New Roman" w:hAnsi="Times New Roman" w:cs="Times New Roman"/>
        </w:rPr>
        <w:t>it is proposed to report the number of operations</w:t>
      </w:r>
      <w:r w:rsidR="00D814BA" w:rsidRPr="00D814BA">
        <w:rPr>
          <w:rFonts w:ascii="Times New Roman" w:hAnsi="Times New Roman" w:cs="Times New Roman"/>
        </w:rPr>
        <w:t xml:space="preserve"> </w:t>
      </w:r>
      <w:r w:rsidR="00D814BA" w:rsidRPr="00B61CED">
        <w:rPr>
          <w:rFonts w:ascii="Times New Roman" w:hAnsi="Times New Roman" w:cs="Times New Roman"/>
        </w:rPr>
        <w:t>for training actions</w:t>
      </w:r>
      <w:r w:rsidR="00CF4F25" w:rsidRPr="00B61CED">
        <w:rPr>
          <w:rFonts w:ascii="Times New Roman" w:hAnsi="Times New Roman" w:cs="Times New Roman"/>
        </w:rPr>
        <w:t>.</w:t>
      </w:r>
      <w:r w:rsidR="002E3A49" w:rsidRPr="00B61CED">
        <w:rPr>
          <w:rFonts w:ascii="Times New Roman" w:hAnsi="Times New Roman" w:cs="Times New Roman"/>
        </w:rPr>
        <w:t xml:space="preserve"> For lump sums</w:t>
      </w:r>
      <w:r w:rsidR="0096372B" w:rsidRPr="00B61CED">
        <w:rPr>
          <w:rFonts w:ascii="Times New Roman" w:hAnsi="Times New Roman" w:cs="Times New Roman"/>
        </w:rPr>
        <w:t xml:space="preserve"> </w:t>
      </w:r>
      <w:r w:rsidR="009D34AD" w:rsidRPr="00B61CED">
        <w:rPr>
          <w:rFonts w:ascii="Times New Roman" w:hAnsi="Times New Roman" w:cs="Times New Roman"/>
        </w:rPr>
        <w:t xml:space="preserve">under Article 70 of </w:t>
      </w:r>
      <w:r w:rsidR="003C12E7" w:rsidRPr="00B61CED">
        <w:rPr>
          <w:rFonts w:ascii="Times New Roman" w:hAnsi="Times New Roman" w:cs="Times New Roman"/>
        </w:rPr>
        <w:t>the</w:t>
      </w:r>
      <w:r w:rsidR="009D34AD" w:rsidRPr="00B61CED">
        <w:rPr>
          <w:rFonts w:ascii="Times New Roman" w:hAnsi="Times New Roman" w:cs="Times New Roman"/>
        </w:rPr>
        <w:t xml:space="preserve"> SPR </w:t>
      </w:r>
      <w:r w:rsidR="0096372B" w:rsidRPr="00B61CED">
        <w:rPr>
          <w:rFonts w:ascii="Times New Roman" w:hAnsi="Times New Roman" w:cs="Times New Roman"/>
        </w:rPr>
        <w:t>and for setting-up support</w:t>
      </w:r>
      <w:r w:rsidR="002E3A49" w:rsidRPr="00B61CED">
        <w:rPr>
          <w:rFonts w:ascii="Times New Roman" w:hAnsi="Times New Roman" w:cs="Times New Roman"/>
        </w:rPr>
        <w:t xml:space="preserve">, the unit </w:t>
      </w:r>
      <w:r w:rsidR="0096372B" w:rsidRPr="00B61CED">
        <w:rPr>
          <w:rFonts w:ascii="Times New Roman" w:hAnsi="Times New Roman" w:cs="Times New Roman"/>
        </w:rPr>
        <w:t>to be used</w:t>
      </w:r>
      <w:r w:rsidR="002E3A49" w:rsidRPr="00B61CED">
        <w:rPr>
          <w:rFonts w:ascii="Times New Roman" w:hAnsi="Times New Roman" w:cs="Times New Roman"/>
        </w:rPr>
        <w:t xml:space="preserve"> is the number of beneficiaries.</w:t>
      </w:r>
      <w:r w:rsidR="00CF4F25" w:rsidRPr="00B61CED">
        <w:rPr>
          <w:rFonts w:ascii="Times New Roman" w:hAnsi="Times New Roman" w:cs="Times New Roman"/>
        </w:rPr>
        <w:t xml:space="preserve"> For </w:t>
      </w:r>
      <w:r w:rsidR="00E21969" w:rsidRPr="00B61CED">
        <w:rPr>
          <w:rFonts w:ascii="Times New Roman" w:hAnsi="Times New Roman" w:cs="Times New Roman"/>
        </w:rPr>
        <w:t>sectoral interventions in sectors</w:t>
      </w:r>
      <w:r w:rsidR="00E21969" w:rsidRPr="006F2CA5">
        <w:rPr>
          <w:rFonts w:ascii="Times New Roman" w:hAnsi="Times New Roman" w:cs="Times New Roman"/>
        </w:rPr>
        <w:t xml:space="preserve"> other than the</w:t>
      </w:r>
      <w:r w:rsidR="00970191">
        <w:rPr>
          <w:rFonts w:ascii="Times New Roman" w:hAnsi="Times New Roman" w:cs="Times New Roman"/>
        </w:rPr>
        <w:t xml:space="preserve"> </w:t>
      </w:r>
      <w:r w:rsidR="00E21969" w:rsidRPr="006F2CA5">
        <w:rPr>
          <w:rFonts w:ascii="Times New Roman" w:hAnsi="Times New Roman" w:cs="Times New Roman"/>
        </w:rPr>
        <w:t>wine and apiculture sectors, the unit of measurement is always the number of operational programmes.</w:t>
      </w:r>
    </w:p>
    <w:p w14:paraId="2AB0CE1E" w14:textId="77777777" w:rsidR="00483469" w:rsidRPr="006F2CA5" w:rsidRDefault="00483469"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For the same output indicator there may be outputs measured with different units of measurement. For instance, the number of actions, number of beehives and number of beekeepers in output indicator O.37. </w:t>
      </w:r>
      <w:r>
        <w:rPr>
          <w:rFonts w:ascii="Times New Roman" w:hAnsi="Times New Roman" w:cs="Times New Roman"/>
        </w:rPr>
        <w:t xml:space="preserve">Another example is the number of hectares for endangered plants, livestock units for endangered breeds and operations for the </w:t>
      </w:r>
      <w:r w:rsidRPr="00483469">
        <w:rPr>
          <w:rFonts w:ascii="Times New Roman" w:hAnsi="Times New Roman" w:cs="Times New Roman"/>
        </w:rPr>
        <w:t>conservation, sustainable use and development of genetic resources</w:t>
      </w:r>
      <w:r w:rsidRPr="006F2CA5">
        <w:rPr>
          <w:rFonts w:ascii="Times New Roman" w:hAnsi="Times New Roman" w:cs="Times New Roman"/>
        </w:rPr>
        <w:t>.</w:t>
      </w:r>
    </w:p>
    <w:p w14:paraId="5BE0304F" w14:textId="77777777" w:rsidR="00D67ED3" w:rsidRPr="006F2CA5" w:rsidRDefault="00D67ED3"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 unit of measurement of an output cannot be changed where such unit is specified in the </w:t>
      </w:r>
      <w:r w:rsidR="008A6A84">
        <w:rPr>
          <w:rFonts w:ascii="Times New Roman" w:hAnsi="Times New Roman" w:cs="Times New Roman"/>
        </w:rPr>
        <w:t>SPR</w:t>
      </w:r>
      <w:r w:rsidR="000102BD">
        <w:rPr>
          <w:rFonts w:ascii="Times New Roman" w:hAnsi="Times New Roman" w:cs="Times New Roman"/>
        </w:rPr>
        <w:t xml:space="preserve"> </w:t>
      </w:r>
      <w:r w:rsidR="00D9785F" w:rsidRPr="006F2CA5">
        <w:rPr>
          <w:rFonts w:ascii="Times New Roman" w:hAnsi="Times New Roman" w:cs="Times New Roman"/>
        </w:rPr>
        <w:t xml:space="preserve">for that </w:t>
      </w:r>
      <w:r w:rsidR="00CF4F25">
        <w:rPr>
          <w:rFonts w:ascii="Times New Roman" w:hAnsi="Times New Roman" w:cs="Times New Roman"/>
        </w:rPr>
        <w:t>intervention</w:t>
      </w:r>
      <w:r w:rsidR="00D9785F" w:rsidRPr="006F2CA5">
        <w:rPr>
          <w:rFonts w:ascii="Times New Roman" w:hAnsi="Times New Roman" w:cs="Times New Roman"/>
        </w:rPr>
        <w:t xml:space="preserve">. </w:t>
      </w:r>
      <w:r w:rsidRPr="006F2CA5">
        <w:rPr>
          <w:rFonts w:ascii="Times New Roman" w:hAnsi="Times New Roman" w:cs="Times New Roman"/>
        </w:rPr>
        <w:t xml:space="preserve">For instance, agri-environment-climate commitments (output indicator O.14) can only be paid </w:t>
      </w:r>
      <w:r w:rsidR="00CF4F25">
        <w:rPr>
          <w:rFonts w:ascii="Times New Roman" w:hAnsi="Times New Roman" w:cs="Times New Roman"/>
        </w:rPr>
        <w:t xml:space="preserve">and reported </w:t>
      </w:r>
      <w:r w:rsidRPr="006F2CA5">
        <w:rPr>
          <w:rFonts w:ascii="Times New Roman" w:hAnsi="Times New Roman" w:cs="Times New Roman"/>
        </w:rPr>
        <w:t>in hectares.</w:t>
      </w:r>
      <w:r w:rsidR="00CF4F25" w:rsidRPr="00CF4F25">
        <w:rPr>
          <w:rFonts w:ascii="Times New Roman" w:hAnsi="Times New Roman" w:cs="Times New Roman"/>
        </w:rPr>
        <w:t xml:space="preserve"> </w:t>
      </w:r>
      <w:r w:rsidR="00CF4F25" w:rsidRPr="006F2CA5">
        <w:rPr>
          <w:rFonts w:ascii="Times New Roman" w:hAnsi="Times New Roman" w:cs="Times New Roman"/>
        </w:rPr>
        <w:t>In duly justified cases, when the payment is granted as a lump sum, it can be reported by beneficiary</w:t>
      </w:r>
      <w:r w:rsidR="00CF4F25">
        <w:rPr>
          <w:rFonts w:ascii="Times New Roman" w:hAnsi="Times New Roman" w:cs="Times New Roman"/>
        </w:rPr>
        <w:t>.</w:t>
      </w:r>
    </w:p>
    <w:p w14:paraId="42AA379E" w14:textId="77777777" w:rsidR="00E21969" w:rsidRPr="006F2CA5" w:rsidRDefault="00E21969" w:rsidP="00A82615">
      <w:pPr>
        <w:spacing w:before="120" w:after="240" w:line="264" w:lineRule="auto"/>
        <w:jc w:val="both"/>
        <w:rPr>
          <w:rFonts w:ascii="Times New Roman" w:hAnsi="Times New Roman" w:cs="Times New Roman"/>
        </w:rPr>
      </w:pPr>
      <w:r w:rsidRPr="006F2CA5">
        <w:rPr>
          <w:rFonts w:ascii="Times New Roman" w:hAnsi="Times New Roman" w:cs="Times New Roman"/>
        </w:rPr>
        <w:lastRenderedPageBreak/>
        <w:t>For certain interventions</w:t>
      </w:r>
      <w:r w:rsidR="00C9099C" w:rsidRPr="006F2CA5">
        <w:rPr>
          <w:rFonts w:ascii="Times New Roman" w:hAnsi="Times New Roman" w:cs="Times New Roman"/>
        </w:rPr>
        <w:t>,</w:t>
      </w:r>
      <w:r w:rsidRPr="006F2CA5">
        <w:rPr>
          <w:rFonts w:ascii="Times New Roman" w:hAnsi="Times New Roman" w:cs="Times New Roman"/>
        </w:rPr>
        <w:t xml:space="preserve"> the legal text introduces a certain degree of flexibility as regard the units of measurement. For </w:t>
      </w:r>
      <w:r w:rsidR="008F4C8B" w:rsidRPr="006F2CA5">
        <w:rPr>
          <w:rFonts w:ascii="Times New Roman" w:hAnsi="Times New Roman" w:cs="Times New Roman"/>
        </w:rPr>
        <w:t xml:space="preserve">instance, the </w:t>
      </w:r>
      <w:r w:rsidR="008A6A84">
        <w:rPr>
          <w:rFonts w:ascii="Times New Roman" w:hAnsi="Times New Roman" w:cs="Times New Roman"/>
        </w:rPr>
        <w:t>SPR</w:t>
      </w:r>
      <w:r w:rsidRPr="006F2CA5">
        <w:rPr>
          <w:rFonts w:ascii="Times New Roman" w:hAnsi="Times New Roman" w:cs="Times New Roman"/>
        </w:rPr>
        <w:t xml:space="preserve"> is not prescriptive for inv</w:t>
      </w:r>
      <w:r w:rsidR="008F4C8B" w:rsidRPr="006F2CA5">
        <w:rPr>
          <w:rFonts w:ascii="Times New Roman" w:hAnsi="Times New Roman" w:cs="Times New Roman"/>
        </w:rPr>
        <w:t xml:space="preserve">estments, where using specific unit of measurement, </w:t>
      </w:r>
      <w:r w:rsidRPr="006F2CA5">
        <w:rPr>
          <w:rFonts w:ascii="Times New Roman" w:hAnsi="Times New Roman" w:cs="Times New Roman"/>
        </w:rPr>
        <w:t xml:space="preserve">such as </w:t>
      </w:r>
      <w:r w:rsidR="008F4C8B" w:rsidRPr="006F2CA5">
        <w:rPr>
          <w:rFonts w:ascii="Times New Roman" w:hAnsi="Times New Roman" w:cs="Times New Roman"/>
        </w:rPr>
        <w:t xml:space="preserve">livestock </w:t>
      </w:r>
      <w:r w:rsidR="00F32718" w:rsidRPr="006F2CA5">
        <w:rPr>
          <w:rFonts w:ascii="Times New Roman" w:hAnsi="Times New Roman" w:cs="Times New Roman"/>
        </w:rPr>
        <w:t>units</w:t>
      </w:r>
      <w:r w:rsidR="002E3A49">
        <w:rPr>
          <w:rFonts w:ascii="Times New Roman" w:hAnsi="Times New Roman" w:cs="Times New Roman"/>
        </w:rPr>
        <w:t xml:space="preserve"> (</w:t>
      </w:r>
      <w:r w:rsidR="002E3A49" w:rsidRPr="006740F4">
        <w:rPr>
          <w:rFonts w:ascii="Times New Roman" w:hAnsi="Times New Roman" w:cs="Times New Roman"/>
          <w:b/>
        </w:rPr>
        <w:t>LU</w:t>
      </w:r>
      <w:r w:rsidR="002E3A49">
        <w:rPr>
          <w:rFonts w:ascii="Times New Roman" w:hAnsi="Times New Roman" w:cs="Times New Roman"/>
        </w:rPr>
        <w:t>)</w:t>
      </w:r>
      <w:r w:rsidR="008F4C8B" w:rsidRPr="006F2CA5">
        <w:rPr>
          <w:rFonts w:ascii="Times New Roman" w:hAnsi="Times New Roman" w:cs="Times New Roman"/>
        </w:rPr>
        <w:t>,</w:t>
      </w:r>
      <w:r w:rsidRPr="006F2CA5">
        <w:rPr>
          <w:rFonts w:ascii="Times New Roman" w:hAnsi="Times New Roman" w:cs="Times New Roman"/>
        </w:rPr>
        <w:t xml:space="preserve"> could offer more possibilities to use Simplified Cost Options and reduce the administrative burden.</w:t>
      </w:r>
      <w:r w:rsidR="00483469">
        <w:rPr>
          <w:rFonts w:ascii="Times New Roman" w:hAnsi="Times New Roman" w:cs="Times New Roman"/>
        </w:rPr>
        <w:t xml:space="preserve"> </w:t>
      </w:r>
      <w:r w:rsidR="00261AA6">
        <w:rPr>
          <w:rFonts w:ascii="Times New Roman" w:hAnsi="Times New Roman" w:cs="Times New Roman"/>
        </w:rPr>
        <w:t xml:space="preserve">These ‘other units’ need to be meaningful. </w:t>
      </w:r>
      <w:r w:rsidR="00483469">
        <w:rPr>
          <w:rFonts w:ascii="Times New Roman" w:hAnsi="Times New Roman" w:cs="Times New Roman"/>
        </w:rPr>
        <w:t xml:space="preserve">‘other units’ </w:t>
      </w:r>
      <w:r w:rsidRPr="006F2CA5">
        <w:rPr>
          <w:rFonts w:ascii="Times New Roman" w:hAnsi="Times New Roman" w:cs="Times New Roman"/>
        </w:rPr>
        <w:t xml:space="preserve">can be defined by </w:t>
      </w:r>
      <w:r w:rsidR="004313BC" w:rsidRPr="006F2CA5">
        <w:rPr>
          <w:rFonts w:ascii="Times New Roman" w:hAnsi="Times New Roman" w:cs="Times New Roman"/>
        </w:rPr>
        <w:t>Member States (</w:t>
      </w:r>
      <w:r w:rsidR="004313BC" w:rsidRPr="006740F4">
        <w:rPr>
          <w:rFonts w:ascii="Times New Roman" w:hAnsi="Times New Roman" w:cs="Times New Roman"/>
          <w:b/>
        </w:rPr>
        <w:t>MS</w:t>
      </w:r>
      <w:r w:rsidR="004313BC" w:rsidRPr="006F2CA5">
        <w:rPr>
          <w:rFonts w:ascii="Times New Roman" w:hAnsi="Times New Roman" w:cs="Times New Roman"/>
        </w:rPr>
        <w:t>)</w:t>
      </w:r>
      <w:r w:rsidRPr="006F2CA5">
        <w:rPr>
          <w:rFonts w:ascii="Times New Roman" w:hAnsi="Times New Roman" w:cs="Times New Roman"/>
        </w:rPr>
        <w:t xml:space="preserve"> in their intervention design for </w:t>
      </w:r>
      <w:r w:rsidR="008F4C8B" w:rsidRPr="006F2CA5">
        <w:rPr>
          <w:rFonts w:ascii="Times New Roman" w:hAnsi="Times New Roman" w:cs="Times New Roman"/>
        </w:rPr>
        <w:t xml:space="preserve">output indicator </w:t>
      </w:r>
      <w:r w:rsidRPr="006F2CA5">
        <w:rPr>
          <w:rFonts w:ascii="Times New Roman" w:hAnsi="Times New Roman" w:cs="Times New Roman"/>
        </w:rPr>
        <w:t>O.9 (risk management), O.15</w:t>
      </w:r>
      <w:r w:rsidR="00483469">
        <w:rPr>
          <w:rFonts w:ascii="Times New Roman" w:hAnsi="Times New Roman" w:cs="Times New Roman"/>
        </w:rPr>
        <w:t xml:space="preserve"> and</w:t>
      </w:r>
      <w:r w:rsidRPr="006F2CA5">
        <w:rPr>
          <w:rFonts w:ascii="Times New Roman" w:hAnsi="Times New Roman" w:cs="Times New Roman"/>
        </w:rPr>
        <w:t xml:space="preserve"> O.16</w:t>
      </w:r>
      <w:r w:rsidR="00483469">
        <w:rPr>
          <w:rFonts w:ascii="Times New Roman" w:hAnsi="Times New Roman" w:cs="Times New Roman"/>
        </w:rPr>
        <w:t xml:space="preserve"> </w:t>
      </w:r>
      <w:r w:rsidRPr="006F2CA5">
        <w:rPr>
          <w:rFonts w:ascii="Times New Roman" w:hAnsi="Times New Roman" w:cs="Times New Roman"/>
        </w:rPr>
        <w:t>(</w:t>
      </w:r>
      <w:r w:rsidR="002E3A49">
        <w:rPr>
          <w:rFonts w:ascii="Times New Roman" w:hAnsi="Times New Roman" w:cs="Times New Roman"/>
        </w:rPr>
        <w:t xml:space="preserve">forestry </w:t>
      </w:r>
      <w:r w:rsidRPr="006F2CA5">
        <w:rPr>
          <w:rFonts w:ascii="Times New Roman" w:hAnsi="Times New Roman" w:cs="Times New Roman"/>
        </w:rPr>
        <w:t xml:space="preserve">environment/climate commitments), </w:t>
      </w:r>
      <w:r w:rsidR="00DF3672">
        <w:rPr>
          <w:rFonts w:ascii="Times New Roman" w:hAnsi="Times New Roman" w:cs="Times New Roman"/>
        </w:rPr>
        <w:t xml:space="preserve">O.19 (supporting genetic resources), </w:t>
      </w:r>
      <w:r w:rsidR="002E3A49" w:rsidRPr="006F2CA5">
        <w:rPr>
          <w:rFonts w:ascii="Times New Roman" w:hAnsi="Times New Roman" w:cs="Times New Roman"/>
        </w:rPr>
        <w:t>O.20</w:t>
      </w:r>
      <w:r w:rsidR="002E3A49">
        <w:rPr>
          <w:rFonts w:ascii="Times New Roman" w:hAnsi="Times New Roman" w:cs="Times New Roman"/>
        </w:rPr>
        <w:t xml:space="preserve"> to</w:t>
      </w:r>
      <w:r w:rsidR="002E3A49" w:rsidRPr="006F2CA5">
        <w:rPr>
          <w:rFonts w:ascii="Times New Roman" w:hAnsi="Times New Roman" w:cs="Times New Roman"/>
        </w:rPr>
        <w:t xml:space="preserve"> O.24 </w:t>
      </w:r>
      <w:r w:rsidR="002E3A49">
        <w:rPr>
          <w:rFonts w:ascii="Times New Roman" w:hAnsi="Times New Roman" w:cs="Times New Roman"/>
        </w:rPr>
        <w:t xml:space="preserve">(investments), </w:t>
      </w:r>
      <w:r w:rsidRPr="006F2CA5">
        <w:rPr>
          <w:rFonts w:ascii="Times New Roman" w:hAnsi="Times New Roman" w:cs="Times New Roman"/>
        </w:rPr>
        <w:t>O.30 and O.32 (cooperation)</w:t>
      </w:r>
      <w:r w:rsidR="002E3A49">
        <w:rPr>
          <w:rFonts w:ascii="Times New Roman" w:hAnsi="Times New Roman" w:cs="Times New Roman"/>
        </w:rPr>
        <w:t xml:space="preserve"> and</w:t>
      </w:r>
      <w:r w:rsidRPr="006F2CA5">
        <w:rPr>
          <w:rFonts w:ascii="Times New Roman" w:hAnsi="Times New Roman" w:cs="Times New Roman"/>
        </w:rPr>
        <w:t xml:space="preserve"> </w:t>
      </w:r>
      <w:r w:rsidR="002E3A49">
        <w:rPr>
          <w:rFonts w:ascii="Times New Roman" w:hAnsi="Times New Roman" w:cs="Times New Roman"/>
        </w:rPr>
        <w:t xml:space="preserve">O.2 and </w:t>
      </w:r>
      <w:r w:rsidRPr="006F2CA5">
        <w:rPr>
          <w:rFonts w:ascii="Times New Roman" w:hAnsi="Times New Roman" w:cs="Times New Roman"/>
        </w:rPr>
        <w:t>O.33 (training)</w:t>
      </w:r>
      <w:r w:rsidR="002E3A49">
        <w:rPr>
          <w:rFonts w:ascii="Times New Roman" w:hAnsi="Times New Roman" w:cs="Times New Roman"/>
        </w:rPr>
        <w:t>, O.36 (wine) and O.37 (apiculture).</w:t>
      </w:r>
      <w:r w:rsidRPr="006F2CA5">
        <w:rPr>
          <w:rFonts w:ascii="Times New Roman" w:hAnsi="Times New Roman" w:cs="Times New Roman"/>
        </w:rPr>
        <w:t xml:space="preserve">  </w:t>
      </w:r>
    </w:p>
    <w:p w14:paraId="172477FA" w14:textId="77777777" w:rsidR="00E21969" w:rsidRPr="006F2CA5" w:rsidRDefault="00E21969"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In addition, </w:t>
      </w:r>
      <w:r w:rsidR="004313BC" w:rsidRPr="006F2CA5">
        <w:rPr>
          <w:rFonts w:ascii="Times New Roman" w:hAnsi="Times New Roman" w:cs="Times New Roman"/>
        </w:rPr>
        <w:t xml:space="preserve">a </w:t>
      </w:r>
      <w:r w:rsidRPr="006F2CA5">
        <w:rPr>
          <w:rFonts w:ascii="Times New Roman" w:hAnsi="Times New Roman" w:cs="Times New Roman"/>
        </w:rPr>
        <w:t xml:space="preserve">common </w:t>
      </w:r>
      <w:r w:rsidR="00F32718" w:rsidRPr="006F2CA5">
        <w:rPr>
          <w:rFonts w:ascii="Times New Roman" w:hAnsi="Times New Roman" w:cs="Times New Roman"/>
        </w:rPr>
        <w:t>unit</w:t>
      </w:r>
      <w:r w:rsidR="004313BC" w:rsidRPr="006F2CA5">
        <w:rPr>
          <w:rFonts w:ascii="Times New Roman" w:hAnsi="Times New Roman" w:cs="Times New Roman"/>
        </w:rPr>
        <w:t xml:space="preserve"> of measurement is needed when </w:t>
      </w:r>
      <w:r w:rsidRPr="006F2CA5">
        <w:rPr>
          <w:rFonts w:ascii="Times New Roman" w:hAnsi="Times New Roman" w:cs="Times New Roman"/>
        </w:rPr>
        <w:t>reporting to allow for aggregating</w:t>
      </w:r>
      <w:r w:rsidR="00F32718" w:rsidRPr="006F2CA5">
        <w:rPr>
          <w:rFonts w:ascii="Times New Roman" w:hAnsi="Times New Roman" w:cs="Times New Roman"/>
        </w:rPr>
        <w:t xml:space="preserve"> outputs measured with different unit of measurement</w:t>
      </w:r>
      <w:r w:rsidRPr="006F2CA5">
        <w:rPr>
          <w:rFonts w:ascii="Times New Roman" w:hAnsi="Times New Roman" w:cs="Times New Roman"/>
        </w:rPr>
        <w:t xml:space="preserve">. </w:t>
      </w:r>
      <w:r w:rsidR="005F7B48" w:rsidRPr="006F2CA5">
        <w:rPr>
          <w:rFonts w:ascii="Times New Roman" w:hAnsi="Times New Roman" w:cs="Times New Roman"/>
        </w:rPr>
        <w:t>For instance,</w:t>
      </w:r>
      <w:r w:rsidRPr="006F2CA5">
        <w:rPr>
          <w:rFonts w:ascii="Times New Roman" w:hAnsi="Times New Roman" w:cs="Times New Roman"/>
        </w:rPr>
        <w:t xml:space="preserve"> </w:t>
      </w:r>
      <w:r w:rsidR="003D7BB1">
        <w:rPr>
          <w:rFonts w:ascii="Times New Roman" w:hAnsi="Times New Roman" w:cs="Times New Roman"/>
        </w:rPr>
        <w:t>if</w:t>
      </w:r>
      <w:r w:rsidR="003D7BB1" w:rsidRPr="006F2CA5">
        <w:rPr>
          <w:rFonts w:ascii="Times New Roman" w:hAnsi="Times New Roman" w:cs="Times New Roman"/>
        </w:rPr>
        <w:t xml:space="preserve"> </w:t>
      </w:r>
      <w:r w:rsidRPr="006F2CA5">
        <w:rPr>
          <w:rFonts w:ascii="Times New Roman" w:hAnsi="Times New Roman" w:cs="Times New Roman"/>
        </w:rPr>
        <w:t>MS use unit amounts per LU (rather than per operation) for investments under O.20</w:t>
      </w:r>
      <w:r w:rsidR="003462C0">
        <w:rPr>
          <w:rFonts w:ascii="Times New Roman" w:hAnsi="Times New Roman" w:cs="Times New Roman"/>
        </w:rPr>
        <w:t xml:space="preserve"> (</w:t>
      </w:r>
      <w:r w:rsidR="003462C0" w:rsidRPr="003462C0">
        <w:rPr>
          <w:rFonts w:ascii="Times New Roman" w:hAnsi="Times New Roman" w:cs="Times New Roman"/>
        </w:rPr>
        <w:t>on-farm productive investment</w:t>
      </w:r>
      <w:r w:rsidR="003462C0">
        <w:rPr>
          <w:rFonts w:ascii="Times New Roman" w:hAnsi="Times New Roman" w:cs="Times New Roman"/>
        </w:rPr>
        <w:t>s)</w:t>
      </w:r>
      <w:r w:rsidRPr="006F2CA5">
        <w:rPr>
          <w:rFonts w:ascii="Times New Roman" w:hAnsi="Times New Roman" w:cs="Times New Roman"/>
        </w:rPr>
        <w:t>, O.21</w:t>
      </w:r>
      <w:r w:rsidR="003462C0" w:rsidRPr="003462C0">
        <w:t xml:space="preserve"> </w:t>
      </w:r>
      <w:r w:rsidR="003462C0">
        <w:t>(</w:t>
      </w:r>
      <w:r w:rsidR="003462C0" w:rsidRPr="003462C0">
        <w:rPr>
          <w:rFonts w:ascii="Times New Roman" w:hAnsi="Times New Roman" w:cs="Times New Roman"/>
        </w:rPr>
        <w:t xml:space="preserve">on-farm </w:t>
      </w:r>
      <w:r w:rsidR="003462C0">
        <w:rPr>
          <w:rFonts w:ascii="Times New Roman" w:hAnsi="Times New Roman" w:cs="Times New Roman"/>
        </w:rPr>
        <w:t>non-</w:t>
      </w:r>
      <w:r w:rsidR="003462C0" w:rsidRPr="003462C0">
        <w:rPr>
          <w:rFonts w:ascii="Times New Roman" w:hAnsi="Times New Roman" w:cs="Times New Roman"/>
        </w:rPr>
        <w:t>productive investment</w:t>
      </w:r>
      <w:r w:rsidR="003462C0">
        <w:rPr>
          <w:rFonts w:ascii="Times New Roman" w:hAnsi="Times New Roman" w:cs="Times New Roman"/>
        </w:rPr>
        <w:t>s)</w:t>
      </w:r>
      <w:r w:rsidRPr="006F2CA5">
        <w:rPr>
          <w:rFonts w:ascii="Times New Roman" w:hAnsi="Times New Roman" w:cs="Times New Roman"/>
        </w:rPr>
        <w:t>, O.22</w:t>
      </w:r>
      <w:r w:rsidR="003462C0">
        <w:rPr>
          <w:rFonts w:ascii="Times New Roman" w:hAnsi="Times New Roman" w:cs="Times New Roman"/>
        </w:rPr>
        <w:t xml:space="preserve"> (</w:t>
      </w:r>
      <w:r w:rsidR="003462C0" w:rsidRPr="003462C0">
        <w:rPr>
          <w:rFonts w:ascii="Times New Roman" w:hAnsi="Times New Roman" w:cs="Times New Roman"/>
        </w:rPr>
        <w:t>infrastructure investment</w:t>
      </w:r>
      <w:r w:rsidR="003462C0">
        <w:rPr>
          <w:rFonts w:ascii="Times New Roman" w:hAnsi="Times New Roman" w:cs="Times New Roman"/>
        </w:rPr>
        <w:t>s)</w:t>
      </w:r>
      <w:r w:rsidRPr="006F2CA5">
        <w:rPr>
          <w:rFonts w:ascii="Times New Roman" w:hAnsi="Times New Roman" w:cs="Times New Roman"/>
        </w:rPr>
        <w:t xml:space="preserve">, O.23 </w:t>
      </w:r>
      <w:r w:rsidR="003462C0">
        <w:rPr>
          <w:rFonts w:ascii="Times New Roman" w:hAnsi="Times New Roman" w:cs="Times New Roman"/>
        </w:rPr>
        <w:t>(</w:t>
      </w:r>
      <w:r w:rsidR="003462C0" w:rsidRPr="003462C0">
        <w:rPr>
          <w:rFonts w:ascii="Times New Roman" w:hAnsi="Times New Roman" w:cs="Times New Roman"/>
        </w:rPr>
        <w:t>off-farm non-productive</w:t>
      </w:r>
      <w:r w:rsidRPr="006F2CA5">
        <w:rPr>
          <w:rFonts w:ascii="Times New Roman" w:hAnsi="Times New Roman" w:cs="Times New Roman"/>
        </w:rPr>
        <w:t xml:space="preserve"> </w:t>
      </w:r>
      <w:r w:rsidR="003462C0">
        <w:rPr>
          <w:rFonts w:ascii="Times New Roman" w:hAnsi="Times New Roman" w:cs="Times New Roman"/>
        </w:rPr>
        <w:t xml:space="preserve">investments) </w:t>
      </w:r>
      <w:r w:rsidRPr="006F2CA5">
        <w:rPr>
          <w:rFonts w:ascii="Times New Roman" w:hAnsi="Times New Roman" w:cs="Times New Roman"/>
        </w:rPr>
        <w:t>and O.24</w:t>
      </w:r>
      <w:r w:rsidR="003462C0" w:rsidRPr="003462C0">
        <w:t xml:space="preserve"> </w:t>
      </w:r>
      <w:r w:rsidR="003462C0">
        <w:t>(</w:t>
      </w:r>
      <w:r w:rsidR="003462C0" w:rsidRPr="003462C0">
        <w:rPr>
          <w:rFonts w:ascii="Times New Roman" w:hAnsi="Times New Roman" w:cs="Times New Roman"/>
        </w:rPr>
        <w:t>off-farm productive</w:t>
      </w:r>
      <w:r w:rsidR="003462C0">
        <w:rPr>
          <w:rFonts w:ascii="Times New Roman" w:hAnsi="Times New Roman" w:cs="Times New Roman"/>
        </w:rPr>
        <w:t xml:space="preserve"> investments)</w:t>
      </w:r>
      <w:r w:rsidRPr="006F2CA5">
        <w:rPr>
          <w:rFonts w:ascii="Times New Roman" w:hAnsi="Times New Roman" w:cs="Times New Roman"/>
        </w:rPr>
        <w:t xml:space="preserve"> for performance clearance, MS would need for monitoring to report also these investments under the aggregated number of operations supported, so that an EU figure covering all supported investments could be monitored.</w:t>
      </w:r>
    </w:p>
    <w:p w14:paraId="6D1B618C" w14:textId="77777777" w:rsidR="0096372B" w:rsidRPr="006740F4" w:rsidRDefault="0096372B" w:rsidP="00A82615">
      <w:pPr>
        <w:pBdr>
          <w:top w:val="single" w:sz="4" w:space="1" w:color="auto"/>
          <w:left w:val="single" w:sz="4" w:space="4" w:color="auto"/>
          <w:bottom w:val="single" w:sz="4" w:space="1" w:color="auto"/>
          <w:right w:val="single" w:sz="4" w:space="4" w:color="auto"/>
        </w:pBdr>
        <w:spacing w:before="120" w:after="240" w:line="264" w:lineRule="auto"/>
        <w:jc w:val="center"/>
        <w:rPr>
          <w:rFonts w:ascii="Times New Roman" w:hAnsi="Times New Roman" w:cs="Times New Roman"/>
          <w:b/>
        </w:rPr>
      </w:pPr>
      <w:r w:rsidRPr="006740F4">
        <w:rPr>
          <w:rFonts w:ascii="Times New Roman" w:hAnsi="Times New Roman" w:cs="Times New Roman"/>
          <w:b/>
        </w:rPr>
        <w:t>A</w:t>
      </w:r>
      <w:r w:rsidR="00E21969" w:rsidRPr="006740F4">
        <w:rPr>
          <w:rFonts w:ascii="Times New Roman" w:hAnsi="Times New Roman" w:cs="Times New Roman"/>
          <w:b/>
        </w:rPr>
        <w:t>gri-environment-climate comm</w:t>
      </w:r>
      <w:r w:rsidR="005F7B48" w:rsidRPr="006740F4">
        <w:rPr>
          <w:rFonts w:ascii="Times New Roman" w:hAnsi="Times New Roman" w:cs="Times New Roman"/>
          <w:b/>
        </w:rPr>
        <w:t>itments for bees</w:t>
      </w:r>
      <w:r w:rsidRPr="006740F4">
        <w:rPr>
          <w:rFonts w:ascii="Times New Roman" w:hAnsi="Times New Roman" w:cs="Times New Roman"/>
          <w:b/>
        </w:rPr>
        <w:t xml:space="preserve"> under Art. 70</w:t>
      </w:r>
    </w:p>
    <w:p w14:paraId="4E7A2CBF" w14:textId="77777777" w:rsidR="00E21969" w:rsidRPr="006F2CA5" w:rsidRDefault="00E21969" w:rsidP="00A82615">
      <w:pPr>
        <w:pBdr>
          <w:top w:val="single" w:sz="4" w:space="1" w:color="auto"/>
          <w:left w:val="single" w:sz="4" w:space="4" w:color="auto"/>
          <w:bottom w:val="single" w:sz="4" w:space="1" w:color="auto"/>
          <w:right w:val="single" w:sz="4" w:space="4" w:color="auto"/>
        </w:pBdr>
        <w:spacing w:before="120" w:after="240" w:line="264" w:lineRule="auto"/>
        <w:jc w:val="both"/>
        <w:rPr>
          <w:rFonts w:ascii="Times New Roman" w:hAnsi="Times New Roman" w:cs="Times New Roman"/>
        </w:rPr>
      </w:pPr>
      <w:r w:rsidRPr="006F2CA5">
        <w:rPr>
          <w:rFonts w:ascii="Times New Roman" w:hAnsi="Times New Roman" w:cs="Times New Roman"/>
        </w:rPr>
        <w:t xml:space="preserve">If a Member State decides to include a specific agri-environment-climate scheme for bees in its </w:t>
      </w:r>
      <w:r w:rsidR="00731331">
        <w:rPr>
          <w:rFonts w:ascii="Times New Roman" w:hAnsi="Times New Roman" w:cs="Times New Roman"/>
        </w:rPr>
        <w:t>CAP strategic plan</w:t>
      </w:r>
      <w:r w:rsidRPr="006F2CA5">
        <w:rPr>
          <w:rFonts w:ascii="Times New Roman" w:hAnsi="Times New Roman" w:cs="Times New Roman"/>
        </w:rPr>
        <w:t>, the commitment has to be clearly linked to the area. Thus</w:t>
      </w:r>
      <w:r w:rsidR="005F7B48" w:rsidRPr="006F2CA5">
        <w:rPr>
          <w:rFonts w:ascii="Times New Roman" w:hAnsi="Times New Roman" w:cs="Times New Roman"/>
        </w:rPr>
        <w:t>,</w:t>
      </w:r>
      <w:r w:rsidRPr="006F2CA5">
        <w:rPr>
          <w:rFonts w:ascii="Times New Roman" w:hAnsi="Times New Roman" w:cs="Times New Roman"/>
        </w:rPr>
        <w:t xml:space="preserve"> the payment </w:t>
      </w:r>
      <w:r w:rsidR="0096372B" w:rsidRPr="006F2CA5">
        <w:rPr>
          <w:rFonts w:ascii="Times New Roman" w:hAnsi="Times New Roman" w:cs="Times New Roman"/>
        </w:rPr>
        <w:t xml:space="preserve">and the unit amount </w:t>
      </w:r>
      <w:r w:rsidRPr="006F2CA5">
        <w:rPr>
          <w:rFonts w:ascii="Times New Roman" w:hAnsi="Times New Roman" w:cs="Times New Roman"/>
        </w:rPr>
        <w:t>ha</w:t>
      </w:r>
      <w:r w:rsidR="0096372B">
        <w:rPr>
          <w:rFonts w:ascii="Times New Roman" w:hAnsi="Times New Roman" w:cs="Times New Roman"/>
        </w:rPr>
        <w:t>ve</w:t>
      </w:r>
      <w:r w:rsidRPr="006F2CA5">
        <w:rPr>
          <w:rFonts w:ascii="Times New Roman" w:hAnsi="Times New Roman" w:cs="Times New Roman"/>
        </w:rPr>
        <w:t xml:space="preserve"> to be established per hectare using output indicator O.14 </w:t>
      </w:r>
      <w:r w:rsidR="00EC3C45">
        <w:rPr>
          <w:rFonts w:ascii="Times New Roman" w:hAnsi="Times New Roman" w:cs="Times New Roman"/>
        </w:rPr>
        <w:t>(n</w:t>
      </w:r>
      <w:r w:rsidR="00EC3C45" w:rsidRPr="00EC3C45">
        <w:rPr>
          <w:rFonts w:ascii="Times New Roman" w:hAnsi="Times New Roman" w:cs="Times New Roman"/>
        </w:rPr>
        <w:t xml:space="preserve">umber of hectares (excluding forestry) or other units covered by </w:t>
      </w:r>
      <w:r w:rsidR="00EC3C45">
        <w:rPr>
          <w:rFonts w:ascii="Times New Roman" w:hAnsi="Times New Roman" w:cs="Times New Roman"/>
        </w:rPr>
        <w:t>a</w:t>
      </w:r>
      <w:r w:rsidR="00EC3C45" w:rsidRPr="00EC3C45">
        <w:rPr>
          <w:rFonts w:ascii="Times New Roman" w:hAnsi="Times New Roman" w:cs="Times New Roman"/>
        </w:rPr>
        <w:t>gri-environment-climate commitments</w:t>
      </w:r>
      <w:r w:rsidR="00EC3C45">
        <w:rPr>
          <w:rFonts w:ascii="Times New Roman" w:hAnsi="Times New Roman" w:cs="Times New Roman"/>
        </w:rPr>
        <w:t xml:space="preserve">) </w:t>
      </w:r>
      <w:r w:rsidRPr="006F2CA5">
        <w:rPr>
          <w:rFonts w:ascii="Times New Roman" w:hAnsi="Times New Roman" w:cs="Times New Roman"/>
        </w:rPr>
        <w:t>and R.31</w:t>
      </w:r>
      <w:r w:rsidR="00EC3C45">
        <w:rPr>
          <w:rFonts w:ascii="Times New Roman" w:hAnsi="Times New Roman" w:cs="Times New Roman"/>
        </w:rPr>
        <w:t xml:space="preserve"> (preserving habitats and species)</w:t>
      </w:r>
      <w:r w:rsidRPr="006F2CA5">
        <w:rPr>
          <w:rFonts w:ascii="Times New Roman" w:hAnsi="Times New Roman" w:cs="Times New Roman"/>
        </w:rPr>
        <w:t xml:space="preserve">. A maximum number of </w:t>
      </w:r>
      <w:r w:rsidR="00C9099C" w:rsidRPr="006F2CA5">
        <w:rPr>
          <w:rFonts w:ascii="Times New Roman" w:hAnsi="Times New Roman" w:cs="Times New Roman"/>
        </w:rPr>
        <w:t>beehives (e.g. 2 beehives per hectares</w:t>
      </w:r>
      <w:r w:rsidRPr="006F2CA5">
        <w:rPr>
          <w:rFonts w:ascii="Times New Roman" w:hAnsi="Times New Roman" w:cs="Times New Roman"/>
        </w:rPr>
        <w:t xml:space="preserve">) may </w:t>
      </w:r>
      <w:r w:rsidR="005F7B48" w:rsidRPr="006F2CA5">
        <w:rPr>
          <w:rFonts w:ascii="Times New Roman" w:hAnsi="Times New Roman" w:cs="Times New Roman"/>
        </w:rPr>
        <w:t xml:space="preserve">also </w:t>
      </w:r>
      <w:r w:rsidRPr="006F2CA5">
        <w:rPr>
          <w:rFonts w:ascii="Times New Roman" w:hAnsi="Times New Roman" w:cs="Times New Roman"/>
        </w:rPr>
        <w:t xml:space="preserve">be defined as part of the eligibility criteria or commitment, depending on the type of commitment. </w:t>
      </w:r>
    </w:p>
    <w:p w14:paraId="40138303" w14:textId="77777777" w:rsidR="00E21969" w:rsidRPr="006F2CA5" w:rsidRDefault="00E21969" w:rsidP="009626E2">
      <w:pPr>
        <w:pBdr>
          <w:top w:val="single" w:sz="4" w:space="1" w:color="auto"/>
          <w:left w:val="single" w:sz="4" w:space="4" w:color="auto"/>
          <w:bottom w:val="single" w:sz="4" w:space="1" w:color="auto"/>
          <w:right w:val="single" w:sz="4" w:space="4" w:color="auto"/>
        </w:pBdr>
        <w:spacing w:before="120" w:after="360" w:line="264" w:lineRule="auto"/>
        <w:jc w:val="both"/>
        <w:rPr>
          <w:rFonts w:ascii="Times New Roman" w:hAnsi="Times New Roman" w:cs="Times New Roman"/>
        </w:rPr>
      </w:pPr>
      <w:r w:rsidRPr="006F2CA5">
        <w:rPr>
          <w:rFonts w:ascii="Times New Roman" w:hAnsi="Times New Roman" w:cs="Times New Roman"/>
        </w:rPr>
        <w:t xml:space="preserve">In exceptional cases, when the payment per hectare differs depending on the number of beehives on the actual hectares and it is not possible to establish the payment per hectare in advance, </w:t>
      </w:r>
      <w:r w:rsidR="004313BC" w:rsidRPr="006F2CA5">
        <w:rPr>
          <w:rFonts w:ascii="Times New Roman" w:hAnsi="Times New Roman" w:cs="Times New Roman"/>
        </w:rPr>
        <w:t xml:space="preserve">MS </w:t>
      </w:r>
      <w:r w:rsidRPr="006F2CA5">
        <w:rPr>
          <w:rFonts w:ascii="Times New Roman" w:hAnsi="Times New Roman" w:cs="Times New Roman"/>
        </w:rPr>
        <w:t xml:space="preserve">may use average unit amounts per hectare for these specific cases. The average unit amount would correspond to the expected </w:t>
      </w:r>
      <w:r w:rsidRPr="0096372B">
        <w:rPr>
          <w:rFonts w:ascii="Times New Roman" w:hAnsi="Times New Roman" w:cs="Times New Roman"/>
        </w:rPr>
        <w:t>average number of beehives</w:t>
      </w:r>
      <w:r w:rsidRPr="006F2CA5">
        <w:rPr>
          <w:rFonts w:ascii="Times New Roman" w:hAnsi="Times New Roman" w:cs="Times New Roman"/>
        </w:rPr>
        <w:t xml:space="preserve"> per hectare multiplied by the cost incurred and income foregone per beehive.</w:t>
      </w:r>
    </w:p>
    <w:p w14:paraId="4795EBF2" w14:textId="384B5FB4" w:rsidR="00381F68" w:rsidRPr="006F2CA5" w:rsidRDefault="00381F68" w:rsidP="009626E2">
      <w:pPr>
        <w:pStyle w:val="Heading2"/>
        <w:spacing w:before="120" w:after="240" w:line="264" w:lineRule="auto"/>
        <w:ind w:left="578" w:hanging="578"/>
        <w:jc w:val="both"/>
        <w:rPr>
          <w:rFonts w:ascii="Times New Roman" w:hAnsi="Times New Roman" w:cs="Times New Roman"/>
          <w:color w:val="C45911" w:themeColor="accent2" w:themeShade="BF"/>
        </w:rPr>
      </w:pPr>
      <w:bookmarkStart w:id="6" w:name="_Toc89902368"/>
      <w:bookmarkStart w:id="7" w:name="_Toc126762205"/>
      <w:r w:rsidRPr="006F2CA5">
        <w:rPr>
          <w:rFonts w:ascii="Times New Roman" w:hAnsi="Times New Roman" w:cs="Times New Roman"/>
          <w:color w:val="C45911" w:themeColor="accent2" w:themeShade="BF"/>
        </w:rPr>
        <w:t>Output indicators to be used for performance clearance</w:t>
      </w:r>
      <w:bookmarkEnd w:id="6"/>
      <w:bookmarkEnd w:id="7"/>
    </w:p>
    <w:p w14:paraId="5D89854B" w14:textId="01FD3AAA" w:rsidR="001E769A" w:rsidRPr="006F2CA5" w:rsidRDefault="001E769A" w:rsidP="009626E2">
      <w:pPr>
        <w:pStyle w:val="Heading3"/>
        <w:spacing w:before="120" w:after="240" w:line="264" w:lineRule="auto"/>
        <w:jc w:val="both"/>
        <w:rPr>
          <w:rFonts w:ascii="Times New Roman" w:hAnsi="Times New Roman" w:cs="Times New Roman"/>
          <w:color w:val="C45911" w:themeColor="accent2" w:themeShade="BF"/>
        </w:rPr>
      </w:pPr>
      <w:bookmarkStart w:id="8" w:name="_Toc89902369"/>
      <w:bookmarkStart w:id="9" w:name="_Toc126762206"/>
      <w:r w:rsidRPr="006F2CA5">
        <w:rPr>
          <w:rFonts w:ascii="Times New Roman" w:hAnsi="Times New Roman" w:cs="Times New Roman"/>
          <w:color w:val="C45911" w:themeColor="accent2" w:themeShade="BF"/>
        </w:rPr>
        <w:t>Planning</w:t>
      </w:r>
      <w:bookmarkEnd w:id="8"/>
      <w:r w:rsidR="00C9099C" w:rsidRPr="006F2CA5">
        <w:rPr>
          <w:rFonts w:ascii="Times New Roman" w:hAnsi="Times New Roman" w:cs="Times New Roman"/>
          <w:color w:val="C45911" w:themeColor="accent2" w:themeShade="BF"/>
        </w:rPr>
        <w:t xml:space="preserve"> of output indicators</w:t>
      </w:r>
      <w:bookmarkEnd w:id="9"/>
    </w:p>
    <w:p w14:paraId="7FCB7B0A" w14:textId="77777777" w:rsidR="00785BB0" w:rsidRPr="006F2CA5" w:rsidRDefault="00381F68"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Output indicators are planned per </w:t>
      </w:r>
      <w:r w:rsidRPr="006F2CA5">
        <w:rPr>
          <w:rFonts w:ascii="Times New Roman" w:hAnsi="Times New Roman" w:cs="Times New Roman"/>
          <w:b/>
        </w:rPr>
        <w:t>agricultural financial year</w:t>
      </w:r>
      <w:r w:rsidR="00686DCC" w:rsidRPr="006F2CA5">
        <w:rPr>
          <w:rFonts w:ascii="Times New Roman" w:hAnsi="Times New Roman" w:cs="Times New Roman"/>
          <w:b/>
        </w:rPr>
        <w:t xml:space="preserve"> (FY)</w:t>
      </w:r>
      <w:r w:rsidRPr="006F2CA5">
        <w:rPr>
          <w:rFonts w:ascii="Times New Roman" w:hAnsi="Times New Roman" w:cs="Times New Roman"/>
        </w:rPr>
        <w:t xml:space="preserve">, which begins the </w:t>
      </w:r>
      <w:r w:rsidRPr="006740F4">
        <w:rPr>
          <w:rFonts w:ascii="Times New Roman" w:hAnsi="Times New Roman" w:cs="Times New Roman"/>
        </w:rPr>
        <w:t xml:space="preserve">16 </w:t>
      </w:r>
      <w:r w:rsidR="00474AE3" w:rsidRPr="006740F4">
        <w:rPr>
          <w:rFonts w:ascii="Times New Roman" w:hAnsi="Times New Roman" w:cs="Times New Roman"/>
        </w:rPr>
        <w:t>October of year N-1</w:t>
      </w:r>
      <w:r w:rsidR="00EE0B52" w:rsidRPr="006740F4">
        <w:rPr>
          <w:rFonts w:ascii="Times New Roman" w:hAnsi="Times New Roman" w:cs="Times New Roman"/>
        </w:rPr>
        <w:t xml:space="preserve"> and ends the 15 October of ye</w:t>
      </w:r>
      <w:r w:rsidR="00474AE3" w:rsidRPr="006740F4">
        <w:rPr>
          <w:rFonts w:ascii="Times New Roman" w:hAnsi="Times New Roman" w:cs="Times New Roman"/>
        </w:rPr>
        <w:t>ar N</w:t>
      </w:r>
      <w:r w:rsidR="00EE0B52" w:rsidRPr="006740F4">
        <w:rPr>
          <w:rFonts w:ascii="Times New Roman" w:hAnsi="Times New Roman" w:cs="Times New Roman"/>
        </w:rPr>
        <w:t>.</w:t>
      </w:r>
      <w:r w:rsidR="00EE0B52" w:rsidRPr="006F2CA5">
        <w:rPr>
          <w:rFonts w:ascii="Times New Roman" w:hAnsi="Times New Roman" w:cs="Times New Roman"/>
        </w:rPr>
        <w:t xml:space="preserve"> </w:t>
      </w:r>
    </w:p>
    <w:p w14:paraId="3C3C24F2" w14:textId="77777777" w:rsidR="00416A75" w:rsidRPr="006F2CA5" w:rsidRDefault="00785BB0"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Outputs are </w:t>
      </w:r>
      <w:r w:rsidR="006B4B42" w:rsidRPr="006F2CA5">
        <w:rPr>
          <w:rFonts w:ascii="Times New Roman" w:hAnsi="Times New Roman" w:cs="Times New Roman"/>
        </w:rPr>
        <w:t xml:space="preserve">planned </w:t>
      </w:r>
      <w:r w:rsidRPr="006F2CA5">
        <w:rPr>
          <w:rFonts w:ascii="Times New Roman" w:hAnsi="Times New Roman" w:cs="Times New Roman"/>
        </w:rPr>
        <w:t xml:space="preserve">per intervention, which may include more </w:t>
      </w:r>
      <w:r w:rsidR="00F21018" w:rsidRPr="006F2CA5">
        <w:rPr>
          <w:rFonts w:ascii="Times New Roman" w:hAnsi="Times New Roman" w:cs="Times New Roman"/>
        </w:rPr>
        <w:t xml:space="preserve">than one </w:t>
      </w:r>
      <w:r w:rsidR="00F21018" w:rsidRPr="006F2CA5">
        <w:rPr>
          <w:rFonts w:ascii="Times New Roman" w:hAnsi="Times New Roman" w:cs="Times New Roman"/>
          <w:b/>
        </w:rPr>
        <w:t>unit amount</w:t>
      </w:r>
      <w:r w:rsidRPr="006F2CA5">
        <w:rPr>
          <w:rFonts w:ascii="Times New Roman" w:hAnsi="Times New Roman" w:cs="Times New Roman"/>
        </w:rPr>
        <w:t xml:space="preserve">. </w:t>
      </w:r>
    </w:p>
    <w:p w14:paraId="6A622A8F" w14:textId="77777777" w:rsidR="00E56CFB" w:rsidRPr="006F2CA5" w:rsidRDefault="00785BB0"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If several unit amounts are established for an intervention, outputs </w:t>
      </w:r>
      <w:r w:rsidR="00EA033D" w:rsidRPr="006F2CA5">
        <w:rPr>
          <w:rFonts w:ascii="Times New Roman" w:hAnsi="Times New Roman" w:cs="Times New Roman"/>
        </w:rPr>
        <w:t>can</w:t>
      </w:r>
      <w:r w:rsidRPr="006F2CA5">
        <w:rPr>
          <w:rFonts w:ascii="Times New Roman" w:hAnsi="Times New Roman" w:cs="Times New Roman"/>
        </w:rPr>
        <w:t xml:space="preserve"> be planned either</w:t>
      </w:r>
      <w:r w:rsidR="00E56CFB" w:rsidRPr="006F2CA5">
        <w:rPr>
          <w:rFonts w:ascii="Times New Roman" w:hAnsi="Times New Roman" w:cs="Times New Roman"/>
        </w:rPr>
        <w:t>:</w:t>
      </w:r>
    </w:p>
    <w:p w14:paraId="53079733" w14:textId="77777777" w:rsidR="00E56CFB" w:rsidRPr="006F2CA5" w:rsidRDefault="00785BB0" w:rsidP="005C5386">
      <w:pPr>
        <w:pStyle w:val="ListParagraph"/>
        <w:numPr>
          <w:ilvl w:val="0"/>
          <w:numId w:val="4"/>
        </w:numPr>
        <w:spacing w:before="120" w:after="240" w:line="264" w:lineRule="auto"/>
        <w:ind w:hanging="213"/>
        <w:contextualSpacing w:val="0"/>
        <w:jc w:val="both"/>
        <w:rPr>
          <w:rFonts w:ascii="Times New Roman" w:hAnsi="Times New Roman" w:cs="Times New Roman"/>
        </w:rPr>
      </w:pPr>
      <w:r w:rsidRPr="006F2CA5">
        <w:rPr>
          <w:rFonts w:ascii="Times New Roman" w:hAnsi="Times New Roman" w:cs="Times New Roman"/>
        </w:rPr>
        <w:t>per</w:t>
      </w:r>
      <w:r w:rsidR="00EA033D" w:rsidRPr="006F2CA5">
        <w:rPr>
          <w:rFonts w:ascii="Times New Roman" w:hAnsi="Times New Roman" w:cs="Times New Roman"/>
        </w:rPr>
        <w:t xml:space="preserve"> </w:t>
      </w:r>
      <w:r w:rsidR="00260F4B" w:rsidRPr="006F2CA5">
        <w:rPr>
          <w:rFonts w:ascii="Times New Roman" w:hAnsi="Times New Roman" w:cs="Times New Roman"/>
        </w:rPr>
        <w:t>each</w:t>
      </w:r>
      <w:r w:rsidR="00416A75" w:rsidRPr="006F2CA5">
        <w:rPr>
          <w:rFonts w:ascii="Times New Roman" w:hAnsi="Times New Roman" w:cs="Times New Roman"/>
        </w:rPr>
        <w:t xml:space="preserve"> unit amount; </w:t>
      </w:r>
    </w:p>
    <w:p w14:paraId="654064E7" w14:textId="77777777" w:rsidR="00E56CFB" w:rsidRPr="006F2CA5" w:rsidRDefault="00462A28" w:rsidP="005C5386">
      <w:pPr>
        <w:pStyle w:val="ListParagraph"/>
        <w:numPr>
          <w:ilvl w:val="0"/>
          <w:numId w:val="4"/>
        </w:numPr>
        <w:spacing w:before="120" w:after="240" w:line="264" w:lineRule="auto"/>
        <w:ind w:hanging="213"/>
        <w:contextualSpacing w:val="0"/>
        <w:jc w:val="both"/>
        <w:rPr>
          <w:rFonts w:ascii="Times New Roman" w:hAnsi="Times New Roman" w:cs="Times New Roman"/>
        </w:rPr>
      </w:pPr>
      <w:r w:rsidRPr="006F2CA5">
        <w:rPr>
          <w:rFonts w:ascii="Times New Roman" w:hAnsi="Times New Roman" w:cs="Times New Roman"/>
        </w:rPr>
        <w:t>per</w:t>
      </w:r>
      <w:r w:rsidR="00785BB0" w:rsidRPr="006F2CA5">
        <w:rPr>
          <w:rFonts w:ascii="Times New Roman" w:hAnsi="Times New Roman" w:cs="Times New Roman"/>
        </w:rPr>
        <w:t xml:space="preserve"> groups of unit am</w:t>
      </w:r>
      <w:r w:rsidR="00EA033D" w:rsidRPr="006F2CA5">
        <w:rPr>
          <w:rFonts w:ascii="Times New Roman" w:hAnsi="Times New Roman" w:cs="Times New Roman"/>
        </w:rPr>
        <w:t>ounts</w:t>
      </w:r>
      <w:r w:rsidR="00821453" w:rsidRPr="006F2CA5">
        <w:rPr>
          <w:rFonts w:ascii="Times New Roman" w:hAnsi="Times New Roman" w:cs="Times New Roman"/>
        </w:rPr>
        <w:t xml:space="preserve"> (i.e. unit amounts are </w:t>
      </w:r>
      <w:r w:rsidR="00B100BB" w:rsidRPr="006F2CA5">
        <w:rPr>
          <w:rFonts w:ascii="Times New Roman" w:hAnsi="Times New Roman" w:cs="Times New Roman"/>
        </w:rPr>
        <w:t xml:space="preserve">put </w:t>
      </w:r>
      <w:r w:rsidR="00E56CFB" w:rsidRPr="006F2CA5">
        <w:rPr>
          <w:rFonts w:ascii="Times New Roman" w:hAnsi="Times New Roman" w:cs="Times New Roman"/>
        </w:rPr>
        <w:t xml:space="preserve">in different groups </w:t>
      </w:r>
      <w:r w:rsidR="00B100BB" w:rsidRPr="006F2CA5">
        <w:rPr>
          <w:rFonts w:ascii="Times New Roman" w:hAnsi="Times New Roman" w:cs="Times New Roman"/>
        </w:rPr>
        <w:t xml:space="preserve">and planned outputs are assigned to these groups </w:t>
      </w:r>
      <w:r w:rsidR="00416A75" w:rsidRPr="006F2CA5">
        <w:rPr>
          <w:rFonts w:ascii="Times New Roman" w:hAnsi="Times New Roman" w:cs="Times New Roman"/>
        </w:rPr>
        <w:t xml:space="preserve">instead of </w:t>
      </w:r>
      <w:r w:rsidR="00B100BB" w:rsidRPr="006F2CA5">
        <w:rPr>
          <w:rFonts w:ascii="Times New Roman" w:hAnsi="Times New Roman" w:cs="Times New Roman"/>
        </w:rPr>
        <w:t>to individual unit amounts)</w:t>
      </w:r>
      <w:r w:rsidR="00416A75" w:rsidRPr="006F2CA5">
        <w:rPr>
          <w:rFonts w:ascii="Times New Roman" w:hAnsi="Times New Roman" w:cs="Times New Roman"/>
        </w:rPr>
        <w:t>;</w:t>
      </w:r>
      <w:r w:rsidR="00E56CFB" w:rsidRPr="006F2CA5">
        <w:rPr>
          <w:rFonts w:ascii="Times New Roman" w:hAnsi="Times New Roman" w:cs="Times New Roman"/>
        </w:rPr>
        <w:t xml:space="preserve"> or</w:t>
      </w:r>
    </w:p>
    <w:p w14:paraId="726BE8E7" w14:textId="77777777" w:rsidR="00C9099C" w:rsidRDefault="009D2B75" w:rsidP="005C5386">
      <w:pPr>
        <w:pStyle w:val="ListParagraph"/>
        <w:numPr>
          <w:ilvl w:val="0"/>
          <w:numId w:val="4"/>
        </w:numPr>
        <w:spacing w:before="120" w:after="240" w:line="264" w:lineRule="auto"/>
        <w:ind w:hanging="213"/>
        <w:contextualSpacing w:val="0"/>
        <w:jc w:val="both"/>
        <w:rPr>
          <w:rFonts w:ascii="Times New Roman" w:hAnsi="Times New Roman" w:cs="Times New Roman"/>
        </w:rPr>
      </w:pPr>
      <w:r w:rsidRPr="006F2CA5">
        <w:rPr>
          <w:rFonts w:ascii="Times New Roman" w:hAnsi="Times New Roman" w:cs="Times New Roman"/>
        </w:rPr>
        <w:lastRenderedPageBreak/>
        <w:t xml:space="preserve">for </w:t>
      </w:r>
      <w:r w:rsidR="00EA033D" w:rsidRPr="006F2CA5">
        <w:rPr>
          <w:rFonts w:ascii="Times New Roman" w:hAnsi="Times New Roman" w:cs="Times New Roman"/>
        </w:rPr>
        <w:t xml:space="preserve">all unit </w:t>
      </w:r>
      <w:r w:rsidR="00821453" w:rsidRPr="006F2CA5">
        <w:rPr>
          <w:rFonts w:ascii="Times New Roman" w:hAnsi="Times New Roman" w:cs="Times New Roman"/>
        </w:rPr>
        <w:t xml:space="preserve">amounts </w:t>
      </w:r>
      <w:r w:rsidR="00462A28" w:rsidRPr="006F2CA5">
        <w:rPr>
          <w:rFonts w:ascii="Times New Roman" w:hAnsi="Times New Roman" w:cs="Times New Roman"/>
        </w:rPr>
        <w:t xml:space="preserve">(i.e. </w:t>
      </w:r>
      <w:r w:rsidR="00416A75" w:rsidRPr="006F2CA5">
        <w:rPr>
          <w:rFonts w:ascii="Times New Roman" w:hAnsi="Times New Roman" w:cs="Times New Roman"/>
        </w:rPr>
        <w:t>planned outputs are not assigned to individual</w:t>
      </w:r>
      <w:r w:rsidR="00B100BB" w:rsidRPr="006F2CA5">
        <w:rPr>
          <w:rFonts w:ascii="Times New Roman" w:hAnsi="Times New Roman" w:cs="Times New Roman"/>
        </w:rPr>
        <w:t xml:space="preserve"> unit</w:t>
      </w:r>
      <w:r w:rsidR="00416A75" w:rsidRPr="006F2CA5">
        <w:rPr>
          <w:rFonts w:ascii="Times New Roman" w:hAnsi="Times New Roman" w:cs="Times New Roman"/>
        </w:rPr>
        <w:t xml:space="preserve"> amounts, but to the intervention as a whole</w:t>
      </w:r>
      <w:r w:rsidR="001E769A" w:rsidRPr="006F2CA5">
        <w:rPr>
          <w:rFonts w:ascii="Times New Roman" w:hAnsi="Times New Roman" w:cs="Times New Roman"/>
        </w:rPr>
        <w:t>)</w:t>
      </w:r>
      <w:r w:rsidR="00260F4B" w:rsidRPr="006F2CA5">
        <w:rPr>
          <w:rFonts w:ascii="Times New Roman" w:hAnsi="Times New Roman" w:cs="Times New Roman"/>
        </w:rPr>
        <w:t>.</w:t>
      </w:r>
    </w:p>
    <w:p w14:paraId="30D2D0D8" w14:textId="77777777" w:rsidR="00064BE8" w:rsidRDefault="00064BE8" w:rsidP="009626E2">
      <w:pPr>
        <w:spacing w:before="120" w:after="240" w:line="264" w:lineRule="auto"/>
        <w:jc w:val="both"/>
        <w:rPr>
          <w:rFonts w:ascii="Times New Roman" w:hAnsi="Times New Roman" w:cs="Times New Roman"/>
        </w:rPr>
      </w:pPr>
      <w:r w:rsidRPr="003D66CB">
        <w:rPr>
          <w:rFonts w:ascii="Times New Roman" w:hAnsi="Times New Roman" w:cs="Times New Roman"/>
        </w:rPr>
        <w:t xml:space="preserve">Where the outputs of an intervention are planned to be paid over several years, in order not to count them several times over the period, the annual planned outputs </w:t>
      </w:r>
      <w:r w:rsidR="007753EC">
        <w:rPr>
          <w:rFonts w:ascii="Times New Roman" w:hAnsi="Times New Roman" w:cs="Times New Roman"/>
        </w:rPr>
        <w:t>should</w:t>
      </w:r>
      <w:r w:rsidRPr="003D66CB">
        <w:rPr>
          <w:rFonts w:ascii="Times New Roman" w:hAnsi="Times New Roman" w:cs="Times New Roman"/>
        </w:rPr>
        <w:t xml:space="preserve"> correspond only to the number of outputs which are </w:t>
      </w:r>
      <w:r w:rsidRPr="00E22EBD">
        <w:rPr>
          <w:rFonts w:ascii="Times New Roman" w:hAnsi="Times New Roman" w:cs="Times New Roman"/>
          <w:b/>
        </w:rPr>
        <w:t>indicatively</w:t>
      </w:r>
      <w:r w:rsidRPr="003D66CB">
        <w:rPr>
          <w:rFonts w:ascii="Times New Roman" w:hAnsi="Times New Roman" w:cs="Times New Roman"/>
        </w:rPr>
        <w:t xml:space="preserve"> planned to receive their first payment in that FY. </w:t>
      </w:r>
      <w:r w:rsidR="00115E76">
        <w:rPr>
          <w:rFonts w:ascii="Times New Roman" w:hAnsi="Times New Roman" w:cs="Times New Roman"/>
        </w:rPr>
        <w:t>In other words</w:t>
      </w:r>
      <w:r w:rsidRPr="003D66CB">
        <w:rPr>
          <w:rFonts w:ascii="Times New Roman" w:hAnsi="Times New Roman" w:cs="Times New Roman"/>
        </w:rPr>
        <w:t>, outputs are planned in full in the FY when the first payment is expected.</w:t>
      </w:r>
    </w:p>
    <w:p w14:paraId="22A2A9BD" w14:textId="77777777" w:rsidR="00364504" w:rsidRPr="00064BE8" w:rsidRDefault="00364504" w:rsidP="009626E2">
      <w:pPr>
        <w:spacing w:before="120" w:after="240" w:line="264" w:lineRule="auto"/>
        <w:jc w:val="both"/>
        <w:rPr>
          <w:rFonts w:ascii="Times New Roman" w:hAnsi="Times New Roman" w:cs="Times New Roman"/>
        </w:rPr>
      </w:pPr>
      <w:r w:rsidRPr="499F60B6">
        <w:rPr>
          <w:rFonts w:ascii="Times New Roman" w:hAnsi="Times New Roman" w:cs="Times New Roman"/>
        </w:rPr>
        <w:t>Regardless of whether the output of an intervention is planned to be paid in one year or over several years, such planned value is in</w:t>
      </w:r>
      <w:r w:rsidR="00156927" w:rsidRPr="499F60B6">
        <w:rPr>
          <w:rFonts w:ascii="Times New Roman" w:hAnsi="Times New Roman" w:cs="Times New Roman"/>
        </w:rPr>
        <w:t xml:space="preserve">dicative, and may differ from the value that will actually </w:t>
      </w:r>
      <w:r w:rsidR="00E22EBD">
        <w:rPr>
          <w:rFonts w:ascii="Times New Roman" w:hAnsi="Times New Roman" w:cs="Times New Roman"/>
        </w:rPr>
        <w:t xml:space="preserve">be </w:t>
      </w:r>
      <w:r w:rsidR="00156927" w:rsidRPr="499F60B6">
        <w:rPr>
          <w:rFonts w:ascii="Times New Roman" w:hAnsi="Times New Roman" w:cs="Times New Roman"/>
        </w:rPr>
        <w:t>reported.</w:t>
      </w:r>
      <w:r w:rsidRPr="499F60B6">
        <w:rPr>
          <w:rFonts w:ascii="Times New Roman" w:hAnsi="Times New Roman" w:cs="Times New Roman"/>
        </w:rPr>
        <w:t xml:space="preserve"> </w:t>
      </w:r>
    </w:p>
    <w:p w14:paraId="55568523" w14:textId="77777777" w:rsidR="0004013A" w:rsidRPr="006F2CA5" w:rsidRDefault="0004013A" w:rsidP="009626E2">
      <w:pPr>
        <w:pStyle w:val="Heading4"/>
        <w:spacing w:before="240" w:after="240" w:line="264" w:lineRule="auto"/>
        <w:ind w:left="862" w:hanging="862"/>
        <w:jc w:val="both"/>
        <w:rPr>
          <w:rFonts w:ascii="Times New Roman" w:hAnsi="Times New Roman" w:cs="Times New Roman"/>
          <w:color w:val="C45911" w:themeColor="accent2" w:themeShade="BF"/>
        </w:rPr>
      </w:pPr>
      <w:r w:rsidRPr="006F2CA5">
        <w:rPr>
          <w:rFonts w:ascii="Times New Roman" w:hAnsi="Times New Roman" w:cs="Times New Roman"/>
          <w:color w:val="C45911" w:themeColor="accent2" w:themeShade="BF"/>
        </w:rPr>
        <w:t xml:space="preserve">Carry-over of expenditure from previous </w:t>
      </w:r>
      <w:r w:rsidR="00224001">
        <w:rPr>
          <w:rFonts w:ascii="Times New Roman" w:hAnsi="Times New Roman" w:cs="Times New Roman"/>
          <w:color w:val="C45911" w:themeColor="accent2" w:themeShade="BF"/>
        </w:rPr>
        <w:t>programming periods</w:t>
      </w:r>
    </w:p>
    <w:p w14:paraId="733E6282" w14:textId="77777777" w:rsidR="009C2965" w:rsidRDefault="0004013A"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Expenditure carried over from previous programming </w:t>
      </w:r>
      <w:r w:rsidR="00677C07" w:rsidRPr="006F2CA5">
        <w:rPr>
          <w:rFonts w:ascii="Times New Roman" w:hAnsi="Times New Roman" w:cs="Times New Roman"/>
        </w:rPr>
        <w:t>periods support</w:t>
      </w:r>
      <w:r w:rsidR="0081127F">
        <w:rPr>
          <w:rFonts w:ascii="Times New Roman" w:hAnsi="Times New Roman" w:cs="Times New Roman"/>
        </w:rPr>
        <w:t>ing</w:t>
      </w:r>
      <w:r w:rsidR="00677C07" w:rsidRPr="006F2CA5">
        <w:rPr>
          <w:rFonts w:ascii="Times New Roman" w:hAnsi="Times New Roman" w:cs="Times New Roman"/>
        </w:rPr>
        <w:t xml:space="preserve"> interventions contributing to the </w:t>
      </w:r>
      <w:r w:rsidR="00731331">
        <w:rPr>
          <w:rFonts w:ascii="Times New Roman" w:hAnsi="Times New Roman" w:cs="Times New Roman"/>
        </w:rPr>
        <w:t>CAP strategic plan</w:t>
      </w:r>
      <w:r w:rsidRPr="006F2CA5">
        <w:rPr>
          <w:rFonts w:ascii="Times New Roman" w:hAnsi="Times New Roman" w:cs="Times New Roman"/>
        </w:rPr>
        <w:t xml:space="preserve"> should </w:t>
      </w:r>
      <w:r w:rsidR="0081127F">
        <w:rPr>
          <w:rFonts w:ascii="Times New Roman" w:hAnsi="Times New Roman" w:cs="Times New Roman"/>
        </w:rPr>
        <w:t xml:space="preserve">also </w:t>
      </w:r>
      <w:r w:rsidRPr="006F2CA5">
        <w:rPr>
          <w:rFonts w:ascii="Times New Roman" w:hAnsi="Times New Roman" w:cs="Times New Roman"/>
        </w:rPr>
        <w:t xml:space="preserve">be taken into account when </w:t>
      </w:r>
      <w:r w:rsidRPr="000C388B">
        <w:rPr>
          <w:rFonts w:ascii="Times New Roman" w:hAnsi="Times New Roman" w:cs="Times New Roman"/>
          <w:b/>
        </w:rPr>
        <w:t>planning outputs</w:t>
      </w:r>
      <w:r w:rsidRPr="006F2CA5">
        <w:rPr>
          <w:rFonts w:ascii="Times New Roman" w:hAnsi="Times New Roman" w:cs="Times New Roman"/>
        </w:rPr>
        <w:t>, whose value should be reflected in the relevant output indicator.</w:t>
      </w:r>
      <w:r w:rsidR="000C388B">
        <w:rPr>
          <w:rFonts w:ascii="Times New Roman" w:hAnsi="Times New Roman" w:cs="Times New Roman"/>
        </w:rPr>
        <w:t xml:space="preserve"> </w:t>
      </w:r>
    </w:p>
    <w:p w14:paraId="3B560A6A" w14:textId="77777777" w:rsidR="00586E3C" w:rsidRDefault="000A508F" w:rsidP="00A82615">
      <w:pPr>
        <w:spacing w:before="120" w:after="240" w:line="264" w:lineRule="auto"/>
        <w:jc w:val="both"/>
        <w:rPr>
          <w:rFonts w:ascii="Times New Roman" w:hAnsi="Times New Roman" w:cs="Times New Roman"/>
        </w:rPr>
      </w:pPr>
      <w:r>
        <w:rPr>
          <w:rFonts w:ascii="Times New Roman" w:hAnsi="Times New Roman" w:cs="Times New Roman"/>
        </w:rPr>
        <w:t xml:space="preserve">Carry-over of expenditure is not </w:t>
      </w:r>
      <w:r w:rsidR="00E75FA4">
        <w:rPr>
          <w:rFonts w:ascii="Times New Roman" w:hAnsi="Times New Roman" w:cs="Times New Roman"/>
        </w:rPr>
        <w:t>relevant</w:t>
      </w:r>
      <w:r>
        <w:rPr>
          <w:rFonts w:ascii="Times New Roman" w:hAnsi="Times New Roman" w:cs="Times New Roman"/>
        </w:rPr>
        <w:t xml:space="preserve"> for sectoral interventions, because</w:t>
      </w:r>
      <w:r w:rsidR="00586E3C" w:rsidRPr="00586E3C">
        <w:rPr>
          <w:rFonts w:ascii="Times New Roman" w:hAnsi="Times New Roman" w:cs="Times New Roman"/>
        </w:rPr>
        <w:t xml:space="preserve"> operational programmes</w:t>
      </w:r>
      <w:r w:rsidR="00586E3C">
        <w:rPr>
          <w:rFonts w:ascii="Times New Roman" w:hAnsi="Times New Roman" w:cs="Times New Roman"/>
        </w:rPr>
        <w:t xml:space="preserve"> for the fruit and vegetables sector and </w:t>
      </w:r>
      <w:r w:rsidR="00586E3C" w:rsidRPr="00586E3C">
        <w:rPr>
          <w:rFonts w:ascii="Times New Roman" w:hAnsi="Times New Roman" w:cs="Times New Roman"/>
        </w:rPr>
        <w:t xml:space="preserve">operations </w:t>
      </w:r>
      <w:r w:rsidR="00586E3C">
        <w:rPr>
          <w:rFonts w:ascii="Times New Roman" w:hAnsi="Times New Roman" w:cs="Times New Roman"/>
        </w:rPr>
        <w:t xml:space="preserve">for the wine sector </w:t>
      </w:r>
      <w:r w:rsidR="00586E3C" w:rsidRPr="00586E3C">
        <w:rPr>
          <w:rFonts w:ascii="Times New Roman" w:hAnsi="Times New Roman" w:cs="Times New Roman"/>
        </w:rPr>
        <w:t>that will continue to be implemented after 1 January 2023 have to follow the rules of the previous CAP, and not those applied for CAP Strategic Plans.</w:t>
      </w:r>
    </w:p>
    <w:p w14:paraId="6EDA61A4" w14:textId="77777777" w:rsidR="009626E2" w:rsidRDefault="007346FF" w:rsidP="00A82615">
      <w:pPr>
        <w:spacing w:before="120" w:after="240" w:line="264" w:lineRule="auto"/>
        <w:jc w:val="both"/>
        <w:rPr>
          <w:rFonts w:ascii="Times New Roman" w:hAnsi="Times New Roman" w:cs="Times New Roman"/>
        </w:rPr>
      </w:pPr>
      <w:r w:rsidRPr="007346FF">
        <w:rPr>
          <w:rFonts w:ascii="Times New Roman" w:hAnsi="Times New Roman" w:cs="Times New Roman"/>
        </w:rPr>
        <w:t xml:space="preserve">When certain operations are carried over in the CAP </w:t>
      </w:r>
      <w:r>
        <w:rPr>
          <w:rFonts w:ascii="Times New Roman" w:hAnsi="Times New Roman" w:cs="Times New Roman"/>
        </w:rPr>
        <w:t xml:space="preserve">strategic </w:t>
      </w:r>
      <w:r w:rsidRPr="007346FF">
        <w:rPr>
          <w:rFonts w:ascii="Times New Roman" w:hAnsi="Times New Roman" w:cs="Times New Roman"/>
        </w:rPr>
        <w:t>plan</w:t>
      </w:r>
      <w:r>
        <w:rPr>
          <w:rFonts w:ascii="Times New Roman" w:hAnsi="Times New Roman" w:cs="Times New Roman"/>
        </w:rPr>
        <w:t>,</w:t>
      </w:r>
      <w:r w:rsidRPr="007346FF">
        <w:rPr>
          <w:rFonts w:ascii="Times New Roman" w:hAnsi="Times New Roman" w:cs="Times New Roman"/>
        </w:rPr>
        <w:t xml:space="preserve"> and they are integrated under specific interventions, the </w:t>
      </w:r>
      <w:r w:rsidR="00240623">
        <w:rPr>
          <w:rFonts w:ascii="Times New Roman" w:hAnsi="Times New Roman" w:cs="Times New Roman"/>
        </w:rPr>
        <w:t>MS</w:t>
      </w:r>
      <w:r w:rsidRPr="007346FF">
        <w:rPr>
          <w:rFonts w:ascii="Times New Roman" w:hAnsi="Times New Roman" w:cs="Times New Roman"/>
        </w:rPr>
        <w:t xml:space="preserve"> need to plan a separate </w:t>
      </w:r>
      <w:r w:rsidRPr="00262DE4">
        <w:rPr>
          <w:rFonts w:ascii="Times New Roman" w:hAnsi="Times New Roman" w:cs="Times New Roman"/>
          <w:b/>
        </w:rPr>
        <w:t>unit amount</w:t>
      </w:r>
      <w:r w:rsidRPr="007346FF">
        <w:rPr>
          <w:rFonts w:ascii="Times New Roman" w:hAnsi="Times New Roman" w:cs="Times New Roman"/>
        </w:rPr>
        <w:t xml:space="preserve"> for those</w:t>
      </w:r>
      <w:r>
        <w:rPr>
          <w:rFonts w:ascii="Times New Roman" w:hAnsi="Times New Roman" w:cs="Times New Roman"/>
        </w:rPr>
        <w:t xml:space="preserve"> operations</w:t>
      </w:r>
      <w:r w:rsidRPr="007346FF">
        <w:rPr>
          <w:rFonts w:ascii="Times New Roman" w:hAnsi="Times New Roman" w:cs="Times New Roman"/>
        </w:rPr>
        <w:t xml:space="preserve">. In addition, the </w:t>
      </w:r>
      <w:r w:rsidRPr="00262DE4">
        <w:rPr>
          <w:rFonts w:ascii="Times New Roman" w:hAnsi="Times New Roman" w:cs="Times New Roman"/>
          <w:b/>
        </w:rPr>
        <w:t>financial allocation</w:t>
      </w:r>
      <w:r w:rsidRPr="007346FF">
        <w:rPr>
          <w:rFonts w:ascii="Times New Roman" w:hAnsi="Times New Roman" w:cs="Times New Roman"/>
        </w:rPr>
        <w:t xml:space="preserve"> will have to be planned separately (the financial plan includes 'out of whi</w:t>
      </w:r>
      <w:r w:rsidR="00262DE4">
        <w:rPr>
          <w:rFonts w:ascii="Times New Roman" w:hAnsi="Times New Roman" w:cs="Times New Roman"/>
        </w:rPr>
        <w:t>ch carried over expenditure'). However, i</w:t>
      </w:r>
      <w:r w:rsidRPr="007346FF">
        <w:rPr>
          <w:rFonts w:ascii="Times New Roman" w:hAnsi="Times New Roman" w:cs="Times New Roman"/>
        </w:rPr>
        <w:t xml:space="preserve">t is no longer requirement to plan the </w:t>
      </w:r>
      <w:r w:rsidRPr="00262DE4">
        <w:rPr>
          <w:rFonts w:ascii="Times New Roman" w:hAnsi="Times New Roman" w:cs="Times New Roman"/>
          <w:b/>
        </w:rPr>
        <w:t>number of outputs</w:t>
      </w:r>
      <w:r w:rsidRPr="007346FF">
        <w:rPr>
          <w:rFonts w:ascii="Times New Roman" w:hAnsi="Times New Roman" w:cs="Times New Roman"/>
        </w:rPr>
        <w:t xml:space="preserve"> per unit amount, and this can be done at the level of the</w:t>
      </w:r>
      <w:r w:rsidR="00262DE4">
        <w:rPr>
          <w:rFonts w:ascii="Times New Roman" w:hAnsi="Times New Roman" w:cs="Times New Roman"/>
        </w:rPr>
        <w:t xml:space="preserve"> intervention.</w:t>
      </w:r>
    </w:p>
    <w:p w14:paraId="4AE0C850" w14:textId="77777777" w:rsidR="00F8638D" w:rsidRPr="006F2CA5" w:rsidRDefault="00957FE2" w:rsidP="00A82615">
      <w:pPr>
        <w:pStyle w:val="Heading4"/>
        <w:spacing w:before="120" w:after="240" w:line="264" w:lineRule="auto"/>
        <w:jc w:val="both"/>
        <w:rPr>
          <w:rFonts w:ascii="Times New Roman" w:hAnsi="Times New Roman" w:cs="Times New Roman"/>
          <w:color w:val="C45911" w:themeColor="accent2" w:themeShade="BF"/>
        </w:rPr>
      </w:pPr>
      <w:r w:rsidRPr="006F2CA5">
        <w:rPr>
          <w:rFonts w:ascii="Times New Roman" w:hAnsi="Times New Roman" w:cs="Times New Roman"/>
          <w:color w:val="C45911" w:themeColor="accent2" w:themeShade="BF"/>
        </w:rPr>
        <w:t>Specific cases</w:t>
      </w:r>
    </w:p>
    <w:p w14:paraId="2C718918" w14:textId="77777777" w:rsidR="009D2B75" w:rsidRPr="006F2CA5" w:rsidRDefault="009D2B75"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In the fruit and vegetables sector, the hops sector, the olive oil and table olives sector and in the other sectors referred to </w:t>
      </w:r>
      <w:r w:rsidRPr="00ED2FD4">
        <w:rPr>
          <w:rFonts w:ascii="Times New Roman" w:hAnsi="Times New Roman" w:cs="Times New Roman"/>
        </w:rPr>
        <w:t xml:space="preserve">in Article </w:t>
      </w:r>
      <w:r w:rsidR="00ED2FD4" w:rsidRPr="00ED2FD4">
        <w:rPr>
          <w:rFonts w:ascii="Times New Roman" w:hAnsi="Times New Roman" w:cs="Times New Roman"/>
        </w:rPr>
        <w:t>48</w:t>
      </w:r>
      <w:r w:rsidRPr="006F2CA5">
        <w:rPr>
          <w:rFonts w:ascii="Times New Roman" w:hAnsi="Times New Roman" w:cs="Times New Roman"/>
        </w:rPr>
        <w:t xml:space="preserve"> of the </w:t>
      </w:r>
      <w:r w:rsidR="008A6A84">
        <w:rPr>
          <w:rFonts w:ascii="Times New Roman" w:hAnsi="Times New Roman" w:cs="Times New Roman"/>
        </w:rPr>
        <w:t>SPR</w:t>
      </w:r>
      <w:r w:rsidRPr="006F2CA5">
        <w:rPr>
          <w:rFonts w:ascii="Times New Roman" w:hAnsi="Times New Roman" w:cs="Times New Roman"/>
        </w:rPr>
        <w:t xml:space="preserve">, outputs are planned </w:t>
      </w:r>
      <w:r w:rsidR="00A7072F">
        <w:rPr>
          <w:rFonts w:ascii="Times New Roman" w:hAnsi="Times New Roman" w:cs="Times New Roman"/>
        </w:rPr>
        <w:t>per</w:t>
      </w:r>
      <w:r w:rsidR="00A615C8">
        <w:rPr>
          <w:rFonts w:ascii="Times New Roman" w:hAnsi="Times New Roman" w:cs="Times New Roman"/>
        </w:rPr>
        <w:t xml:space="preserve"> operational programme</w:t>
      </w:r>
      <w:r w:rsidRPr="006F2CA5">
        <w:rPr>
          <w:rFonts w:ascii="Times New Roman" w:hAnsi="Times New Roman" w:cs="Times New Roman"/>
        </w:rPr>
        <w:t>.</w:t>
      </w:r>
    </w:p>
    <w:p w14:paraId="1AA52401" w14:textId="77777777" w:rsidR="000C22F2" w:rsidRPr="006F2CA5" w:rsidRDefault="009D2B75" w:rsidP="00A82615">
      <w:pPr>
        <w:spacing w:before="120" w:after="240" w:line="264" w:lineRule="auto"/>
        <w:jc w:val="both"/>
        <w:rPr>
          <w:rFonts w:ascii="Times New Roman" w:hAnsi="Times New Roman" w:cs="Times New Roman"/>
        </w:rPr>
      </w:pPr>
      <w:r w:rsidRPr="006F2CA5">
        <w:rPr>
          <w:rFonts w:ascii="Times New Roman" w:hAnsi="Times New Roman" w:cs="Times New Roman"/>
        </w:rPr>
        <w:t>For output indicators O.3 and O.34, and aggregated values of output indicators planning is not required.</w:t>
      </w:r>
    </w:p>
    <w:p w14:paraId="4C62FC60" w14:textId="767D0E47" w:rsidR="001E769A" w:rsidRPr="006F2CA5" w:rsidRDefault="001E769A" w:rsidP="009626E2">
      <w:pPr>
        <w:pStyle w:val="Heading3"/>
        <w:spacing w:before="240" w:after="240" w:line="264" w:lineRule="auto"/>
        <w:rPr>
          <w:rFonts w:ascii="Times New Roman" w:hAnsi="Times New Roman" w:cs="Times New Roman"/>
          <w:color w:val="C45911" w:themeColor="accent2" w:themeShade="BF"/>
        </w:rPr>
      </w:pPr>
      <w:bookmarkStart w:id="10" w:name="_Toc89902370"/>
      <w:bookmarkStart w:id="11" w:name="_Toc126762207"/>
      <w:r w:rsidRPr="006F2CA5">
        <w:rPr>
          <w:rFonts w:ascii="Times New Roman" w:eastAsia="Times New Roman" w:hAnsi="Times New Roman" w:cs="Times New Roman"/>
          <w:color w:val="C45911" w:themeColor="accent2" w:themeShade="BF"/>
          <w:lang w:eastAsia="en-GB"/>
        </w:rPr>
        <w:t>Reportin</w:t>
      </w:r>
      <w:r w:rsidRPr="006F2CA5">
        <w:rPr>
          <w:rFonts w:ascii="Times New Roman" w:hAnsi="Times New Roman" w:cs="Times New Roman"/>
          <w:color w:val="C45911" w:themeColor="accent2" w:themeShade="BF"/>
        </w:rPr>
        <w:t>g</w:t>
      </w:r>
      <w:bookmarkEnd w:id="10"/>
      <w:r w:rsidR="00F32718" w:rsidRPr="006F2CA5">
        <w:rPr>
          <w:rFonts w:ascii="Times New Roman" w:hAnsi="Times New Roman" w:cs="Times New Roman"/>
        </w:rPr>
        <w:t xml:space="preserve"> </w:t>
      </w:r>
      <w:r w:rsidR="00F32718" w:rsidRPr="006F2CA5">
        <w:rPr>
          <w:rFonts w:ascii="Times New Roman" w:hAnsi="Times New Roman" w:cs="Times New Roman"/>
          <w:color w:val="C45911" w:themeColor="accent2" w:themeShade="BF"/>
        </w:rPr>
        <w:t>of output indicators to be used for performance clearance</w:t>
      </w:r>
      <w:bookmarkEnd w:id="11"/>
    </w:p>
    <w:p w14:paraId="0C78C9B1" w14:textId="77777777" w:rsidR="0025791B" w:rsidRPr="006F2CA5" w:rsidRDefault="005D7A26"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Reporting of output indicators is </w:t>
      </w:r>
      <w:r w:rsidR="0025791B" w:rsidRPr="006F2CA5">
        <w:rPr>
          <w:rFonts w:ascii="Times New Roman" w:hAnsi="Times New Roman" w:cs="Times New Roman"/>
        </w:rPr>
        <w:t xml:space="preserve">done through the </w:t>
      </w:r>
      <w:r w:rsidR="004313BC" w:rsidRPr="006F2CA5">
        <w:rPr>
          <w:rFonts w:ascii="Times New Roman" w:hAnsi="Times New Roman" w:cs="Times New Roman"/>
        </w:rPr>
        <w:t>annual performance report (</w:t>
      </w:r>
      <w:r w:rsidR="004313BC" w:rsidRPr="006F2CA5">
        <w:rPr>
          <w:rFonts w:ascii="Times New Roman" w:hAnsi="Times New Roman" w:cs="Times New Roman"/>
          <w:b/>
        </w:rPr>
        <w:t>APR</w:t>
      </w:r>
      <w:r w:rsidR="004313BC" w:rsidRPr="006F2CA5">
        <w:rPr>
          <w:rFonts w:ascii="Times New Roman" w:hAnsi="Times New Roman" w:cs="Times New Roman"/>
        </w:rPr>
        <w:t>)</w:t>
      </w:r>
      <w:r w:rsidR="0025791B" w:rsidRPr="006F2CA5">
        <w:rPr>
          <w:rFonts w:ascii="Times New Roman" w:hAnsi="Times New Roman" w:cs="Times New Roman"/>
        </w:rPr>
        <w:t xml:space="preserve">, which is submitted </w:t>
      </w:r>
      <w:r w:rsidRPr="006F2CA5">
        <w:rPr>
          <w:rFonts w:ascii="Times New Roman" w:hAnsi="Times New Roman" w:cs="Times New Roman"/>
        </w:rPr>
        <w:t xml:space="preserve">by </w:t>
      </w:r>
      <w:r w:rsidRPr="006F2CA5">
        <w:rPr>
          <w:rFonts w:ascii="Times New Roman" w:hAnsi="Times New Roman" w:cs="Times New Roman"/>
          <w:b/>
        </w:rPr>
        <w:t>15 February of year N</w:t>
      </w:r>
      <w:r w:rsidR="004B746F">
        <w:rPr>
          <w:rFonts w:ascii="Times New Roman" w:hAnsi="Times New Roman" w:cs="Times New Roman"/>
          <w:b/>
        </w:rPr>
        <w:t xml:space="preserve"> </w:t>
      </w:r>
      <w:r w:rsidR="004B746F" w:rsidRPr="004B746F">
        <w:rPr>
          <w:rFonts w:ascii="Times New Roman" w:hAnsi="Times New Roman" w:cs="Times New Roman"/>
        </w:rPr>
        <w:t>and refer to</w:t>
      </w:r>
      <w:r w:rsidR="004B746F">
        <w:rPr>
          <w:rFonts w:ascii="Times New Roman" w:hAnsi="Times New Roman" w:cs="Times New Roman"/>
          <w:b/>
        </w:rPr>
        <w:t xml:space="preserve"> </w:t>
      </w:r>
      <w:r w:rsidR="004B746F" w:rsidRPr="006F2CA5">
        <w:rPr>
          <w:rFonts w:ascii="Times New Roman" w:hAnsi="Times New Roman" w:cs="Times New Roman"/>
        </w:rPr>
        <w:t>FY N-1</w:t>
      </w:r>
      <w:r w:rsidR="0025791B" w:rsidRPr="006F2CA5">
        <w:rPr>
          <w:rFonts w:ascii="Times New Roman" w:hAnsi="Times New Roman" w:cs="Times New Roman"/>
        </w:rPr>
        <w:t>.</w:t>
      </w:r>
    </w:p>
    <w:p w14:paraId="10DE4479" w14:textId="77777777" w:rsidR="001E769A" w:rsidRPr="006F2CA5" w:rsidRDefault="001E769A" w:rsidP="00A82615">
      <w:pPr>
        <w:spacing w:before="120" w:after="240" w:line="264" w:lineRule="auto"/>
        <w:jc w:val="both"/>
        <w:rPr>
          <w:rFonts w:ascii="Times New Roman" w:hAnsi="Times New Roman" w:cs="Times New Roman"/>
        </w:rPr>
      </w:pPr>
      <w:r w:rsidRPr="006F2CA5">
        <w:rPr>
          <w:rFonts w:ascii="Times New Roman" w:hAnsi="Times New Roman" w:cs="Times New Roman"/>
        </w:rPr>
        <w:t>Output indicators are reported per unit amount.</w:t>
      </w:r>
    </w:p>
    <w:p w14:paraId="39F5A023" w14:textId="77777777" w:rsidR="00367E0C" w:rsidRPr="00A7072F" w:rsidRDefault="00367E0C" w:rsidP="00A82615">
      <w:pPr>
        <w:pStyle w:val="Heading4"/>
        <w:spacing w:before="120" w:after="240" w:line="264" w:lineRule="auto"/>
        <w:jc w:val="both"/>
        <w:rPr>
          <w:rFonts w:ascii="Times New Roman" w:hAnsi="Times New Roman" w:cs="Times New Roman"/>
          <w:color w:val="C45911" w:themeColor="accent2" w:themeShade="BF"/>
        </w:rPr>
      </w:pPr>
      <w:bookmarkStart w:id="12" w:name="_Toc89902371"/>
      <w:r w:rsidRPr="00A7072F">
        <w:rPr>
          <w:rFonts w:ascii="Times New Roman" w:hAnsi="Times New Roman" w:cs="Times New Roman"/>
          <w:color w:val="C45911" w:themeColor="accent2" w:themeShade="BF"/>
        </w:rPr>
        <w:t>Calculation methods</w:t>
      </w:r>
      <w:bookmarkEnd w:id="12"/>
      <w:r w:rsidRPr="00A7072F">
        <w:rPr>
          <w:rFonts w:ascii="Times New Roman" w:hAnsi="Times New Roman" w:cs="Times New Roman"/>
          <w:color w:val="C45911" w:themeColor="accent2" w:themeShade="BF"/>
        </w:rPr>
        <w:t xml:space="preserve"> </w:t>
      </w:r>
      <w:r w:rsidR="00F32718" w:rsidRPr="00A7072F">
        <w:rPr>
          <w:rFonts w:ascii="Times New Roman" w:hAnsi="Times New Roman" w:cs="Times New Roman"/>
          <w:color w:val="C45911" w:themeColor="accent2" w:themeShade="BF"/>
        </w:rPr>
        <w:t>of output indicators to be used for performance clearance</w:t>
      </w:r>
    </w:p>
    <w:p w14:paraId="1F0D31D0" w14:textId="77777777" w:rsidR="004B746F" w:rsidRDefault="004B746F" w:rsidP="00A82615">
      <w:pPr>
        <w:spacing w:before="120" w:after="240" w:line="264" w:lineRule="auto"/>
        <w:jc w:val="both"/>
        <w:rPr>
          <w:rFonts w:ascii="Times New Roman" w:hAnsi="Times New Roman" w:cs="Times New Roman"/>
        </w:rPr>
      </w:pPr>
      <w:r>
        <w:rPr>
          <w:rFonts w:ascii="Times New Roman" w:eastAsia="Times New Roman" w:hAnsi="Times New Roman" w:cs="Times New Roman"/>
        </w:rPr>
        <w:t xml:space="preserve">Output indicators </w:t>
      </w:r>
      <w:r w:rsidRPr="006F2CA5">
        <w:rPr>
          <w:rFonts w:ascii="Times New Roman" w:hAnsi="Times New Roman" w:cs="Times New Roman"/>
        </w:rPr>
        <w:t xml:space="preserve">refer to outputs effectively paid in </w:t>
      </w:r>
      <w:r>
        <w:rPr>
          <w:rFonts w:ascii="Times New Roman" w:hAnsi="Times New Roman" w:cs="Times New Roman"/>
        </w:rPr>
        <w:t>the FY.</w:t>
      </w:r>
      <w:r w:rsidR="00472C7A">
        <w:rPr>
          <w:rFonts w:ascii="Times New Roman" w:hAnsi="Times New Roman" w:cs="Times New Roman"/>
        </w:rPr>
        <w:t xml:space="preserve"> </w:t>
      </w:r>
      <w:r w:rsidR="00472C7A" w:rsidRPr="008A4AF0">
        <w:rPr>
          <w:rFonts w:ascii="Times New Roman" w:hAnsi="Times New Roman" w:cs="Times New Roman"/>
        </w:rPr>
        <w:t xml:space="preserve">In the case of financial instruments, outputs </w:t>
      </w:r>
      <w:r w:rsidR="007753EC" w:rsidRPr="008A4AF0">
        <w:rPr>
          <w:rFonts w:ascii="Times New Roman" w:hAnsi="Times New Roman" w:cs="Times New Roman"/>
        </w:rPr>
        <w:t>should</w:t>
      </w:r>
      <w:r w:rsidR="009B6D5C" w:rsidRPr="008A4AF0">
        <w:rPr>
          <w:rFonts w:ascii="Times New Roman" w:hAnsi="Times New Roman" w:cs="Times New Roman"/>
        </w:rPr>
        <w:t xml:space="preserve"> be reported for incurred eligible expenditure defined in Art.80(5)(a)-(d) of SPR which has been </w:t>
      </w:r>
      <w:r w:rsidR="00455E60" w:rsidRPr="008A4AF0">
        <w:rPr>
          <w:rFonts w:ascii="Times New Roman" w:hAnsi="Times New Roman" w:cs="Times New Roman"/>
        </w:rPr>
        <w:t xml:space="preserve">also </w:t>
      </w:r>
      <w:r w:rsidR="004375F1" w:rsidRPr="008A4AF0">
        <w:rPr>
          <w:rFonts w:ascii="Times New Roman" w:hAnsi="Times New Roman" w:cs="Times New Roman"/>
        </w:rPr>
        <w:t>effected</w:t>
      </w:r>
      <w:r w:rsidR="00472C7A" w:rsidRPr="008A4AF0">
        <w:rPr>
          <w:rFonts w:ascii="Times New Roman" w:hAnsi="Times New Roman" w:cs="Times New Roman"/>
        </w:rPr>
        <w:t xml:space="preserve"> by the Paying Agency and declared to the Commission for the given FY</w:t>
      </w:r>
      <w:r w:rsidR="009B6D5C" w:rsidRPr="008A4AF0">
        <w:rPr>
          <w:rFonts w:ascii="Times New Roman" w:hAnsi="Times New Roman" w:cs="Times New Roman"/>
        </w:rPr>
        <w:t xml:space="preserve"> (excluding the first advance payment </w:t>
      </w:r>
      <w:r w:rsidR="004375F1" w:rsidRPr="008A4AF0">
        <w:rPr>
          <w:rFonts w:ascii="Times New Roman" w:hAnsi="Times New Roman" w:cs="Times New Roman"/>
        </w:rPr>
        <w:t>provided for in</w:t>
      </w:r>
      <w:r w:rsidR="009B6D5C" w:rsidRPr="008A4AF0">
        <w:rPr>
          <w:rFonts w:ascii="Times New Roman" w:hAnsi="Times New Roman" w:cs="Times New Roman"/>
        </w:rPr>
        <w:t xml:space="preserve"> Art.32(4)(a) HZR)</w:t>
      </w:r>
      <w:r w:rsidR="00472C7A" w:rsidRPr="008A4AF0">
        <w:rPr>
          <w:rFonts w:ascii="Times New Roman" w:hAnsi="Times New Roman" w:cs="Times New Roman"/>
        </w:rPr>
        <w:t xml:space="preserve">. </w:t>
      </w:r>
    </w:p>
    <w:p w14:paraId="583CBCE5" w14:textId="03A79B6C" w:rsidR="00DA7F22" w:rsidRPr="006F2CA5" w:rsidRDefault="00367E0C" w:rsidP="00A82615">
      <w:pPr>
        <w:spacing w:before="120" w:after="240" w:line="264" w:lineRule="auto"/>
        <w:jc w:val="both"/>
        <w:rPr>
          <w:rFonts w:ascii="Times New Roman" w:eastAsia="Times New Roman" w:hAnsi="Times New Roman" w:cs="Times New Roman"/>
        </w:rPr>
      </w:pPr>
      <w:r w:rsidRPr="006F2CA5">
        <w:rPr>
          <w:rFonts w:ascii="Times New Roman" w:hAnsi="Times New Roman" w:cs="Times New Roman"/>
        </w:rPr>
        <w:lastRenderedPageBreak/>
        <w:t xml:space="preserve">The values of an output indicator for performance clearance should be calculated </w:t>
      </w:r>
      <w:r w:rsidR="007366B3" w:rsidRPr="006F2CA5">
        <w:rPr>
          <w:rFonts w:ascii="Times New Roman" w:hAnsi="Times New Roman" w:cs="Times New Roman"/>
        </w:rPr>
        <w:t>as the</w:t>
      </w:r>
      <w:r w:rsidRPr="006F2CA5">
        <w:rPr>
          <w:rFonts w:ascii="Times New Roman" w:hAnsi="Times New Roman" w:cs="Times New Roman"/>
        </w:rPr>
        <w:t xml:space="preserve"> proportion of the </w:t>
      </w:r>
      <w:r w:rsidR="00EA11FF" w:rsidRPr="006F2CA5">
        <w:rPr>
          <w:rFonts w:ascii="Times New Roman" w:hAnsi="Times New Roman" w:cs="Times New Roman"/>
        </w:rPr>
        <w:t xml:space="preserve">expenditure paid for </w:t>
      </w:r>
      <w:r w:rsidR="009626E2" w:rsidRPr="006F2CA5">
        <w:rPr>
          <w:rFonts w:ascii="Times New Roman" w:hAnsi="Times New Roman" w:cs="Times New Roman"/>
        </w:rPr>
        <w:t>th</w:t>
      </w:r>
      <w:r w:rsidR="009626E2">
        <w:rPr>
          <w:rFonts w:ascii="Times New Roman" w:hAnsi="Times New Roman" w:cs="Times New Roman"/>
        </w:rPr>
        <w:t>e</w:t>
      </w:r>
      <w:r w:rsidR="009626E2" w:rsidRPr="006F2CA5">
        <w:rPr>
          <w:rFonts w:ascii="Times New Roman" w:hAnsi="Times New Roman" w:cs="Times New Roman"/>
        </w:rPr>
        <w:t xml:space="preserve"> </w:t>
      </w:r>
      <w:r w:rsidR="009626E2">
        <w:rPr>
          <w:rFonts w:ascii="Times New Roman" w:hAnsi="Times New Roman" w:cs="Times New Roman"/>
        </w:rPr>
        <w:t xml:space="preserve">associated </w:t>
      </w:r>
      <w:r w:rsidR="00EA11FF" w:rsidRPr="006F2CA5">
        <w:rPr>
          <w:rFonts w:ascii="Times New Roman" w:hAnsi="Times New Roman" w:cs="Times New Roman"/>
        </w:rPr>
        <w:t>output</w:t>
      </w:r>
      <w:r w:rsidR="009626E2">
        <w:rPr>
          <w:rFonts w:ascii="Times New Roman" w:hAnsi="Times New Roman" w:cs="Times New Roman"/>
        </w:rPr>
        <w:t>s</w:t>
      </w:r>
      <w:r w:rsidRPr="006F2CA5">
        <w:rPr>
          <w:rFonts w:ascii="Times New Roman" w:hAnsi="Times New Roman" w:cs="Times New Roman"/>
        </w:rPr>
        <w:t xml:space="preserve"> in </w:t>
      </w:r>
      <w:r w:rsidR="00EA11FF" w:rsidRPr="006F2CA5">
        <w:rPr>
          <w:rFonts w:ascii="Times New Roman" w:hAnsi="Times New Roman" w:cs="Times New Roman"/>
        </w:rPr>
        <w:t xml:space="preserve">the </w:t>
      </w:r>
      <w:r w:rsidR="00686DCC" w:rsidRPr="006F2CA5">
        <w:rPr>
          <w:rFonts w:ascii="Times New Roman" w:hAnsi="Times New Roman" w:cs="Times New Roman"/>
        </w:rPr>
        <w:t>FY</w:t>
      </w:r>
      <w:r w:rsidR="00EA11FF" w:rsidRPr="006F2CA5">
        <w:rPr>
          <w:rFonts w:ascii="Times New Roman" w:hAnsi="Times New Roman" w:cs="Times New Roman"/>
        </w:rPr>
        <w:t>.</w:t>
      </w:r>
      <w:r w:rsidR="003C4DD9" w:rsidRPr="006F2CA5">
        <w:rPr>
          <w:rFonts w:ascii="Times New Roman" w:hAnsi="Times New Roman" w:cs="Times New Roman"/>
        </w:rPr>
        <w:t xml:space="preserve"> </w:t>
      </w:r>
      <w:r w:rsidR="00DD5AF8">
        <w:rPr>
          <w:rFonts w:ascii="Times New Roman" w:eastAsia="Times New Roman" w:hAnsi="Times New Roman" w:cs="Times New Roman"/>
        </w:rPr>
        <w:t xml:space="preserve">This proportion is based on the estimated cost of the entire project as indicated in the application for support. </w:t>
      </w:r>
      <w:r w:rsidR="00DA7F22" w:rsidRPr="006F2CA5">
        <w:rPr>
          <w:rFonts w:ascii="Times New Roman" w:eastAsia="Times New Roman" w:hAnsi="Times New Roman" w:cs="Times New Roman"/>
        </w:rPr>
        <w:t xml:space="preserve">Therefore, </w:t>
      </w:r>
      <w:r w:rsidR="00DA7F22" w:rsidRPr="00B15AFE">
        <w:rPr>
          <w:rFonts w:ascii="Times New Roman" w:eastAsia="Times New Roman" w:hAnsi="Times New Roman" w:cs="Times New Roman"/>
          <w:b/>
        </w:rPr>
        <w:t xml:space="preserve">partial </w:t>
      </w:r>
      <w:r w:rsidR="0051450C" w:rsidRPr="00B15AFE">
        <w:rPr>
          <w:rFonts w:ascii="Times New Roman" w:eastAsia="Times New Roman" w:hAnsi="Times New Roman" w:cs="Times New Roman"/>
          <w:b/>
        </w:rPr>
        <w:t>outputs</w:t>
      </w:r>
      <w:r w:rsidR="0051450C" w:rsidRPr="006F2CA5">
        <w:rPr>
          <w:rFonts w:ascii="Times New Roman" w:eastAsia="Times New Roman" w:hAnsi="Times New Roman" w:cs="Times New Roman"/>
        </w:rPr>
        <w:t xml:space="preserve"> should</w:t>
      </w:r>
      <w:r w:rsidR="00DA7F22" w:rsidRPr="006F2CA5">
        <w:rPr>
          <w:rFonts w:ascii="Times New Roman" w:eastAsia="Times New Roman" w:hAnsi="Times New Roman" w:cs="Times New Roman"/>
        </w:rPr>
        <w:t xml:space="preserve"> be reported for partially completed operations. </w:t>
      </w:r>
      <w:r w:rsidR="0000166A">
        <w:rPr>
          <w:rFonts w:ascii="Times New Roman" w:hAnsi="Times New Roman" w:cs="Times New Roman"/>
        </w:rPr>
        <w:t>If the cost of the project changes during the implementation of the intervention, when reporting the last instalment, the generated output should be equal to 1 minus the sum of the partial outputs paid with the previous instalments, so that the sum of all the partial outputs equals 1.</w:t>
      </w:r>
    </w:p>
    <w:p w14:paraId="2D279035" w14:textId="5D2D219C" w:rsidR="00DA7F22" w:rsidRDefault="01C2BAAD" w:rsidP="6E30A28C">
      <w:pPr>
        <w:pStyle w:val="ListParagraph"/>
        <w:numPr>
          <w:ilvl w:val="0"/>
          <w:numId w:val="14"/>
        </w:numPr>
        <w:spacing w:before="120" w:after="240" w:line="264" w:lineRule="auto"/>
        <w:ind w:left="714" w:hanging="357"/>
        <w:jc w:val="both"/>
        <w:rPr>
          <w:rFonts w:ascii="Times New Roman" w:eastAsia="Times New Roman" w:hAnsi="Times New Roman" w:cs="Times New Roman"/>
        </w:rPr>
      </w:pPr>
      <w:r w:rsidRPr="3320CD2F">
        <w:rPr>
          <w:rFonts w:ascii="Times New Roman" w:eastAsia="Times New Roman" w:hAnsi="Times New Roman" w:cs="Times New Roman"/>
        </w:rPr>
        <w:t xml:space="preserve">In accordance with payment deadlines for </w:t>
      </w:r>
      <w:r w:rsidRPr="3320CD2F">
        <w:rPr>
          <w:rFonts w:ascii="Times New Roman" w:eastAsia="Times New Roman" w:hAnsi="Times New Roman" w:cs="Times New Roman"/>
          <w:b/>
          <w:bCs/>
        </w:rPr>
        <w:t>direct payments</w:t>
      </w:r>
      <w:r w:rsidR="49A04908" w:rsidRPr="3320CD2F">
        <w:rPr>
          <w:rFonts w:ascii="Times New Roman" w:eastAsia="Times New Roman" w:hAnsi="Times New Roman" w:cs="Times New Roman"/>
          <w:b/>
          <w:bCs/>
        </w:rPr>
        <w:t xml:space="preserve"> and area/animal-based EAFRD</w:t>
      </w:r>
      <w:r w:rsidR="0BA9FDCB" w:rsidRPr="3320CD2F">
        <w:rPr>
          <w:rFonts w:ascii="Times New Roman" w:eastAsia="Times New Roman" w:hAnsi="Times New Roman" w:cs="Times New Roman"/>
          <w:b/>
          <w:bCs/>
        </w:rPr>
        <w:t xml:space="preserve"> interventions</w:t>
      </w:r>
      <w:r w:rsidRPr="3320CD2F">
        <w:rPr>
          <w:rFonts w:ascii="Times New Roman" w:eastAsia="Times New Roman" w:hAnsi="Times New Roman" w:cs="Times New Roman"/>
        </w:rPr>
        <w:t xml:space="preserve">, payments generally cover the </w:t>
      </w:r>
      <w:r w:rsidRPr="3320CD2F">
        <w:rPr>
          <w:rFonts w:ascii="Times New Roman" w:eastAsia="Times New Roman" w:hAnsi="Times New Roman" w:cs="Times New Roman"/>
          <w:b/>
          <w:bCs/>
        </w:rPr>
        <w:t>full output</w:t>
      </w:r>
      <w:r w:rsidR="007D1C04">
        <w:rPr>
          <w:rFonts w:ascii="Times New Roman" w:eastAsia="Times New Roman" w:hAnsi="Times New Roman" w:cs="Times New Roman"/>
          <w:b/>
          <w:bCs/>
        </w:rPr>
        <w:t xml:space="preserve"> </w:t>
      </w:r>
      <w:r w:rsidR="11B95D1C" w:rsidRPr="3320CD2F">
        <w:rPr>
          <w:rFonts w:ascii="Times New Roman" w:eastAsia="Times New Roman" w:hAnsi="Times New Roman" w:cs="Times New Roman"/>
        </w:rPr>
        <w:t xml:space="preserve">of </w:t>
      </w:r>
      <w:r w:rsidR="1FB45CB2" w:rsidRPr="3320CD2F">
        <w:rPr>
          <w:rFonts w:ascii="Times New Roman" w:eastAsia="Times New Roman" w:hAnsi="Times New Roman" w:cs="Times New Roman"/>
        </w:rPr>
        <w:t xml:space="preserve">the </w:t>
      </w:r>
      <w:r w:rsidR="11B95D1C" w:rsidRPr="3320CD2F">
        <w:rPr>
          <w:rFonts w:ascii="Times New Roman" w:eastAsia="Times New Roman" w:hAnsi="Times New Roman" w:cs="Times New Roman"/>
        </w:rPr>
        <w:t>intervention</w:t>
      </w:r>
      <w:r w:rsidRPr="3320CD2F">
        <w:rPr>
          <w:rFonts w:ascii="Times New Roman" w:eastAsia="Times New Roman" w:hAnsi="Times New Roman" w:cs="Times New Roman"/>
        </w:rPr>
        <w:t xml:space="preserve"> (e.g. </w:t>
      </w:r>
      <w:r w:rsidR="26DD66F4" w:rsidRPr="3320CD2F">
        <w:rPr>
          <w:rFonts w:ascii="Times New Roman" w:eastAsia="Times New Roman" w:hAnsi="Times New Roman" w:cs="Times New Roman"/>
        </w:rPr>
        <w:t xml:space="preserve">the entire </w:t>
      </w:r>
      <w:r w:rsidRPr="3320CD2F">
        <w:rPr>
          <w:rFonts w:ascii="Times New Roman" w:eastAsia="Times New Roman" w:hAnsi="Times New Roman" w:cs="Times New Roman"/>
        </w:rPr>
        <w:t xml:space="preserve">area, </w:t>
      </w:r>
      <w:r w:rsidR="26DD66F4" w:rsidRPr="3320CD2F">
        <w:rPr>
          <w:rFonts w:ascii="Times New Roman" w:eastAsia="Times New Roman" w:hAnsi="Times New Roman" w:cs="Times New Roman"/>
        </w:rPr>
        <w:t xml:space="preserve">all the </w:t>
      </w:r>
      <w:r w:rsidRPr="3320CD2F">
        <w:rPr>
          <w:rFonts w:ascii="Times New Roman" w:eastAsia="Times New Roman" w:hAnsi="Times New Roman" w:cs="Times New Roman"/>
        </w:rPr>
        <w:t>LU</w:t>
      </w:r>
      <w:r w:rsidR="1FB45CB2" w:rsidRPr="3320CD2F">
        <w:rPr>
          <w:rFonts w:ascii="Times New Roman" w:eastAsia="Times New Roman" w:hAnsi="Times New Roman" w:cs="Times New Roman"/>
        </w:rPr>
        <w:t>s</w:t>
      </w:r>
      <w:r w:rsidRPr="3320CD2F">
        <w:rPr>
          <w:rFonts w:ascii="Times New Roman" w:eastAsia="Times New Roman" w:hAnsi="Times New Roman" w:cs="Times New Roman"/>
        </w:rPr>
        <w:t xml:space="preserve"> etc.)</w:t>
      </w:r>
      <w:r w:rsidR="0A8DF001" w:rsidRPr="3320CD2F">
        <w:rPr>
          <w:rFonts w:ascii="Times New Roman" w:eastAsia="Times New Roman" w:hAnsi="Times New Roman" w:cs="Times New Roman"/>
        </w:rPr>
        <w:t xml:space="preserve"> </w:t>
      </w:r>
      <w:r w:rsidR="0029324D" w:rsidRPr="3320CD2F">
        <w:rPr>
          <w:rFonts w:ascii="Times New Roman" w:eastAsia="Times New Roman" w:hAnsi="Times New Roman" w:cs="Times New Roman"/>
        </w:rPr>
        <w:t xml:space="preserve">generated </w:t>
      </w:r>
      <w:r w:rsidR="0A8DF001" w:rsidRPr="3320CD2F">
        <w:rPr>
          <w:rFonts w:ascii="Times New Roman" w:eastAsia="Times New Roman" w:hAnsi="Times New Roman" w:cs="Times New Roman"/>
        </w:rPr>
        <w:t>in a single FY</w:t>
      </w:r>
      <w:r w:rsidR="09BEDDB3" w:rsidRPr="3320CD2F">
        <w:rPr>
          <w:rFonts w:ascii="Times New Roman" w:eastAsia="Times New Roman" w:hAnsi="Times New Roman" w:cs="Times New Roman"/>
        </w:rPr>
        <w:t xml:space="preserve"> (</w:t>
      </w:r>
      <w:r w:rsidR="0029324D" w:rsidRPr="3320CD2F">
        <w:rPr>
          <w:rFonts w:ascii="Times New Roman" w:eastAsia="Times New Roman" w:hAnsi="Times New Roman" w:cs="Times New Roman"/>
        </w:rPr>
        <w:t>including</w:t>
      </w:r>
      <w:r w:rsidR="09BEDDB3" w:rsidRPr="3320CD2F">
        <w:rPr>
          <w:rFonts w:ascii="Times New Roman" w:eastAsia="Times New Roman" w:hAnsi="Times New Roman" w:cs="Times New Roman"/>
        </w:rPr>
        <w:t xml:space="preserve"> advances)</w:t>
      </w:r>
      <w:r w:rsidRPr="3320CD2F">
        <w:rPr>
          <w:rFonts w:ascii="Times New Roman" w:eastAsia="Times New Roman" w:hAnsi="Times New Roman" w:cs="Times New Roman"/>
        </w:rPr>
        <w:t xml:space="preserve">. </w:t>
      </w:r>
      <w:r w:rsidR="4873B66A" w:rsidRPr="3320CD2F">
        <w:rPr>
          <w:rFonts w:ascii="Times New Roman" w:eastAsia="Times New Roman" w:hAnsi="Times New Roman" w:cs="Times New Roman"/>
        </w:rPr>
        <w:t>In very exceptional cases</w:t>
      </w:r>
      <w:r w:rsidR="26DD66F4" w:rsidRPr="3320CD2F">
        <w:rPr>
          <w:rFonts w:ascii="Times New Roman" w:eastAsia="Times New Roman" w:hAnsi="Times New Roman" w:cs="Times New Roman"/>
        </w:rPr>
        <w:t>,</w:t>
      </w:r>
      <w:r w:rsidR="49914503" w:rsidRPr="3320CD2F">
        <w:rPr>
          <w:rFonts w:ascii="Times New Roman" w:eastAsia="Times New Roman" w:hAnsi="Times New Roman" w:cs="Times New Roman"/>
        </w:rPr>
        <w:t xml:space="preserve"> </w:t>
      </w:r>
      <w:r w:rsidRPr="3320CD2F">
        <w:rPr>
          <w:rFonts w:ascii="Times New Roman" w:eastAsia="Times New Roman" w:hAnsi="Times New Roman" w:cs="Times New Roman"/>
        </w:rPr>
        <w:t xml:space="preserve">the payment for an </w:t>
      </w:r>
      <w:r w:rsidR="49914503" w:rsidRPr="3320CD2F">
        <w:rPr>
          <w:rFonts w:ascii="Times New Roman" w:eastAsia="Times New Roman" w:hAnsi="Times New Roman" w:cs="Times New Roman"/>
        </w:rPr>
        <w:t xml:space="preserve">intervention claimed in </w:t>
      </w:r>
      <w:r w:rsidR="27E62679" w:rsidRPr="3320CD2F">
        <w:rPr>
          <w:rFonts w:ascii="Times New Roman" w:eastAsia="Times New Roman" w:hAnsi="Times New Roman" w:cs="Times New Roman"/>
        </w:rPr>
        <w:t>a given calendar year</w:t>
      </w:r>
      <w:r w:rsidRPr="3320CD2F">
        <w:rPr>
          <w:rFonts w:ascii="Times New Roman" w:eastAsia="Times New Roman" w:hAnsi="Times New Roman" w:cs="Times New Roman"/>
        </w:rPr>
        <w:t xml:space="preserve"> </w:t>
      </w:r>
      <w:r w:rsidR="11B95D1C" w:rsidRPr="3320CD2F">
        <w:rPr>
          <w:rFonts w:ascii="Times New Roman" w:eastAsia="Times New Roman" w:hAnsi="Times New Roman" w:cs="Times New Roman"/>
        </w:rPr>
        <w:t xml:space="preserve">could also </w:t>
      </w:r>
      <w:r w:rsidR="5B2FC72C" w:rsidRPr="3320CD2F">
        <w:rPr>
          <w:rFonts w:ascii="Times New Roman" w:eastAsia="Times New Roman" w:hAnsi="Times New Roman" w:cs="Times New Roman"/>
        </w:rPr>
        <w:t>b</w:t>
      </w:r>
      <w:r w:rsidR="11B95D1C" w:rsidRPr="3320CD2F">
        <w:rPr>
          <w:rFonts w:ascii="Times New Roman" w:eastAsia="Times New Roman" w:hAnsi="Times New Roman" w:cs="Times New Roman"/>
        </w:rPr>
        <w:t xml:space="preserve">e </w:t>
      </w:r>
      <w:r w:rsidRPr="3320CD2F">
        <w:rPr>
          <w:rFonts w:ascii="Times New Roman" w:eastAsia="Times New Roman" w:hAnsi="Times New Roman" w:cs="Times New Roman"/>
        </w:rPr>
        <w:t>split over two</w:t>
      </w:r>
      <w:r w:rsidR="0CD894D4" w:rsidRPr="3320CD2F">
        <w:rPr>
          <w:rFonts w:ascii="Times New Roman" w:eastAsia="Times New Roman" w:hAnsi="Times New Roman" w:cs="Times New Roman"/>
        </w:rPr>
        <w:t xml:space="preserve"> FY</w:t>
      </w:r>
      <w:r w:rsidR="6A3FE0A7" w:rsidRPr="3320CD2F">
        <w:rPr>
          <w:rFonts w:ascii="Times New Roman" w:eastAsia="Times New Roman" w:hAnsi="Times New Roman" w:cs="Times New Roman"/>
        </w:rPr>
        <w:t>s</w:t>
      </w:r>
      <w:r w:rsidR="3228C454" w:rsidRPr="3320CD2F">
        <w:rPr>
          <w:rFonts w:ascii="Times New Roman" w:eastAsia="Times New Roman" w:hAnsi="Times New Roman" w:cs="Times New Roman"/>
        </w:rPr>
        <w:t xml:space="preserve"> (such as, in the case of late payments)</w:t>
      </w:r>
      <w:r w:rsidR="5B2FC72C" w:rsidRPr="3320CD2F">
        <w:rPr>
          <w:rFonts w:ascii="Times New Roman" w:eastAsia="Times New Roman" w:hAnsi="Times New Roman" w:cs="Times New Roman"/>
        </w:rPr>
        <w:t>. In this case</w:t>
      </w:r>
      <w:r w:rsidRPr="3320CD2F">
        <w:rPr>
          <w:rFonts w:ascii="Times New Roman" w:eastAsia="Times New Roman" w:hAnsi="Times New Roman" w:cs="Times New Roman"/>
        </w:rPr>
        <w:t xml:space="preserve">, </w:t>
      </w:r>
      <w:r w:rsidR="00C9BF2B" w:rsidRPr="3320CD2F">
        <w:rPr>
          <w:rFonts w:ascii="Times New Roman" w:eastAsia="Times New Roman" w:hAnsi="Times New Roman" w:cs="Times New Roman"/>
        </w:rPr>
        <w:t xml:space="preserve">in the first FY </w:t>
      </w:r>
      <w:r w:rsidRPr="3320CD2F">
        <w:rPr>
          <w:rFonts w:ascii="Times New Roman" w:eastAsia="Times New Roman" w:hAnsi="Times New Roman" w:cs="Times New Roman"/>
        </w:rPr>
        <w:t xml:space="preserve">only </w:t>
      </w:r>
      <w:r w:rsidR="27E62679" w:rsidRPr="3320CD2F">
        <w:rPr>
          <w:rFonts w:ascii="Times New Roman" w:eastAsia="Times New Roman" w:hAnsi="Times New Roman" w:cs="Times New Roman"/>
        </w:rPr>
        <w:t xml:space="preserve">the </w:t>
      </w:r>
      <w:r w:rsidR="26DD66F4" w:rsidRPr="3320CD2F">
        <w:rPr>
          <w:rFonts w:ascii="Times New Roman" w:eastAsia="Times New Roman" w:hAnsi="Times New Roman" w:cs="Times New Roman"/>
        </w:rPr>
        <w:t xml:space="preserve">proportion of the total </w:t>
      </w:r>
      <w:r w:rsidR="27E62679" w:rsidRPr="3320CD2F">
        <w:rPr>
          <w:rFonts w:ascii="Times New Roman" w:eastAsia="Times New Roman" w:hAnsi="Times New Roman" w:cs="Times New Roman"/>
        </w:rPr>
        <w:t>output</w:t>
      </w:r>
      <w:r w:rsidRPr="3320CD2F">
        <w:rPr>
          <w:rFonts w:ascii="Times New Roman" w:eastAsia="Times New Roman" w:hAnsi="Times New Roman" w:cs="Times New Roman"/>
        </w:rPr>
        <w:t xml:space="preserve"> </w:t>
      </w:r>
      <w:r w:rsidR="05683EAC" w:rsidRPr="3320CD2F">
        <w:rPr>
          <w:rFonts w:ascii="Times New Roman" w:eastAsia="Times New Roman" w:hAnsi="Times New Roman" w:cs="Times New Roman"/>
        </w:rPr>
        <w:t xml:space="preserve">(i.e. a partial output) </w:t>
      </w:r>
      <w:r w:rsidR="27E62679" w:rsidRPr="3320CD2F">
        <w:rPr>
          <w:rFonts w:ascii="Times New Roman" w:eastAsia="Times New Roman" w:hAnsi="Times New Roman" w:cs="Times New Roman"/>
        </w:rPr>
        <w:t xml:space="preserve">corresponding to the </w:t>
      </w:r>
      <w:r w:rsidR="12253C67" w:rsidRPr="3320CD2F">
        <w:rPr>
          <w:rFonts w:ascii="Times New Roman" w:eastAsia="Times New Roman" w:hAnsi="Times New Roman" w:cs="Times New Roman"/>
        </w:rPr>
        <w:t xml:space="preserve">advance </w:t>
      </w:r>
      <w:r w:rsidR="27E62679" w:rsidRPr="3320CD2F">
        <w:rPr>
          <w:rFonts w:ascii="Times New Roman" w:eastAsia="Times New Roman" w:hAnsi="Times New Roman" w:cs="Times New Roman"/>
        </w:rPr>
        <w:t>payment</w:t>
      </w:r>
      <w:r w:rsidRPr="3320CD2F">
        <w:rPr>
          <w:rFonts w:ascii="Times New Roman" w:eastAsia="Times New Roman" w:hAnsi="Times New Roman" w:cs="Times New Roman"/>
        </w:rPr>
        <w:t xml:space="preserve"> </w:t>
      </w:r>
      <w:r w:rsidR="49914503" w:rsidRPr="3320CD2F">
        <w:rPr>
          <w:rFonts w:ascii="Times New Roman" w:eastAsia="Times New Roman" w:hAnsi="Times New Roman" w:cs="Times New Roman"/>
        </w:rPr>
        <w:t xml:space="preserve">made </w:t>
      </w:r>
      <w:r w:rsidR="00C9BF2B" w:rsidRPr="3320CD2F">
        <w:rPr>
          <w:rFonts w:ascii="Times New Roman" w:eastAsia="Times New Roman" w:hAnsi="Times New Roman" w:cs="Times New Roman"/>
        </w:rPr>
        <w:t xml:space="preserve">in that FY </w:t>
      </w:r>
      <w:r w:rsidR="26DD66F4" w:rsidRPr="3320CD2F">
        <w:rPr>
          <w:rFonts w:ascii="Times New Roman" w:eastAsia="Times New Roman" w:hAnsi="Times New Roman" w:cs="Times New Roman"/>
        </w:rPr>
        <w:t xml:space="preserve">out of the total payment </w:t>
      </w:r>
      <w:r w:rsidR="6A3FE0A7" w:rsidRPr="3320CD2F">
        <w:rPr>
          <w:rFonts w:ascii="Times New Roman" w:eastAsia="Times New Roman" w:hAnsi="Times New Roman" w:cs="Times New Roman"/>
          <w:b/>
          <w:bCs/>
        </w:rPr>
        <w:t>planned</w:t>
      </w:r>
      <w:r w:rsidR="6A3FE0A7" w:rsidRPr="3320CD2F">
        <w:rPr>
          <w:rFonts w:ascii="Times New Roman" w:eastAsia="Times New Roman" w:hAnsi="Times New Roman" w:cs="Times New Roman"/>
        </w:rPr>
        <w:t xml:space="preserve"> </w:t>
      </w:r>
      <w:r w:rsidR="26DD66F4" w:rsidRPr="3320CD2F">
        <w:rPr>
          <w:rFonts w:ascii="Times New Roman" w:eastAsia="Times New Roman" w:hAnsi="Times New Roman" w:cs="Times New Roman"/>
        </w:rPr>
        <w:t xml:space="preserve">for that </w:t>
      </w:r>
      <w:r w:rsidR="49914503" w:rsidRPr="3320CD2F">
        <w:rPr>
          <w:rFonts w:ascii="Times New Roman" w:eastAsia="Times New Roman" w:hAnsi="Times New Roman" w:cs="Times New Roman"/>
        </w:rPr>
        <w:t>intervention</w:t>
      </w:r>
      <w:r w:rsidR="26DD66F4" w:rsidRPr="3320CD2F">
        <w:rPr>
          <w:rFonts w:ascii="Times New Roman" w:eastAsia="Times New Roman" w:hAnsi="Times New Roman" w:cs="Times New Roman"/>
        </w:rPr>
        <w:t xml:space="preserve"> </w:t>
      </w:r>
      <w:r w:rsidRPr="3320CD2F">
        <w:rPr>
          <w:rFonts w:ascii="Times New Roman" w:eastAsia="Times New Roman" w:hAnsi="Times New Roman" w:cs="Times New Roman"/>
        </w:rPr>
        <w:t xml:space="preserve">should be reported. For </w:t>
      </w:r>
      <w:r w:rsidR="69291324" w:rsidRPr="3320CD2F">
        <w:rPr>
          <w:rFonts w:ascii="Times New Roman" w:eastAsia="Times New Roman" w:hAnsi="Times New Roman" w:cs="Times New Roman"/>
        </w:rPr>
        <w:t>instance,</w:t>
      </w:r>
      <w:r w:rsidRPr="3320CD2F">
        <w:rPr>
          <w:rFonts w:ascii="Times New Roman" w:eastAsia="Times New Roman" w:hAnsi="Times New Roman" w:cs="Times New Roman"/>
        </w:rPr>
        <w:t xml:space="preserve"> </w:t>
      </w:r>
      <w:r w:rsidR="69291324" w:rsidRPr="3320CD2F">
        <w:rPr>
          <w:rFonts w:ascii="Times New Roman" w:eastAsia="Times New Roman" w:hAnsi="Times New Roman" w:cs="Times New Roman"/>
        </w:rPr>
        <w:t>if an intervention covers 100 hectares</w:t>
      </w:r>
      <w:r w:rsidR="004C50BA">
        <w:rPr>
          <w:rFonts w:ascii="Times New Roman" w:eastAsia="Times New Roman" w:hAnsi="Times New Roman" w:cs="Times New Roman"/>
        </w:rPr>
        <w:t>,</w:t>
      </w:r>
      <w:r w:rsidRPr="3320CD2F">
        <w:rPr>
          <w:rFonts w:ascii="Times New Roman" w:eastAsia="Times New Roman" w:hAnsi="Times New Roman" w:cs="Times New Roman"/>
        </w:rPr>
        <w:t xml:space="preserve"> </w:t>
      </w:r>
      <w:r w:rsidR="00C9BF2B" w:rsidRPr="3320CD2F">
        <w:rPr>
          <w:rFonts w:ascii="Times New Roman" w:eastAsia="Times New Roman" w:hAnsi="Times New Roman" w:cs="Times New Roman"/>
        </w:rPr>
        <w:t>and</w:t>
      </w:r>
      <w:r w:rsidR="004C50BA">
        <w:rPr>
          <w:rFonts w:ascii="Times New Roman" w:eastAsia="Times New Roman" w:hAnsi="Times New Roman" w:cs="Times New Roman"/>
        </w:rPr>
        <w:t xml:space="preserve"> only</w:t>
      </w:r>
      <w:r w:rsidRPr="3320CD2F">
        <w:rPr>
          <w:rFonts w:ascii="Times New Roman" w:eastAsia="Times New Roman" w:hAnsi="Times New Roman" w:cs="Times New Roman"/>
        </w:rPr>
        <w:t xml:space="preserve"> 90% </w:t>
      </w:r>
      <w:r w:rsidR="00C9BF2B" w:rsidRPr="3320CD2F">
        <w:rPr>
          <w:rFonts w:ascii="Times New Roman" w:eastAsia="Times New Roman" w:hAnsi="Times New Roman" w:cs="Times New Roman"/>
        </w:rPr>
        <w:t xml:space="preserve">of the total </w:t>
      </w:r>
      <w:r w:rsidRPr="3320CD2F">
        <w:rPr>
          <w:rFonts w:ascii="Times New Roman" w:eastAsia="Times New Roman" w:hAnsi="Times New Roman" w:cs="Times New Roman"/>
        </w:rPr>
        <w:t xml:space="preserve">payment </w:t>
      </w:r>
      <w:r w:rsidR="6A3FE0A7" w:rsidRPr="3320CD2F">
        <w:rPr>
          <w:rFonts w:ascii="Times New Roman" w:eastAsia="Times New Roman" w:hAnsi="Times New Roman" w:cs="Times New Roman"/>
        </w:rPr>
        <w:t xml:space="preserve">planned </w:t>
      </w:r>
      <w:r w:rsidR="00C9BF2B" w:rsidRPr="3320CD2F">
        <w:rPr>
          <w:rFonts w:ascii="Times New Roman" w:eastAsia="Times New Roman" w:hAnsi="Times New Roman" w:cs="Times New Roman"/>
        </w:rPr>
        <w:t xml:space="preserve">for that intervention </w:t>
      </w:r>
      <w:r w:rsidR="69291324" w:rsidRPr="3320CD2F">
        <w:rPr>
          <w:rFonts w:ascii="Times New Roman" w:eastAsia="Times New Roman" w:hAnsi="Times New Roman" w:cs="Times New Roman"/>
        </w:rPr>
        <w:t>is</w:t>
      </w:r>
      <w:r w:rsidRPr="3320CD2F">
        <w:rPr>
          <w:rFonts w:ascii="Times New Roman" w:eastAsia="Times New Roman" w:hAnsi="Times New Roman" w:cs="Times New Roman"/>
        </w:rPr>
        <w:t xml:space="preserve"> made in </w:t>
      </w:r>
      <w:r w:rsidR="34A7B4D7" w:rsidRPr="3320CD2F">
        <w:rPr>
          <w:rFonts w:ascii="Times New Roman" w:eastAsia="Times New Roman" w:hAnsi="Times New Roman" w:cs="Times New Roman"/>
        </w:rPr>
        <w:t>a given FY</w:t>
      </w:r>
      <w:r w:rsidRPr="3320CD2F">
        <w:rPr>
          <w:rFonts w:ascii="Times New Roman" w:eastAsia="Times New Roman" w:hAnsi="Times New Roman" w:cs="Times New Roman"/>
        </w:rPr>
        <w:t xml:space="preserve">, </w:t>
      </w:r>
      <w:r w:rsidR="69291324" w:rsidRPr="3320CD2F">
        <w:rPr>
          <w:rFonts w:ascii="Times New Roman" w:eastAsia="Times New Roman" w:hAnsi="Times New Roman" w:cs="Times New Roman"/>
        </w:rPr>
        <w:t xml:space="preserve">only 90 hectares (100 </w:t>
      </w:r>
      <w:r w:rsidR="449F3098" w:rsidRPr="3320CD2F">
        <w:rPr>
          <w:rFonts w:ascii="Times New Roman" w:eastAsia="Times New Roman" w:hAnsi="Times New Roman" w:cs="Times New Roman"/>
        </w:rPr>
        <w:t>hectares</w:t>
      </w:r>
      <w:r w:rsidR="69291324" w:rsidRPr="3320CD2F">
        <w:rPr>
          <w:rFonts w:ascii="Times New Roman" w:eastAsia="Times New Roman" w:hAnsi="Times New Roman" w:cs="Times New Roman"/>
        </w:rPr>
        <w:t xml:space="preserve"> * 0.9) should be reported in that </w:t>
      </w:r>
      <w:r w:rsidR="34A7B4D7" w:rsidRPr="3320CD2F">
        <w:rPr>
          <w:rFonts w:ascii="Times New Roman" w:eastAsia="Times New Roman" w:hAnsi="Times New Roman" w:cs="Times New Roman"/>
        </w:rPr>
        <w:t>FY</w:t>
      </w:r>
      <w:r w:rsidR="69291324" w:rsidRPr="3320CD2F">
        <w:rPr>
          <w:rFonts w:ascii="Times New Roman" w:eastAsia="Times New Roman" w:hAnsi="Times New Roman" w:cs="Times New Roman"/>
        </w:rPr>
        <w:t>.</w:t>
      </w:r>
    </w:p>
    <w:p w14:paraId="276F55C9" w14:textId="77777777" w:rsidR="004C50BA" w:rsidRPr="00DE51B3" w:rsidRDefault="004C50BA" w:rsidP="004C50BA">
      <w:pPr>
        <w:pStyle w:val="ListParagraph"/>
        <w:spacing w:before="120" w:after="240" w:line="264" w:lineRule="auto"/>
        <w:ind w:left="714"/>
        <w:jc w:val="both"/>
        <w:rPr>
          <w:rFonts w:ascii="Times New Roman" w:eastAsia="Times New Roman" w:hAnsi="Times New Roman" w:cs="Times New Roman"/>
        </w:rPr>
      </w:pPr>
    </w:p>
    <w:p w14:paraId="3F816839" w14:textId="2F764EA8" w:rsidR="00C36E79" w:rsidRDefault="3A429379" w:rsidP="00145698">
      <w:pPr>
        <w:pStyle w:val="ListParagraph"/>
        <w:numPr>
          <w:ilvl w:val="0"/>
          <w:numId w:val="14"/>
        </w:numPr>
        <w:jc w:val="both"/>
        <w:rPr>
          <w:rFonts w:ascii="Times New Roman" w:eastAsia="Times New Roman" w:hAnsi="Times New Roman" w:cs="Times New Roman"/>
          <w:lang w:val="en-IE"/>
        </w:rPr>
      </w:pPr>
      <w:r w:rsidRPr="3320CD2F">
        <w:rPr>
          <w:rFonts w:ascii="Times New Roman" w:eastAsia="Times New Roman" w:hAnsi="Times New Roman" w:cs="Times New Roman"/>
        </w:rPr>
        <w:t xml:space="preserve">For </w:t>
      </w:r>
      <w:r w:rsidRPr="3320CD2F">
        <w:rPr>
          <w:rFonts w:ascii="Times New Roman" w:eastAsia="Times New Roman" w:hAnsi="Times New Roman" w:cs="Times New Roman"/>
          <w:b/>
          <w:bCs/>
        </w:rPr>
        <w:t>non-IACS Rural Development</w:t>
      </w:r>
      <w:r w:rsidR="004C50BA">
        <w:rPr>
          <w:rFonts w:ascii="Times New Roman" w:eastAsia="Times New Roman" w:hAnsi="Times New Roman" w:cs="Times New Roman"/>
        </w:rPr>
        <w:t xml:space="preserve"> interventions,</w:t>
      </w:r>
      <w:r w:rsidRPr="3320CD2F">
        <w:rPr>
          <w:rFonts w:ascii="Times New Roman" w:eastAsia="Times New Roman" w:hAnsi="Times New Roman" w:cs="Times New Roman"/>
        </w:rPr>
        <w:t xml:space="preserve"> </w:t>
      </w:r>
      <w:r w:rsidR="5D57514B" w:rsidRPr="3320CD2F">
        <w:rPr>
          <w:rFonts w:ascii="Times New Roman" w:eastAsia="Times New Roman" w:hAnsi="Times New Roman" w:cs="Times New Roman"/>
        </w:rPr>
        <w:t xml:space="preserve">the payment </w:t>
      </w:r>
      <w:r w:rsidRPr="3320CD2F">
        <w:rPr>
          <w:rFonts w:ascii="Times New Roman" w:eastAsia="Times New Roman" w:hAnsi="Times New Roman" w:cs="Times New Roman"/>
        </w:rPr>
        <w:t>may</w:t>
      </w:r>
      <w:r w:rsidRPr="3320CD2F">
        <w:rPr>
          <w:rFonts w:ascii="Times New Roman" w:eastAsia="Times New Roman" w:hAnsi="Times New Roman" w:cs="Times New Roman"/>
          <w:lang w:val="en-IE"/>
        </w:rPr>
        <w:t xml:space="preserve"> be </w:t>
      </w:r>
      <w:r w:rsidR="5D57514B" w:rsidRPr="3320CD2F">
        <w:rPr>
          <w:rFonts w:ascii="Times New Roman" w:eastAsia="Times New Roman" w:hAnsi="Times New Roman" w:cs="Times New Roman"/>
          <w:lang w:val="en-IE"/>
        </w:rPr>
        <w:t xml:space="preserve">made </w:t>
      </w:r>
      <w:r w:rsidRPr="3320CD2F">
        <w:rPr>
          <w:rFonts w:ascii="Times New Roman" w:eastAsia="Times New Roman" w:hAnsi="Times New Roman" w:cs="Times New Roman"/>
          <w:lang w:val="en-IE"/>
        </w:rPr>
        <w:t xml:space="preserve">in several </w:t>
      </w:r>
      <w:r w:rsidRPr="3320CD2F">
        <w:rPr>
          <w:rFonts w:ascii="Times New Roman" w:eastAsia="Times New Roman" w:hAnsi="Times New Roman" w:cs="Times New Roman"/>
          <w:b/>
          <w:bCs/>
          <w:lang w:val="en-IE"/>
        </w:rPr>
        <w:t>instalments</w:t>
      </w:r>
      <w:r w:rsidRPr="3320CD2F">
        <w:rPr>
          <w:rFonts w:ascii="Times New Roman" w:eastAsia="Times New Roman" w:hAnsi="Times New Roman" w:cs="Times New Roman"/>
          <w:lang w:val="en-IE"/>
        </w:rPr>
        <w:t xml:space="preserve"> (</w:t>
      </w:r>
      <w:r w:rsidR="7832BFB5" w:rsidRPr="3320CD2F">
        <w:rPr>
          <w:rFonts w:ascii="Times New Roman" w:eastAsia="Times New Roman" w:hAnsi="Times New Roman" w:cs="Times New Roman"/>
          <w:lang w:val="en-IE"/>
        </w:rPr>
        <w:t xml:space="preserve">excluding </w:t>
      </w:r>
      <w:r w:rsidR="58EAA3EB" w:rsidRPr="3320CD2F">
        <w:rPr>
          <w:rFonts w:ascii="Times New Roman" w:eastAsia="Times New Roman" w:hAnsi="Times New Roman" w:cs="Times New Roman"/>
          <w:lang w:val="en-IE"/>
        </w:rPr>
        <w:t xml:space="preserve">possible </w:t>
      </w:r>
      <w:r w:rsidRPr="3320CD2F">
        <w:rPr>
          <w:rFonts w:ascii="Times New Roman" w:eastAsia="Times New Roman" w:hAnsi="Times New Roman" w:cs="Times New Roman"/>
          <w:lang w:val="en-IE"/>
        </w:rPr>
        <w:t xml:space="preserve">advances </w:t>
      </w:r>
      <w:r w:rsidR="2613F490" w:rsidRPr="3320CD2F">
        <w:rPr>
          <w:rFonts w:ascii="Times New Roman" w:eastAsia="Times New Roman" w:hAnsi="Times New Roman" w:cs="Times New Roman"/>
          <w:lang w:val="en-IE"/>
        </w:rPr>
        <w:t>for</w:t>
      </w:r>
      <w:r w:rsidR="7832BFB5" w:rsidRPr="3320CD2F">
        <w:rPr>
          <w:rFonts w:ascii="Times New Roman" w:eastAsia="Times New Roman" w:hAnsi="Times New Roman" w:cs="Times New Roman"/>
          <w:lang w:val="en-IE"/>
        </w:rPr>
        <w:t xml:space="preserve"> </w:t>
      </w:r>
      <w:r w:rsidR="58EAA3EB" w:rsidRPr="3320CD2F">
        <w:rPr>
          <w:rFonts w:ascii="Times New Roman" w:eastAsia="Times New Roman" w:hAnsi="Times New Roman" w:cs="Times New Roman"/>
          <w:lang w:val="en-IE"/>
        </w:rPr>
        <w:t>investment</w:t>
      </w:r>
      <w:r w:rsidR="7832BFB5" w:rsidRPr="3320CD2F">
        <w:rPr>
          <w:rFonts w:ascii="Times New Roman" w:eastAsia="Times New Roman" w:hAnsi="Times New Roman" w:cs="Times New Roman"/>
          <w:lang w:val="en-IE"/>
        </w:rPr>
        <w:t xml:space="preserve"> and cooperation</w:t>
      </w:r>
      <w:r w:rsidR="58EAA3EB" w:rsidRPr="3320CD2F">
        <w:rPr>
          <w:rFonts w:ascii="Times New Roman" w:eastAsia="Times New Roman" w:hAnsi="Times New Roman" w:cs="Times New Roman"/>
          <w:lang w:val="en-IE"/>
        </w:rPr>
        <w:t xml:space="preserve"> interventions</w:t>
      </w:r>
      <w:r w:rsidRPr="3320CD2F">
        <w:rPr>
          <w:rFonts w:ascii="Times New Roman" w:eastAsia="Times New Roman" w:hAnsi="Times New Roman" w:cs="Times New Roman"/>
          <w:lang w:val="en-IE"/>
        </w:rPr>
        <w:t xml:space="preserve">) </w:t>
      </w:r>
      <w:r w:rsidR="2613F490" w:rsidRPr="3320CD2F">
        <w:rPr>
          <w:rFonts w:ascii="Times New Roman" w:eastAsia="Times New Roman" w:hAnsi="Times New Roman" w:cs="Times New Roman"/>
          <w:lang w:val="en-IE"/>
        </w:rPr>
        <w:t>over more FYs</w:t>
      </w:r>
      <w:r w:rsidRPr="3320CD2F">
        <w:rPr>
          <w:rFonts w:ascii="Times New Roman" w:eastAsia="Times New Roman" w:hAnsi="Times New Roman" w:cs="Times New Roman"/>
          <w:lang w:val="en-IE"/>
        </w:rPr>
        <w:t xml:space="preserve">. Instalments are considered as proxies for the progress in the deliverable of the output. In this case, the </w:t>
      </w:r>
      <w:r w:rsidR="171158DF" w:rsidRPr="3320CD2F">
        <w:rPr>
          <w:rFonts w:ascii="Times New Roman" w:eastAsia="Times New Roman" w:hAnsi="Times New Roman" w:cs="Times New Roman"/>
          <w:lang w:val="en-IE"/>
        </w:rPr>
        <w:t xml:space="preserve">partial </w:t>
      </w:r>
      <w:r w:rsidRPr="3320CD2F">
        <w:rPr>
          <w:rFonts w:ascii="Times New Roman" w:eastAsia="Times New Roman" w:hAnsi="Times New Roman" w:cs="Times New Roman"/>
          <w:lang w:val="en-IE"/>
        </w:rPr>
        <w:t xml:space="preserve">output </w:t>
      </w:r>
      <w:r w:rsidR="557074F4" w:rsidRPr="3320CD2F">
        <w:rPr>
          <w:rFonts w:ascii="Times New Roman" w:eastAsia="Times New Roman" w:hAnsi="Times New Roman" w:cs="Times New Roman"/>
          <w:lang w:val="en-IE"/>
        </w:rPr>
        <w:t xml:space="preserve">to be </w:t>
      </w:r>
      <w:r w:rsidRPr="3320CD2F">
        <w:rPr>
          <w:rFonts w:ascii="Times New Roman" w:eastAsia="Times New Roman" w:hAnsi="Times New Roman" w:cs="Times New Roman"/>
          <w:lang w:val="en-IE"/>
        </w:rPr>
        <w:t xml:space="preserve">reported should </w:t>
      </w:r>
      <w:r w:rsidR="557074F4" w:rsidRPr="3320CD2F">
        <w:rPr>
          <w:rFonts w:ascii="Times New Roman" w:eastAsia="Times New Roman" w:hAnsi="Times New Roman" w:cs="Times New Roman"/>
          <w:lang w:val="en-IE"/>
        </w:rPr>
        <w:t xml:space="preserve">be proportionate to the payment </w:t>
      </w:r>
      <w:r w:rsidR="415428F3" w:rsidRPr="3320CD2F">
        <w:rPr>
          <w:rFonts w:ascii="Times New Roman" w:eastAsia="Times New Roman" w:hAnsi="Times New Roman" w:cs="Times New Roman"/>
          <w:lang w:val="en-IE"/>
        </w:rPr>
        <w:t xml:space="preserve">made in a FY </w:t>
      </w:r>
      <w:r w:rsidR="557074F4" w:rsidRPr="3320CD2F">
        <w:rPr>
          <w:rFonts w:ascii="Times New Roman" w:eastAsia="Times New Roman" w:hAnsi="Times New Roman" w:cs="Times New Roman"/>
          <w:lang w:val="en-IE"/>
        </w:rPr>
        <w:t xml:space="preserve">out of the total payment </w:t>
      </w:r>
      <w:r w:rsidR="09D7E45F" w:rsidRPr="3320CD2F">
        <w:rPr>
          <w:rFonts w:ascii="Times New Roman" w:eastAsia="Times New Roman" w:hAnsi="Times New Roman" w:cs="Times New Roman"/>
          <w:lang w:val="en-IE"/>
        </w:rPr>
        <w:t xml:space="preserve">planned </w:t>
      </w:r>
      <w:r w:rsidR="46BB02BC" w:rsidRPr="3320CD2F">
        <w:rPr>
          <w:rFonts w:ascii="Times New Roman" w:eastAsia="Times New Roman" w:hAnsi="Times New Roman" w:cs="Times New Roman"/>
          <w:lang w:val="en-IE"/>
        </w:rPr>
        <w:t>for the</w:t>
      </w:r>
      <w:r w:rsidR="57E93182" w:rsidRPr="3320CD2F">
        <w:rPr>
          <w:rFonts w:ascii="Times New Roman" w:eastAsia="Times New Roman" w:hAnsi="Times New Roman" w:cs="Times New Roman"/>
          <w:lang w:val="en-IE"/>
        </w:rPr>
        <w:t xml:space="preserve"> intervention</w:t>
      </w:r>
      <w:r w:rsidR="357663AB" w:rsidRPr="3320CD2F">
        <w:rPr>
          <w:rFonts w:ascii="Times New Roman" w:eastAsia="Times New Roman" w:hAnsi="Times New Roman" w:cs="Times New Roman"/>
          <w:lang w:val="en-IE"/>
        </w:rPr>
        <w:t>,</w:t>
      </w:r>
      <w:r w:rsidR="57E93182" w:rsidRPr="3320CD2F">
        <w:rPr>
          <w:rFonts w:ascii="Times New Roman" w:eastAsia="Times New Roman" w:hAnsi="Times New Roman" w:cs="Times New Roman"/>
          <w:lang w:val="en-IE"/>
        </w:rPr>
        <w:t xml:space="preserve"> like</w:t>
      </w:r>
      <w:r w:rsidR="557074F4" w:rsidRPr="3320CD2F">
        <w:rPr>
          <w:rFonts w:ascii="Times New Roman" w:eastAsia="Times New Roman" w:hAnsi="Times New Roman" w:cs="Times New Roman"/>
          <w:lang w:val="en-IE"/>
        </w:rPr>
        <w:t xml:space="preserve"> </w:t>
      </w:r>
      <w:r w:rsidR="3B1603DB" w:rsidRPr="3320CD2F">
        <w:rPr>
          <w:rFonts w:ascii="Times New Roman" w:eastAsia="Times New Roman" w:hAnsi="Times New Roman" w:cs="Times New Roman"/>
          <w:lang w:val="en-IE"/>
        </w:rPr>
        <w:t>in</w:t>
      </w:r>
      <w:r w:rsidR="557074F4" w:rsidRPr="3320CD2F">
        <w:rPr>
          <w:rFonts w:ascii="Times New Roman" w:eastAsia="Times New Roman" w:hAnsi="Times New Roman" w:cs="Times New Roman"/>
          <w:lang w:val="en-IE"/>
        </w:rPr>
        <w:t xml:space="preserve"> the example given for direct payments. </w:t>
      </w:r>
    </w:p>
    <w:p w14:paraId="66C84DD6" w14:textId="77777777" w:rsidR="00C36E79" w:rsidRDefault="00C36E79" w:rsidP="00C36E79">
      <w:pPr>
        <w:pStyle w:val="ListParagraph"/>
        <w:rPr>
          <w:rFonts w:ascii="Times New Roman" w:eastAsia="Times New Roman" w:hAnsi="Times New Roman" w:cs="Times New Roman"/>
          <w:lang w:val="en-IE"/>
        </w:rPr>
      </w:pPr>
    </w:p>
    <w:p w14:paraId="5CB212E2" w14:textId="78C1DCCA" w:rsidR="00DA7F22" w:rsidRPr="00EE31D8" w:rsidRDefault="3A429379" w:rsidP="004C50BA">
      <w:pPr>
        <w:pStyle w:val="ListParagraph"/>
        <w:numPr>
          <w:ilvl w:val="0"/>
          <w:numId w:val="33"/>
        </w:numPr>
        <w:ind w:left="709" w:hanging="425"/>
        <w:jc w:val="both"/>
        <w:rPr>
          <w:rFonts w:ascii="Times New Roman" w:eastAsia="Times New Roman" w:hAnsi="Times New Roman" w:cs="Times New Roman"/>
        </w:rPr>
      </w:pPr>
      <w:r w:rsidRPr="0F5FF4BD">
        <w:rPr>
          <w:rFonts w:ascii="Times New Roman" w:eastAsia="Times New Roman" w:hAnsi="Times New Roman" w:cs="Times New Roman"/>
        </w:rPr>
        <w:t xml:space="preserve">For </w:t>
      </w:r>
      <w:r w:rsidRPr="0F5FF4BD">
        <w:rPr>
          <w:rFonts w:ascii="Times New Roman" w:eastAsia="Times New Roman" w:hAnsi="Times New Roman" w:cs="Times New Roman"/>
          <w:b/>
          <w:bCs/>
        </w:rPr>
        <w:t>sectoral interventions</w:t>
      </w:r>
      <w:r w:rsidRPr="0F5FF4BD">
        <w:rPr>
          <w:rFonts w:ascii="Times New Roman" w:eastAsia="Times New Roman" w:hAnsi="Times New Roman" w:cs="Times New Roman"/>
        </w:rPr>
        <w:t>,</w:t>
      </w:r>
      <w:r w:rsidR="2E14775B" w:rsidRPr="0F5FF4BD">
        <w:rPr>
          <w:rFonts w:ascii="Times New Roman" w:eastAsia="Times New Roman" w:hAnsi="Times New Roman" w:cs="Times New Roman"/>
        </w:rPr>
        <w:t xml:space="preserve"> </w:t>
      </w:r>
      <w:r w:rsidRPr="0F5FF4BD">
        <w:rPr>
          <w:rFonts w:ascii="Times New Roman" w:eastAsia="Times New Roman" w:hAnsi="Times New Roman" w:cs="Times New Roman"/>
        </w:rPr>
        <w:t xml:space="preserve">the output </w:t>
      </w:r>
      <w:r w:rsidR="3B1603DB" w:rsidRPr="0F5FF4BD">
        <w:rPr>
          <w:rFonts w:ascii="Times New Roman" w:eastAsia="Times New Roman" w:hAnsi="Times New Roman" w:cs="Times New Roman"/>
        </w:rPr>
        <w:t xml:space="preserve">to be </w:t>
      </w:r>
      <w:r w:rsidRPr="0F5FF4BD">
        <w:rPr>
          <w:rFonts w:ascii="Times New Roman" w:eastAsia="Times New Roman" w:hAnsi="Times New Roman" w:cs="Times New Roman"/>
        </w:rPr>
        <w:t xml:space="preserve">reported </w:t>
      </w:r>
      <w:r w:rsidR="07E5A3C9" w:rsidRPr="0F5FF4BD">
        <w:rPr>
          <w:rFonts w:ascii="Times New Roman" w:eastAsia="Times New Roman" w:hAnsi="Times New Roman" w:cs="Times New Roman"/>
        </w:rPr>
        <w:t xml:space="preserve">is </w:t>
      </w:r>
      <w:r w:rsidR="30EC8A6A" w:rsidRPr="0F5FF4BD">
        <w:rPr>
          <w:rFonts w:ascii="Times New Roman" w:eastAsia="Times New Roman" w:hAnsi="Times New Roman" w:cs="Times New Roman"/>
        </w:rPr>
        <w:t xml:space="preserve">(i) </w:t>
      </w:r>
      <w:r w:rsidR="07E5A3C9" w:rsidRPr="0F5FF4BD">
        <w:rPr>
          <w:rFonts w:ascii="Times New Roman" w:eastAsia="Times New Roman" w:hAnsi="Times New Roman" w:cs="Times New Roman"/>
        </w:rPr>
        <w:t>the</w:t>
      </w:r>
      <w:r w:rsidRPr="0F5FF4BD">
        <w:rPr>
          <w:rFonts w:ascii="Times New Roman" w:eastAsia="Times New Roman" w:hAnsi="Times New Roman" w:cs="Times New Roman"/>
        </w:rPr>
        <w:t xml:space="preserve"> number of supported operational programmes in all sectors other than </w:t>
      </w:r>
      <w:r w:rsidR="01075F4E" w:rsidRPr="0F5FF4BD">
        <w:rPr>
          <w:rFonts w:ascii="Times New Roman" w:eastAsia="Times New Roman" w:hAnsi="Times New Roman" w:cs="Times New Roman"/>
        </w:rPr>
        <w:t>the wine and a</w:t>
      </w:r>
      <w:r w:rsidRPr="0F5FF4BD">
        <w:rPr>
          <w:rFonts w:ascii="Times New Roman" w:eastAsia="Times New Roman" w:hAnsi="Times New Roman" w:cs="Times New Roman"/>
        </w:rPr>
        <w:t xml:space="preserve">piculture </w:t>
      </w:r>
      <w:r w:rsidR="01075F4E" w:rsidRPr="0F5FF4BD">
        <w:rPr>
          <w:rFonts w:ascii="Times New Roman" w:eastAsia="Times New Roman" w:hAnsi="Times New Roman" w:cs="Times New Roman"/>
        </w:rPr>
        <w:t xml:space="preserve">sectors </w:t>
      </w:r>
      <w:r w:rsidRPr="0F5FF4BD">
        <w:rPr>
          <w:rFonts w:ascii="Times New Roman" w:eastAsia="Times New Roman" w:hAnsi="Times New Roman" w:cs="Times New Roman"/>
        </w:rPr>
        <w:t>(O.35)</w:t>
      </w:r>
      <w:r w:rsidR="59C974F2" w:rsidRPr="0F5FF4BD">
        <w:rPr>
          <w:rFonts w:ascii="Times New Roman" w:eastAsia="Times New Roman" w:hAnsi="Times New Roman" w:cs="Times New Roman"/>
        </w:rPr>
        <w:t>; (ii)</w:t>
      </w:r>
      <w:r w:rsidRPr="0F5FF4BD">
        <w:rPr>
          <w:rFonts w:ascii="Times New Roman" w:eastAsia="Times New Roman" w:hAnsi="Times New Roman" w:cs="Times New Roman"/>
        </w:rPr>
        <w:t xml:space="preserve"> </w:t>
      </w:r>
      <w:r w:rsidR="3B1603DB" w:rsidRPr="0F5FF4BD">
        <w:rPr>
          <w:rFonts w:ascii="Times New Roman" w:eastAsia="Times New Roman" w:hAnsi="Times New Roman" w:cs="Times New Roman"/>
        </w:rPr>
        <w:t xml:space="preserve">the </w:t>
      </w:r>
      <w:r w:rsidRPr="0F5FF4BD">
        <w:rPr>
          <w:rFonts w:ascii="Times New Roman" w:eastAsia="Times New Roman" w:hAnsi="Times New Roman" w:cs="Times New Roman"/>
        </w:rPr>
        <w:t>number of actions</w:t>
      </w:r>
      <w:r w:rsidR="54CBA9F7" w:rsidRPr="0F5FF4BD">
        <w:rPr>
          <w:rFonts w:ascii="Times New Roman" w:eastAsia="Times New Roman" w:hAnsi="Times New Roman" w:cs="Times New Roman"/>
        </w:rPr>
        <w:t xml:space="preserve"> or units</w:t>
      </w:r>
      <w:r w:rsidRPr="0F5FF4BD">
        <w:rPr>
          <w:rFonts w:ascii="Times New Roman" w:eastAsia="Times New Roman" w:hAnsi="Times New Roman" w:cs="Times New Roman"/>
        </w:rPr>
        <w:t xml:space="preserve"> in the Wine Sector (O.36)</w:t>
      </w:r>
      <w:r w:rsidR="52ADDB5D" w:rsidRPr="0F5FF4BD">
        <w:rPr>
          <w:rFonts w:ascii="Times New Roman" w:eastAsia="Times New Roman" w:hAnsi="Times New Roman" w:cs="Times New Roman"/>
        </w:rPr>
        <w:t>;</w:t>
      </w:r>
      <w:r w:rsidRPr="0F5FF4BD">
        <w:rPr>
          <w:rFonts w:ascii="Times New Roman" w:eastAsia="Times New Roman" w:hAnsi="Times New Roman" w:cs="Times New Roman"/>
        </w:rPr>
        <w:t xml:space="preserve"> and </w:t>
      </w:r>
      <w:r w:rsidR="1EB9C129" w:rsidRPr="0F5FF4BD">
        <w:rPr>
          <w:rFonts w:ascii="Times New Roman" w:eastAsia="Times New Roman" w:hAnsi="Times New Roman" w:cs="Times New Roman"/>
        </w:rPr>
        <w:t xml:space="preserve">(iii) </w:t>
      </w:r>
      <w:r w:rsidR="3B1603DB" w:rsidRPr="0F5FF4BD">
        <w:rPr>
          <w:rFonts w:ascii="Times New Roman" w:eastAsia="Times New Roman" w:hAnsi="Times New Roman" w:cs="Times New Roman"/>
        </w:rPr>
        <w:t xml:space="preserve">the </w:t>
      </w:r>
      <w:r w:rsidRPr="0F5FF4BD">
        <w:rPr>
          <w:rFonts w:ascii="Times New Roman" w:eastAsia="Times New Roman" w:hAnsi="Times New Roman" w:cs="Times New Roman"/>
        </w:rPr>
        <w:t>number of actions</w:t>
      </w:r>
      <w:r w:rsidR="54CBA9F7" w:rsidRPr="0F5FF4BD">
        <w:rPr>
          <w:rFonts w:ascii="Times New Roman" w:eastAsia="Times New Roman" w:hAnsi="Times New Roman" w:cs="Times New Roman"/>
        </w:rPr>
        <w:t xml:space="preserve"> or units</w:t>
      </w:r>
      <w:r w:rsidRPr="0F5FF4BD">
        <w:rPr>
          <w:rFonts w:ascii="Times New Roman" w:eastAsia="Times New Roman" w:hAnsi="Times New Roman" w:cs="Times New Roman"/>
        </w:rPr>
        <w:t xml:space="preserve"> i</w:t>
      </w:r>
      <w:r w:rsidR="6468FCE6" w:rsidRPr="0F5FF4BD">
        <w:rPr>
          <w:rFonts w:ascii="Times New Roman" w:eastAsia="Times New Roman" w:hAnsi="Times New Roman" w:cs="Times New Roman"/>
        </w:rPr>
        <w:t>n the Apiculture sector (O.37).</w:t>
      </w:r>
      <w:r w:rsidR="00EE31D8" w:rsidRPr="0F5FF4BD">
        <w:rPr>
          <w:rFonts w:ascii="Times New Roman" w:eastAsia="Times New Roman" w:hAnsi="Times New Roman" w:cs="Times New Roman"/>
        </w:rPr>
        <w:t xml:space="preserve"> </w:t>
      </w:r>
      <w:r w:rsidR="3B8A5D23" w:rsidRPr="0F5FF4BD">
        <w:rPr>
          <w:rFonts w:ascii="Times New Roman" w:eastAsia="Times New Roman" w:hAnsi="Times New Roman" w:cs="Times New Roman"/>
        </w:rPr>
        <w:t>T</w:t>
      </w:r>
      <w:r w:rsidR="54CBA9F7" w:rsidRPr="0F5FF4BD">
        <w:rPr>
          <w:rFonts w:ascii="Times New Roman" w:eastAsia="Times New Roman" w:hAnsi="Times New Roman" w:cs="Times New Roman"/>
        </w:rPr>
        <w:t>he payment</w:t>
      </w:r>
      <w:r w:rsidR="0E121F69" w:rsidRPr="0F5FF4BD">
        <w:rPr>
          <w:rFonts w:ascii="Times New Roman" w:eastAsia="Times New Roman" w:hAnsi="Times New Roman" w:cs="Times New Roman"/>
        </w:rPr>
        <w:t xml:space="preserve"> </w:t>
      </w:r>
      <w:r w:rsidR="2F97E80C" w:rsidRPr="0F5FF4BD">
        <w:rPr>
          <w:rFonts w:ascii="Times New Roman" w:eastAsia="Times New Roman" w:hAnsi="Times New Roman" w:cs="Times New Roman"/>
        </w:rPr>
        <w:t xml:space="preserve">of expenditure </w:t>
      </w:r>
      <w:r w:rsidR="1D6558C6" w:rsidRPr="0F5FF4BD">
        <w:rPr>
          <w:rFonts w:ascii="Times New Roman" w:eastAsia="Times New Roman" w:hAnsi="Times New Roman" w:cs="Times New Roman"/>
        </w:rPr>
        <w:t>related</w:t>
      </w:r>
      <w:r w:rsidR="2F97E80C" w:rsidRPr="0F5FF4BD">
        <w:rPr>
          <w:rFonts w:ascii="Times New Roman" w:eastAsia="Times New Roman" w:hAnsi="Times New Roman" w:cs="Times New Roman"/>
        </w:rPr>
        <w:t xml:space="preserve"> </w:t>
      </w:r>
      <w:r w:rsidR="67A3AD56" w:rsidRPr="0F5FF4BD">
        <w:rPr>
          <w:rFonts w:ascii="Times New Roman" w:eastAsia="Times New Roman" w:hAnsi="Times New Roman" w:cs="Times New Roman"/>
        </w:rPr>
        <w:t>sectoral</w:t>
      </w:r>
      <w:r w:rsidR="0E121F69" w:rsidRPr="0F5FF4BD">
        <w:rPr>
          <w:rFonts w:ascii="Times New Roman" w:eastAsia="Times New Roman" w:hAnsi="Times New Roman" w:cs="Times New Roman"/>
        </w:rPr>
        <w:t xml:space="preserve"> interventions</w:t>
      </w:r>
      <w:r w:rsidR="243000CD" w:rsidRPr="0F5FF4BD">
        <w:rPr>
          <w:rFonts w:ascii="Times New Roman" w:eastAsia="Times New Roman" w:hAnsi="Times New Roman" w:cs="Times New Roman"/>
        </w:rPr>
        <w:t xml:space="preserve">, excluding possible advances, can </w:t>
      </w:r>
      <w:r w:rsidR="45A8BD1F" w:rsidRPr="0F5FF4BD">
        <w:rPr>
          <w:rFonts w:ascii="Times New Roman" w:eastAsia="Times New Roman" w:hAnsi="Times New Roman" w:cs="Times New Roman"/>
        </w:rPr>
        <w:t xml:space="preserve">also </w:t>
      </w:r>
      <w:r w:rsidR="243000CD" w:rsidRPr="0F5FF4BD">
        <w:rPr>
          <w:rFonts w:ascii="Times New Roman" w:eastAsia="Times New Roman" w:hAnsi="Times New Roman" w:cs="Times New Roman"/>
        </w:rPr>
        <w:t>be</w:t>
      </w:r>
      <w:r w:rsidR="2E14775B" w:rsidRPr="0F5FF4BD">
        <w:rPr>
          <w:rFonts w:ascii="Times New Roman" w:eastAsia="Times New Roman" w:hAnsi="Times New Roman" w:cs="Times New Roman"/>
        </w:rPr>
        <w:t xml:space="preserve"> split over several FY</w:t>
      </w:r>
      <w:r w:rsidR="58EAA3EB" w:rsidRPr="0F5FF4BD">
        <w:rPr>
          <w:rFonts w:ascii="Times New Roman" w:eastAsia="Times New Roman" w:hAnsi="Times New Roman" w:cs="Times New Roman"/>
        </w:rPr>
        <w:t>s</w:t>
      </w:r>
      <w:r w:rsidR="3674CD8F" w:rsidRPr="0F5FF4BD">
        <w:rPr>
          <w:rFonts w:ascii="Times New Roman" w:eastAsia="Times New Roman" w:hAnsi="Times New Roman" w:cs="Times New Roman"/>
        </w:rPr>
        <w:t xml:space="preserve"> as instalments</w:t>
      </w:r>
      <w:r w:rsidR="6BBBFA8C" w:rsidRPr="0F5FF4BD">
        <w:rPr>
          <w:rFonts w:ascii="Times New Roman" w:eastAsia="Times New Roman" w:hAnsi="Times New Roman" w:cs="Times New Roman"/>
        </w:rPr>
        <w:t>.</w:t>
      </w:r>
      <w:r w:rsidR="00EE31D8" w:rsidRPr="0F5FF4BD">
        <w:rPr>
          <w:rFonts w:ascii="Times New Roman" w:eastAsia="Times New Roman" w:hAnsi="Times New Roman" w:cs="Times New Roman"/>
        </w:rPr>
        <w:t xml:space="preserve"> </w:t>
      </w:r>
      <w:r w:rsidR="6BBBFA8C" w:rsidRPr="0F5FF4BD">
        <w:rPr>
          <w:rFonts w:ascii="Times New Roman" w:eastAsia="Times New Roman" w:hAnsi="Times New Roman" w:cs="Times New Roman"/>
        </w:rPr>
        <w:t>In all situations</w:t>
      </w:r>
      <w:r w:rsidR="00DA7F22" w:rsidRPr="0F5FF4BD">
        <w:rPr>
          <w:rFonts w:ascii="Times New Roman" w:eastAsia="Times New Roman" w:hAnsi="Times New Roman" w:cs="Times New Roman"/>
        </w:rPr>
        <w:t>,</w:t>
      </w:r>
      <w:r w:rsidR="2E14775B" w:rsidRPr="0F5FF4BD">
        <w:rPr>
          <w:rFonts w:ascii="Times New Roman" w:eastAsia="Times New Roman" w:hAnsi="Times New Roman" w:cs="Times New Roman"/>
        </w:rPr>
        <w:t xml:space="preserve"> the output to be reported </w:t>
      </w:r>
      <w:r w:rsidR="3069839F" w:rsidRPr="0F5FF4BD">
        <w:rPr>
          <w:rFonts w:ascii="Times New Roman" w:eastAsia="Times New Roman" w:hAnsi="Times New Roman" w:cs="Times New Roman"/>
        </w:rPr>
        <w:t xml:space="preserve">in a FY </w:t>
      </w:r>
      <w:r w:rsidR="2E14775B" w:rsidRPr="0F5FF4BD">
        <w:rPr>
          <w:rFonts w:ascii="Times New Roman" w:eastAsia="Times New Roman" w:hAnsi="Times New Roman" w:cs="Times New Roman"/>
        </w:rPr>
        <w:t xml:space="preserve">should be proportionate to the payment </w:t>
      </w:r>
      <w:r w:rsidR="5CB4AB32" w:rsidRPr="0F5FF4BD">
        <w:rPr>
          <w:rFonts w:ascii="Times New Roman" w:eastAsia="Times New Roman" w:hAnsi="Times New Roman" w:cs="Times New Roman"/>
        </w:rPr>
        <w:t xml:space="preserve">made </w:t>
      </w:r>
      <w:r w:rsidR="415428F3" w:rsidRPr="0F5FF4BD">
        <w:rPr>
          <w:rFonts w:ascii="Times New Roman" w:eastAsia="Times New Roman" w:hAnsi="Times New Roman" w:cs="Times New Roman"/>
        </w:rPr>
        <w:t xml:space="preserve">in </w:t>
      </w:r>
      <w:r w:rsidR="3069839F" w:rsidRPr="0F5FF4BD">
        <w:rPr>
          <w:rFonts w:ascii="Times New Roman" w:eastAsia="Times New Roman" w:hAnsi="Times New Roman" w:cs="Times New Roman"/>
        </w:rPr>
        <w:t>that</w:t>
      </w:r>
      <w:r w:rsidR="415428F3" w:rsidRPr="0F5FF4BD">
        <w:rPr>
          <w:rFonts w:ascii="Times New Roman" w:eastAsia="Times New Roman" w:hAnsi="Times New Roman" w:cs="Times New Roman"/>
        </w:rPr>
        <w:t xml:space="preserve"> FY </w:t>
      </w:r>
      <w:r w:rsidR="5CB4AB32" w:rsidRPr="0F5FF4BD">
        <w:rPr>
          <w:rFonts w:ascii="Times New Roman" w:eastAsia="Times New Roman" w:hAnsi="Times New Roman" w:cs="Times New Roman"/>
        </w:rPr>
        <w:t xml:space="preserve">out of the total planned payment, </w:t>
      </w:r>
      <w:r w:rsidR="57E93182" w:rsidRPr="0F5FF4BD">
        <w:rPr>
          <w:rFonts w:ascii="Times New Roman" w:eastAsia="Times New Roman" w:hAnsi="Times New Roman" w:cs="Times New Roman"/>
        </w:rPr>
        <w:t>like</w:t>
      </w:r>
      <w:r w:rsidR="2E14775B" w:rsidRPr="0F5FF4BD">
        <w:rPr>
          <w:rFonts w:ascii="Times New Roman" w:eastAsia="Times New Roman" w:hAnsi="Times New Roman" w:cs="Times New Roman"/>
        </w:rPr>
        <w:t xml:space="preserve"> </w:t>
      </w:r>
      <w:r w:rsidR="243000CD" w:rsidRPr="0F5FF4BD">
        <w:rPr>
          <w:rFonts w:ascii="Times New Roman" w:eastAsia="Times New Roman" w:hAnsi="Times New Roman" w:cs="Times New Roman"/>
        </w:rPr>
        <w:t>in</w:t>
      </w:r>
      <w:r w:rsidR="2E14775B" w:rsidRPr="0F5FF4BD">
        <w:rPr>
          <w:rFonts w:ascii="Times New Roman" w:eastAsia="Times New Roman" w:hAnsi="Times New Roman" w:cs="Times New Roman"/>
        </w:rPr>
        <w:t xml:space="preserve"> the example given for direct payments.</w:t>
      </w:r>
      <w:r w:rsidR="415428F3" w:rsidRPr="0F5FF4BD">
        <w:rPr>
          <w:rFonts w:ascii="Times New Roman" w:eastAsia="Times New Roman" w:hAnsi="Times New Roman" w:cs="Times New Roman"/>
        </w:rPr>
        <w:t xml:space="preserve"> </w:t>
      </w:r>
    </w:p>
    <w:p w14:paraId="368B6036" w14:textId="77777777" w:rsidR="00725DA8" w:rsidRPr="00154805" w:rsidRDefault="00725DA8" w:rsidP="00154805">
      <w:pPr>
        <w:pStyle w:val="Heading4"/>
        <w:spacing w:before="120" w:after="240" w:line="264" w:lineRule="auto"/>
        <w:jc w:val="both"/>
        <w:rPr>
          <w:rFonts w:ascii="Times New Roman" w:hAnsi="Times New Roman" w:cs="Times New Roman"/>
          <w:color w:val="C45911" w:themeColor="accent2" w:themeShade="BF"/>
        </w:rPr>
      </w:pPr>
      <w:bookmarkStart w:id="13" w:name="_Toc89902372"/>
      <w:r w:rsidRPr="00154805">
        <w:rPr>
          <w:rFonts w:ascii="Times New Roman" w:hAnsi="Times New Roman" w:cs="Times New Roman"/>
          <w:color w:val="C45911" w:themeColor="accent2" w:themeShade="BF"/>
        </w:rPr>
        <w:t>Reporting of advances in output indicators to be used for performance clearance</w:t>
      </w:r>
      <w:bookmarkEnd w:id="13"/>
    </w:p>
    <w:p w14:paraId="1BF6D7FA" w14:textId="123CC0FC" w:rsidR="00982506" w:rsidRDefault="0AA752F6" w:rsidP="00B9277A">
      <w:pPr>
        <w:pStyle w:val="ListParagraph"/>
        <w:numPr>
          <w:ilvl w:val="0"/>
          <w:numId w:val="15"/>
        </w:numPr>
        <w:spacing w:before="120" w:after="240" w:line="264" w:lineRule="auto"/>
        <w:jc w:val="both"/>
        <w:rPr>
          <w:rFonts w:ascii="Times New Roman" w:hAnsi="Times New Roman" w:cs="Times New Roman"/>
        </w:rPr>
      </w:pPr>
      <w:r w:rsidRPr="607B15D3">
        <w:rPr>
          <w:rFonts w:ascii="Times New Roman" w:hAnsi="Times New Roman" w:cs="Times New Roman"/>
        </w:rPr>
        <w:t xml:space="preserve">Advances as referred to in Article 44(3) </w:t>
      </w:r>
      <w:r w:rsidR="4C9B08A4" w:rsidRPr="607B15D3">
        <w:rPr>
          <w:rFonts w:ascii="Times New Roman" w:hAnsi="Times New Roman" w:cs="Times New Roman"/>
        </w:rPr>
        <w:t xml:space="preserve">and Article 44(3a) </w:t>
      </w:r>
      <w:r w:rsidR="31B3C6BC" w:rsidRPr="607B15D3">
        <w:rPr>
          <w:rFonts w:ascii="Times New Roman" w:hAnsi="Times New Roman" w:cs="Times New Roman"/>
        </w:rPr>
        <w:t>of</w:t>
      </w:r>
      <w:r w:rsidR="694676B0" w:rsidRPr="607B15D3">
        <w:rPr>
          <w:rFonts w:ascii="Times New Roman" w:hAnsi="Times New Roman" w:cs="Times New Roman"/>
        </w:rPr>
        <w:t xml:space="preserve"> Regulation (EU) 2021/2116</w:t>
      </w:r>
      <w:r w:rsidR="366E3458" w:rsidRPr="607B15D3">
        <w:rPr>
          <w:rFonts w:ascii="Times New Roman" w:hAnsi="Times New Roman" w:cs="Times New Roman"/>
        </w:rPr>
        <w:t xml:space="preserve"> (</w:t>
      </w:r>
      <w:r w:rsidR="366E3458" w:rsidRPr="607B15D3">
        <w:rPr>
          <w:rFonts w:ascii="Times New Roman" w:hAnsi="Times New Roman" w:cs="Times New Roman"/>
          <w:b/>
          <w:bCs/>
        </w:rPr>
        <w:t>HZR</w:t>
      </w:r>
      <w:r w:rsidR="366E3458" w:rsidRPr="607B15D3">
        <w:rPr>
          <w:rFonts w:ascii="Times New Roman" w:hAnsi="Times New Roman" w:cs="Times New Roman"/>
        </w:rPr>
        <w:t>)</w:t>
      </w:r>
      <w:r w:rsidR="07E5A3C9" w:rsidRPr="607B15D3">
        <w:rPr>
          <w:rFonts w:ascii="Times New Roman" w:hAnsi="Times New Roman" w:cs="Times New Roman"/>
        </w:rPr>
        <w:t xml:space="preserve">, </w:t>
      </w:r>
      <w:r w:rsidR="0FAFF804" w:rsidRPr="607B15D3">
        <w:rPr>
          <w:rFonts w:ascii="Times New Roman" w:hAnsi="Times New Roman" w:cs="Times New Roman"/>
        </w:rPr>
        <w:t>should</w:t>
      </w:r>
      <w:r w:rsidR="07E5A3C9" w:rsidRPr="607B15D3">
        <w:rPr>
          <w:rFonts w:ascii="Times New Roman" w:hAnsi="Times New Roman" w:cs="Times New Roman"/>
        </w:rPr>
        <w:t xml:space="preserve"> not </w:t>
      </w:r>
      <w:r w:rsidR="169DE13E" w:rsidRPr="607B15D3">
        <w:rPr>
          <w:rFonts w:ascii="Times New Roman" w:hAnsi="Times New Roman" w:cs="Times New Roman"/>
        </w:rPr>
        <w:t xml:space="preserve">count towards the output reporting in the Annual </w:t>
      </w:r>
      <w:r w:rsidR="346E4DB5" w:rsidRPr="607B15D3">
        <w:rPr>
          <w:rFonts w:ascii="Times New Roman" w:hAnsi="Times New Roman" w:cs="Times New Roman"/>
        </w:rPr>
        <w:t>Performance</w:t>
      </w:r>
      <w:r w:rsidR="169DE13E" w:rsidRPr="607B15D3">
        <w:rPr>
          <w:rFonts w:ascii="Times New Roman" w:hAnsi="Times New Roman" w:cs="Times New Roman"/>
        </w:rPr>
        <w:t xml:space="preserve"> Report</w:t>
      </w:r>
      <w:r w:rsidR="07E5A3C9" w:rsidRPr="607B15D3">
        <w:rPr>
          <w:rFonts w:ascii="Times New Roman" w:hAnsi="Times New Roman" w:cs="Times New Roman"/>
        </w:rPr>
        <w:t xml:space="preserve">, as they are considered as payments made before any goods or services have materialised </w:t>
      </w:r>
      <w:r w:rsidR="357663AB" w:rsidRPr="607B15D3">
        <w:rPr>
          <w:rFonts w:ascii="Times New Roman" w:hAnsi="Times New Roman" w:cs="Times New Roman"/>
        </w:rPr>
        <w:t xml:space="preserve">in a given FY </w:t>
      </w:r>
      <w:r w:rsidR="07E5A3C9" w:rsidRPr="607B15D3">
        <w:rPr>
          <w:rFonts w:ascii="Times New Roman" w:hAnsi="Times New Roman" w:cs="Times New Roman"/>
        </w:rPr>
        <w:t>(‘real advances’). Thus, although expenditure related to advances referred to in Article 4</w:t>
      </w:r>
      <w:r w:rsidR="11852F5A" w:rsidRPr="607B15D3">
        <w:rPr>
          <w:rFonts w:ascii="Times New Roman" w:hAnsi="Times New Roman" w:cs="Times New Roman"/>
        </w:rPr>
        <w:t>4</w:t>
      </w:r>
      <w:r w:rsidR="07E5A3C9" w:rsidRPr="607B15D3">
        <w:rPr>
          <w:rFonts w:ascii="Times New Roman" w:hAnsi="Times New Roman" w:cs="Times New Roman"/>
        </w:rPr>
        <w:t xml:space="preserve">(3) </w:t>
      </w:r>
      <w:r w:rsidR="7A1BA58D" w:rsidRPr="607B15D3">
        <w:rPr>
          <w:rFonts w:ascii="Times New Roman" w:hAnsi="Times New Roman" w:cs="Times New Roman"/>
        </w:rPr>
        <w:t xml:space="preserve">and Article 44(3a) </w:t>
      </w:r>
      <w:r w:rsidR="694676B0" w:rsidRPr="607B15D3">
        <w:rPr>
          <w:rFonts w:ascii="Times New Roman" w:hAnsi="Times New Roman" w:cs="Times New Roman"/>
        </w:rPr>
        <w:t xml:space="preserve">of </w:t>
      </w:r>
      <w:r w:rsidR="366E3458" w:rsidRPr="607B15D3">
        <w:rPr>
          <w:rFonts w:ascii="Times New Roman" w:hAnsi="Times New Roman" w:cs="Times New Roman"/>
        </w:rPr>
        <w:t>the HZR</w:t>
      </w:r>
      <w:r w:rsidR="22CD3D15" w:rsidRPr="607B15D3">
        <w:rPr>
          <w:rFonts w:ascii="Times New Roman" w:hAnsi="Times New Roman" w:cs="Times New Roman"/>
        </w:rPr>
        <w:t>, which</w:t>
      </w:r>
      <w:r w:rsidR="366E3458" w:rsidRPr="607B15D3">
        <w:rPr>
          <w:rFonts w:ascii="Times New Roman" w:hAnsi="Times New Roman" w:cs="Times New Roman"/>
        </w:rPr>
        <w:t xml:space="preserve"> </w:t>
      </w:r>
      <w:r w:rsidR="3458DDED" w:rsidRPr="607B15D3">
        <w:rPr>
          <w:rFonts w:ascii="Times New Roman" w:hAnsi="Times New Roman" w:cs="Times New Roman"/>
        </w:rPr>
        <w:t>concern</w:t>
      </w:r>
      <w:r w:rsidR="007D1C04">
        <w:rPr>
          <w:rFonts w:ascii="Times New Roman" w:hAnsi="Times New Roman" w:cs="Times New Roman"/>
        </w:rPr>
        <w:t>s</w:t>
      </w:r>
      <w:r w:rsidR="3458DDED" w:rsidRPr="607B15D3">
        <w:rPr>
          <w:rFonts w:ascii="Times New Roman" w:hAnsi="Times New Roman" w:cs="Times New Roman"/>
        </w:rPr>
        <w:t xml:space="preserve"> </w:t>
      </w:r>
      <w:r w:rsidR="07E5A3C9" w:rsidRPr="607B15D3">
        <w:rPr>
          <w:rFonts w:ascii="Times New Roman" w:hAnsi="Times New Roman" w:cs="Times New Roman"/>
        </w:rPr>
        <w:t>investments and cooperation interventions</w:t>
      </w:r>
      <w:r w:rsidR="1B9BF18D" w:rsidRPr="607B15D3">
        <w:rPr>
          <w:rFonts w:ascii="Times New Roman" w:hAnsi="Times New Roman" w:cs="Times New Roman"/>
        </w:rPr>
        <w:t xml:space="preserve"> for rural development </w:t>
      </w:r>
      <w:r w:rsidR="135CA38B" w:rsidRPr="607B15D3">
        <w:rPr>
          <w:rFonts w:ascii="Times New Roman" w:hAnsi="Times New Roman" w:cs="Times New Roman"/>
        </w:rPr>
        <w:t>as well as</w:t>
      </w:r>
      <w:r w:rsidR="1B9BF18D" w:rsidRPr="607B15D3">
        <w:rPr>
          <w:rFonts w:ascii="Times New Roman" w:hAnsi="Times New Roman" w:cs="Times New Roman"/>
        </w:rPr>
        <w:t xml:space="preserve"> sectoral interventions respectively</w:t>
      </w:r>
      <w:r w:rsidR="07E5A3C9" w:rsidRPr="607B15D3">
        <w:rPr>
          <w:rFonts w:ascii="Times New Roman" w:hAnsi="Times New Roman" w:cs="Times New Roman"/>
        </w:rPr>
        <w:t xml:space="preserve">, </w:t>
      </w:r>
      <w:r w:rsidR="0FAFF804" w:rsidRPr="607B15D3">
        <w:rPr>
          <w:rFonts w:ascii="Times New Roman" w:hAnsi="Times New Roman" w:cs="Times New Roman"/>
        </w:rPr>
        <w:t>should</w:t>
      </w:r>
      <w:r w:rsidR="07E5A3C9" w:rsidRPr="607B15D3">
        <w:rPr>
          <w:rFonts w:ascii="Times New Roman" w:hAnsi="Times New Roman" w:cs="Times New Roman"/>
        </w:rPr>
        <w:t xml:space="preserve"> be reported in the annual accounts, the </w:t>
      </w:r>
      <w:r w:rsidR="07E5A3C9" w:rsidRPr="607B15D3">
        <w:rPr>
          <w:rFonts w:ascii="Times New Roman" w:hAnsi="Times New Roman" w:cs="Times New Roman"/>
          <w:b/>
          <w:bCs/>
        </w:rPr>
        <w:t>outputs</w:t>
      </w:r>
      <w:r w:rsidR="07E5A3C9" w:rsidRPr="607B15D3">
        <w:rPr>
          <w:rFonts w:ascii="Times New Roman" w:hAnsi="Times New Roman" w:cs="Times New Roman"/>
        </w:rPr>
        <w:t xml:space="preserve"> related to this cleared expenditure should be reported later </w:t>
      </w:r>
      <w:r w:rsidR="07E5A3C9" w:rsidRPr="607B15D3">
        <w:rPr>
          <w:rFonts w:ascii="Times New Roman" w:hAnsi="Times New Roman" w:cs="Times New Roman"/>
          <w:b/>
          <w:bCs/>
        </w:rPr>
        <w:t>with the final payment</w:t>
      </w:r>
      <w:r w:rsidR="07E5A3C9" w:rsidRPr="607B15D3">
        <w:rPr>
          <w:rFonts w:ascii="Times New Roman" w:hAnsi="Times New Roman" w:cs="Times New Roman"/>
        </w:rPr>
        <w:t>.</w:t>
      </w:r>
    </w:p>
    <w:p w14:paraId="3FC44602" w14:textId="77777777" w:rsidR="004C50BA" w:rsidRPr="00970191" w:rsidRDefault="004C50BA" w:rsidP="004C50BA">
      <w:pPr>
        <w:pStyle w:val="ListParagraph"/>
        <w:spacing w:before="120" w:after="240" w:line="264" w:lineRule="auto"/>
        <w:jc w:val="both"/>
        <w:rPr>
          <w:rFonts w:ascii="Times New Roman" w:hAnsi="Times New Roman" w:cs="Times New Roman"/>
        </w:rPr>
      </w:pPr>
    </w:p>
    <w:p w14:paraId="67C85BEC" w14:textId="01DA5CD4" w:rsidR="00982506" w:rsidRPr="004B746F" w:rsidRDefault="00982506" w:rsidP="005C5386">
      <w:pPr>
        <w:pStyle w:val="ListParagraph"/>
        <w:numPr>
          <w:ilvl w:val="0"/>
          <w:numId w:val="15"/>
        </w:numPr>
        <w:spacing w:before="120" w:after="240" w:line="264" w:lineRule="auto"/>
        <w:jc w:val="both"/>
        <w:rPr>
          <w:rFonts w:ascii="Times New Roman" w:hAnsi="Times New Roman" w:cs="Times New Roman"/>
        </w:rPr>
      </w:pPr>
      <w:r w:rsidRPr="05F06A5A">
        <w:rPr>
          <w:rFonts w:ascii="Times New Roman" w:hAnsi="Times New Roman" w:cs="Times New Roman"/>
        </w:rPr>
        <w:t xml:space="preserve">Advances referred to in Article </w:t>
      </w:r>
      <w:r w:rsidR="004B746F" w:rsidRPr="05F06A5A">
        <w:rPr>
          <w:rFonts w:ascii="Times New Roman" w:hAnsi="Times New Roman" w:cs="Times New Roman"/>
        </w:rPr>
        <w:t xml:space="preserve">32(4) point (a), and (5) </w:t>
      </w:r>
      <w:r w:rsidR="00A82615" w:rsidRPr="05F06A5A">
        <w:rPr>
          <w:rFonts w:ascii="Times New Roman" w:hAnsi="Times New Roman" w:cs="Times New Roman"/>
        </w:rPr>
        <w:t xml:space="preserve">of </w:t>
      </w:r>
      <w:r w:rsidR="00030689" w:rsidRPr="05F06A5A">
        <w:rPr>
          <w:rFonts w:ascii="Times New Roman" w:hAnsi="Times New Roman" w:cs="Times New Roman"/>
        </w:rPr>
        <w:t xml:space="preserve">the HZR </w:t>
      </w:r>
      <w:r w:rsidRPr="05F06A5A">
        <w:rPr>
          <w:rFonts w:ascii="Times New Roman" w:hAnsi="Times New Roman" w:cs="Times New Roman"/>
        </w:rPr>
        <w:t xml:space="preserve">relating to </w:t>
      </w:r>
      <w:r w:rsidR="00ED777D" w:rsidRPr="05F06A5A">
        <w:rPr>
          <w:rFonts w:ascii="Times New Roman" w:hAnsi="Times New Roman" w:cs="Times New Roman"/>
        </w:rPr>
        <w:t>financial in</w:t>
      </w:r>
      <w:r w:rsidRPr="05F06A5A">
        <w:rPr>
          <w:rFonts w:ascii="Times New Roman" w:hAnsi="Times New Roman" w:cs="Times New Roman"/>
        </w:rPr>
        <w:t xml:space="preserve">struments will also be treated as ‘real advances’ as described above. </w:t>
      </w:r>
      <w:r w:rsidR="00C36E79" w:rsidRPr="05F06A5A">
        <w:rPr>
          <w:rFonts w:ascii="Times New Roman" w:hAnsi="Times New Roman" w:cs="Times New Roman"/>
        </w:rPr>
        <w:t xml:space="preserve">In this case, </w:t>
      </w:r>
      <w:r w:rsidRPr="05F06A5A">
        <w:rPr>
          <w:rFonts w:ascii="Times New Roman" w:hAnsi="Times New Roman" w:cs="Times New Roman"/>
        </w:rPr>
        <w:t xml:space="preserve">advances </w:t>
      </w:r>
      <w:r w:rsidR="007753EC" w:rsidRPr="05F06A5A">
        <w:rPr>
          <w:rFonts w:ascii="Times New Roman" w:hAnsi="Times New Roman" w:cs="Times New Roman"/>
        </w:rPr>
        <w:lastRenderedPageBreak/>
        <w:t>should</w:t>
      </w:r>
      <w:r w:rsidRPr="05F06A5A">
        <w:rPr>
          <w:rFonts w:ascii="Times New Roman" w:hAnsi="Times New Roman" w:cs="Times New Roman"/>
        </w:rPr>
        <w:t xml:space="preserve"> be reported together with the corresponding output indicators </w:t>
      </w:r>
      <w:r w:rsidRPr="0029324D">
        <w:rPr>
          <w:rFonts w:ascii="Times New Roman" w:hAnsi="Times New Roman" w:cs="Times New Roman"/>
          <w:b/>
          <w:bCs/>
        </w:rPr>
        <w:t xml:space="preserve">no later than in the </w:t>
      </w:r>
      <w:r w:rsidR="001B67DD" w:rsidRPr="05F06A5A">
        <w:rPr>
          <w:rFonts w:ascii="Times New Roman" w:hAnsi="Times New Roman" w:cs="Times New Roman"/>
          <w:b/>
          <w:bCs/>
        </w:rPr>
        <w:t>2027</w:t>
      </w:r>
      <w:r w:rsidR="001B67DD" w:rsidRPr="007D1C04">
        <w:rPr>
          <w:rFonts w:ascii="Times New Roman" w:hAnsi="Times New Roman" w:cs="Times New Roman"/>
          <w:b/>
          <w:bCs/>
        </w:rPr>
        <w:t xml:space="preserve"> </w:t>
      </w:r>
      <w:r w:rsidR="004313BC" w:rsidRPr="007D1C04">
        <w:rPr>
          <w:rFonts w:ascii="Times New Roman" w:hAnsi="Times New Roman" w:cs="Times New Roman"/>
          <w:b/>
          <w:bCs/>
        </w:rPr>
        <w:t>APR</w:t>
      </w:r>
      <w:r w:rsidRPr="05F06A5A">
        <w:rPr>
          <w:rFonts w:ascii="Times New Roman" w:hAnsi="Times New Roman" w:cs="Times New Roman"/>
        </w:rPr>
        <w:t>.</w:t>
      </w:r>
    </w:p>
    <w:p w14:paraId="52F7AF3B" w14:textId="21B5740E" w:rsidR="001B67DD" w:rsidRPr="006F2CA5" w:rsidRDefault="00597892" w:rsidP="00A82615">
      <w:pPr>
        <w:spacing w:before="120" w:after="240" w:line="264" w:lineRule="auto"/>
        <w:jc w:val="both"/>
        <w:rPr>
          <w:rFonts w:ascii="Times New Roman" w:hAnsi="Times New Roman" w:cs="Times New Roman"/>
        </w:rPr>
      </w:pPr>
      <w:r w:rsidRPr="607B15D3">
        <w:rPr>
          <w:rFonts w:ascii="Times New Roman" w:hAnsi="Times New Roman" w:cs="Times New Roman"/>
        </w:rPr>
        <w:t>F</w:t>
      </w:r>
      <w:r w:rsidR="00982506" w:rsidRPr="607B15D3">
        <w:rPr>
          <w:rFonts w:ascii="Times New Roman" w:hAnsi="Times New Roman" w:cs="Times New Roman"/>
        </w:rPr>
        <w:t>or direct payments and IACS Rural Development interventions</w:t>
      </w:r>
      <w:r w:rsidR="002F5555" w:rsidRPr="607B15D3">
        <w:rPr>
          <w:rFonts w:ascii="Times New Roman" w:hAnsi="Times New Roman" w:cs="Times New Roman"/>
        </w:rPr>
        <w:t>,</w:t>
      </w:r>
      <w:r w:rsidR="004B746F" w:rsidRPr="607B15D3">
        <w:rPr>
          <w:rFonts w:ascii="Times New Roman" w:hAnsi="Times New Roman" w:cs="Times New Roman"/>
        </w:rPr>
        <w:t xml:space="preserve"> </w:t>
      </w:r>
      <w:r w:rsidR="00982506" w:rsidRPr="607B15D3">
        <w:rPr>
          <w:rFonts w:ascii="Times New Roman" w:hAnsi="Times New Roman" w:cs="Times New Roman"/>
        </w:rPr>
        <w:t xml:space="preserve">advance payments are actually </w:t>
      </w:r>
      <w:r w:rsidR="004B746F" w:rsidRPr="607B15D3">
        <w:rPr>
          <w:rFonts w:ascii="Times New Roman" w:hAnsi="Times New Roman" w:cs="Times New Roman"/>
        </w:rPr>
        <w:t xml:space="preserve">first instalments </w:t>
      </w:r>
      <w:r w:rsidR="00982506" w:rsidRPr="607B15D3">
        <w:rPr>
          <w:rFonts w:ascii="Times New Roman" w:hAnsi="Times New Roman" w:cs="Times New Roman"/>
        </w:rPr>
        <w:t>and not ‘real advances’, as the corresponding</w:t>
      </w:r>
      <w:r w:rsidR="007D1C04">
        <w:rPr>
          <w:rFonts w:ascii="Times New Roman" w:hAnsi="Times New Roman" w:cs="Times New Roman"/>
        </w:rPr>
        <w:t xml:space="preserve"> </w:t>
      </w:r>
      <w:r w:rsidR="00982506" w:rsidRPr="607B15D3">
        <w:rPr>
          <w:rFonts w:ascii="Times New Roman" w:hAnsi="Times New Roman" w:cs="Times New Roman"/>
        </w:rPr>
        <w:t>output has already been delivered by the time of the first payment</w:t>
      </w:r>
      <w:r w:rsidR="0E6ECB15" w:rsidRPr="607B15D3">
        <w:rPr>
          <w:rFonts w:ascii="Times New Roman" w:hAnsi="Times New Roman" w:cs="Times New Roman"/>
        </w:rPr>
        <w:t xml:space="preserve"> in a given FY</w:t>
      </w:r>
      <w:r w:rsidR="00982506" w:rsidRPr="607B15D3">
        <w:rPr>
          <w:rFonts w:ascii="Times New Roman" w:hAnsi="Times New Roman" w:cs="Times New Roman"/>
        </w:rPr>
        <w:t xml:space="preserve">. Therefore, the corresponding output should be reported in the </w:t>
      </w:r>
      <w:r w:rsidR="004313BC" w:rsidRPr="607B15D3">
        <w:rPr>
          <w:rFonts w:ascii="Times New Roman" w:hAnsi="Times New Roman" w:cs="Times New Roman"/>
        </w:rPr>
        <w:t>APR</w:t>
      </w:r>
      <w:r w:rsidR="005A6B1A" w:rsidRPr="607B15D3">
        <w:rPr>
          <w:rFonts w:ascii="Times New Roman" w:hAnsi="Times New Roman" w:cs="Times New Roman"/>
        </w:rPr>
        <w:t xml:space="preserve"> (see also Section 2.3.2.1)</w:t>
      </w:r>
      <w:r w:rsidR="00982506" w:rsidRPr="607B15D3">
        <w:rPr>
          <w:rFonts w:ascii="Times New Roman" w:hAnsi="Times New Roman" w:cs="Times New Roman"/>
        </w:rPr>
        <w:t>.</w:t>
      </w:r>
      <w:r w:rsidR="003861A2" w:rsidRPr="607B15D3">
        <w:rPr>
          <w:rFonts w:ascii="Times New Roman" w:hAnsi="Times New Roman" w:cs="Times New Roman"/>
        </w:rPr>
        <w:t xml:space="preserve"> </w:t>
      </w:r>
    </w:p>
    <w:p w14:paraId="7400FC86" w14:textId="77777777" w:rsidR="00A7072F" w:rsidRPr="006F2CA5" w:rsidRDefault="00A7072F" w:rsidP="00A82615">
      <w:pPr>
        <w:pStyle w:val="Heading4"/>
        <w:spacing w:before="120" w:after="240" w:line="264" w:lineRule="auto"/>
        <w:ind w:left="862" w:hanging="862"/>
        <w:jc w:val="both"/>
        <w:rPr>
          <w:rFonts w:ascii="Times New Roman" w:hAnsi="Times New Roman" w:cs="Times New Roman"/>
          <w:color w:val="C45911" w:themeColor="accent2" w:themeShade="BF"/>
        </w:rPr>
      </w:pPr>
      <w:r w:rsidRPr="006F2CA5">
        <w:rPr>
          <w:rFonts w:ascii="Times New Roman" w:hAnsi="Times New Roman" w:cs="Times New Roman"/>
          <w:color w:val="C45911" w:themeColor="accent2" w:themeShade="BF"/>
        </w:rPr>
        <w:t>Specific cases</w:t>
      </w:r>
    </w:p>
    <w:p w14:paraId="64E49351" w14:textId="77777777" w:rsidR="00A7072F" w:rsidRPr="00A53ED2" w:rsidRDefault="00A7072F"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If an intervention includes support in the form of grants and financial instrument, the output indicator </w:t>
      </w:r>
      <w:r w:rsidR="007753EC">
        <w:rPr>
          <w:rFonts w:ascii="Times New Roman" w:hAnsi="Times New Roman" w:cs="Times New Roman"/>
        </w:rPr>
        <w:t>should</w:t>
      </w:r>
      <w:r w:rsidRPr="006F2CA5">
        <w:rPr>
          <w:rFonts w:ascii="Times New Roman" w:hAnsi="Times New Roman" w:cs="Times New Roman"/>
        </w:rPr>
        <w:t xml:space="preserve"> be reported for each form of </w:t>
      </w:r>
      <w:r w:rsidRPr="00A53ED2">
        <w:rPr>
          <w:rFonts w:ascii="Times New Roman" w:hAnsi="Times New Roman" w:cs="Times New Roman"/>
        </w:rPr>
        <w:t>support</w:t>
      </w:r>
      <w:r w:rsidR="003527AF" w:rsidRPr="00A53ED2">
        <w:rPr>
          <w:rFonts w:ascii="Times New Roman" w:hAnsi="Times New Roman" w:cs="Times New Roman"/>
        </w:rPr>
        <w:t xml:space="preserve">. </w:t>
      </w:r>
      <w:r w:rsidR="00A53ED2" w:rsidRPr="00A53ED2">
        <w:rPr>
          <w:rFonts w:ascii="Times New Roman" w:hAnsi="Times New Roman" w:cs="Times New Roman"/>
        </w:rPr>
        <w:t xml:space="preserve">The table in </w:t>
      </w:r>
      <w:r w:rsidRPr="006F3500">
        <w:rPr>
          <w:rFonts w:ascii="Times New Roman" w:hAnsi="Times New Roman" w:cs="Times New Roman"/>
          <w:b/>
        </w:rPr>
        <w:t xml:space="preserve">Annex </w:t>
      </w:r>
      <w:r w:rsidR="003527AF" w:rsidRPr="006F3500">
        <w:rPr>
          <w:rFonts w:ascii="Times New Roman" w:hAnsi="Times New Roman" w:cs="Times New Roman"/>
          <w:b/>
        </w:rPr>
        <w:t>III</w:t>
      </w:r>
      <w:r w:rsidR="003527AF" w:rsidRPr="00A53ED2">
        <w:rPr>
          <w:rFonts w:ascii="Times New Roman" w:hAnsi="Times New Roman" w:cs="Times New Roman"/>
        </w:rPr>
        <w:t xml:space="preserve"> </w:t>
      </w:r>
      <w:r w:rsidR="009F4884">
        <w:rPr>
          <w:rFonts w:ascii="Times New Roman" w:hAnsi="Times New Roman" w:cs="Times New Roman"/>
        </w:rPr>
        <w:t>to</w:t>
      </w:r>
      <w:r w:rsidR="00A53ED2" w:rsidRPr="00A53ED2">
        <w:rPr>
          <w:rFonts w:ascii="Times New Roman" w:hAnsi="Times New Roman" w:cs="Times New Roman"/>
        </w:rPr>
        <w:t xml:space="preserve"> this cover note shows the link between types of interventions using financial instruments and corresponding output and result indicators.</w:t>
      </w:r>
    </w:p>
    <w:p w14:paraId="2FF48755" w14:textId="77777777" w:rsidR="00A7072F" w:rsidRDefault="00A7072F"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For the fruit and vegetables sector, the hops sector, the olive oil and table olives sector and in the other sectors referred to </w:t>
      </w:r>
      <w:r w:rsidRPr="00E65CCC">
        <w:rPr>
          <w:rFonts w:ascii="Times New Roman" w:hAnsi="Times New Roman" w:cs="Times New Roman"/>
        </w:rPr>
        <w:t>in Article 4</w:t>
      </w:r>
      <w:r w:rsidR="00A53ED2" w:rsidRPr="00E65CCC">
        <w:rPr>
          <w:rFonts w:ascii="Times New Roman" w:hAnsi="Times New Roman" w:cs="Times New Roman"/>
        </w:rPr>
        <w:t>8</w:t>
      </w:r>
      <w:r w:rsidRPr="006F2CA5">
        <w:rPr>
          <w:rFonts w:ascii="Times New Roman" w:hAnsi="Times New Roman" w:cs="Times New Roman"/>
        </w:rPr>
        <w:t xml:space="preserve"> of the </w:t>
      </w:r>
      <w:r w:rsidR="008A6A84">
        <w:rPr>
          <w:rFonts w:ascii="Times New Roman" w:hAnsi="Times New Roman" w:cs="Times New Roman"/>
        </w:rPr>
        <w:t>SPR</w:t>
      </w:r>
      <w:r w:rsidRPr="006F2CA5">
        <w:rPr>
          <w:rFonts w:ascii="Times New Roman" w:hAnsi="Times New Roman" w:cs="Times New Roman"/>
        </w:rPr>
        <w:t xml:space="preserve">, outputs are reported per operational programme. </w:t>
      </w:r>
    </w:p>
    <w:p w14:paraId="52F899DA" w14:textId="77777777" w:rsidR="00A7072F" w:rsidRPr="00A7072F" w:rsidRDefault="00A7072F" w:rsidP="009626E2">
      <w:pPr>
        <w:spacing w:before="120" w:after="360" w:line="264" w:lineRule="auto"/>
        <w:jc w:val="both"/>
        <w:rPr>
          <w:rFonts w:ascii="Times New Roman" w:hAnsi="Times New Roman" w:cs="Times New Roman"/>
        </w:rPr>
      </w:pPr>
      <w:r w:rsidRPr="00A7072F">
        <w:rPr>
          <w:rFonts w:ascii="Times New Roman" w:hAnsi="Times New Roman" w:cs="Times New Roman"/>
        </w:rPr>
        <w:t xml:space="preserve">The implementation of Leader </w:t>
      </w:r>
      <w:r w:rsidR="007753EC">
        <w:rPr>
          <w:rFonts w:ascii="Times New Roman" w:hAnsi="Times New Roman" w:cs="Times New Roman"/>
        </w:rPr>
        <w:t>should</w:t>
      </w:r>
      <w:r w:rsidRPr="00A7072F">
        <w:rPr>
          <w:rFonts w:ascii="Times New Roman" w:hAnsi="Times New Roman" w:cs="Times New Roman"/>
        </w:rPr>
        <w:t xml:space="preserve"> only be reported under O.31 and thus operations implemented through Local Development Strategies should not be included in other output indicators (see </w:t>
      </w:r>
      <w:r w:rsidR="00E65CCC">
        <w:rPr>
          <w:rFonts w:ascii="Times New Roman" w:hAnsi="Times New Roman" w:cs="Times New Roman"/>
        </w:rPr>
        <w:t>section</w:t>
      </w:r>
      <w:r>
        <w:rPr>
          <w:rFonts w:ascii="Times New Roman" w:hAnsi="Times New Roman" w:cs="Times New Roman"/>
        </w:rPr>
        <w:t xml:space="preserve"> 5</w:t>
      </w:r>
      <w:r w:rsidRPr="00A7072F">
        <w:rPr>
          <w:rFonts w:ascii="Times New Roman" w:hAnsi="Times New Roman" w:cs="Times New Roman"/>
        </w:rPr>
        <w:t xml:space="preserve"> </w:t>
      </w:r>
      <w:r w:rsidR="00E65CCC">
        <w:rPr>
          <w:rFonts w:ascii="Times New Roman" w:hAnsi="Times New Roman" w:cs="Times New Roman"/>
        </w:rPr>
        <w:t>on</w:t>
      </w:r>
      <w:r w:rsidRPr="00A7072F">
        <w:rPr>
          <w:rFonts w:ascii="Times New Roman" w:hAnsi="Times New Roman" w:cs="Times New Roman"/>
        </w:rPr>
        <w:t xml:space="preserve"> LEADER).</w:t>
      </w:r>
    </w:p>
    <w:p w14:paraId="26330F19" w14:textId="3A666FBC" w:rsidR="007E6403" w:rsidRPr="006F2CA5" w:rsidRDefault="00516CE1" w:rsidP="00A82615">
      <w:pPr>
        <w:pStyle w:val="Heading2"/>
        <w:spacing w:before="120" w:after="240" w:line="264" w:lineRule="auto"/>
        <w:ind w:left="578" w:hanging="578"/>
        <w:jc w:val="both"/>
        <w:rPr>
          <w:rFonts w:ascii="Times New Roman" w:hAnsi="Times New Roman" w:cs="Times New Roman"/>
          <w:color w:val="C45911" w:themeColor="accent2" w:themeShade="BF"/>
        </w:rPr>
      </w:pPr>
      <w:bookmarkStart w:id="14" w:name="_Toc89902373"/>
      <w:bookmarkStart w:id="15" w:name="_Toc126762208"/>
      <w:r w:rsidRPr="006F2CA5">
        <w:rPr>
          <w:rFonts w:ascii="Times New Roman" w:hAnsi="Times New Roman" w:cs="Times New Roman"/>
          <w:color w:val="C45911" w:themeColor="accent2" w:themeShade="BF"/>
        </w:rPr>
        <w:t>A</w:t>
      </w:r>
      <w:r w:rsidR="00C612D0" w:rsidRPr="006F2CA5">
        <w:rPr>
          <w:rFonts w:ascii="Times New Roman" w:hAnsi="Times New Roman" w:cs="Times New Roman"/>
          <w:color w:val="C45911" w:themeColor="accent2" w:themeShade="BF"/>
        </w:rPr>
        <w:t>ggregat</w:t>
      </w:r>
      <w:r w:rsidR="003D1E31" w:rsidRPr="006F2CA5">
        <w:rPr>
          <w:rFonts w:ascii="Times New Roman" w:hAnsi="Times New Roman" w:cs="Times New Roman"/>
          <w:color w:val="C45911" w:themeColor="accent2" w:themeShade="BF"/>
        </w:rPr>
        <w:t>ed</w:t>
      </w:r>
      <w:r w:rsidR="00C612D0" w:rsidRPr="006F2CA5">
        <w:rPr>
          <w:rFonts w:ascii="Times New Roman" w:hAnsi="Times New Roman" w:cs="Times New Roman"/>
          <w:color w:val="C45911" w:themeColor="accent2" w:themeShade="BF"/>
        </w:rPr>
        <w:t xml:space="preserve"> values of output indicators and values of output indicators O.3 and O.34 to be used for </w:t>
      </w:r>
      <w:r w:rsidR="00307197" w:rsidRPr="006F2CA5">
        <w:rPr>
          <w:rFonts w:ascii="Times New Roman" w:hAnsi="Times New Roman" w:cs="Times New Roman"/>
          <w:color w:val="C45911" w:themeColor="accent2" w:themeShade="BF"/>
        </w:rPr>
        <w:t xml:space="preserve">the purpose of </w:t>
      </w:r>
      <w:r w:rsidR="00C612D0" w:rsidRPr="006F2CA5">
        <w:rPr>
          <w:rFonts w:ascii="Times New Roman" w:hAnsi="Times New Roman" w:cs="Times New Roman"/>
          <w:color w:val="C45911" w:themeColor="accent2" w:themeShade="BF"/>
        </w:rPr>
        <w:t>monitoring, communication and evaluation</w:t>
      </w:r>
      <w:bookmarkEnd w:id="14"/>
      <w:bookmarkEnd w:id="15"/>
    </w:p>
    <w:p w14:paraId="0FD6EFD4" w14:textId="08C6C2EF" w:rsidR="00516CE1" w:rsidRPr="006F2CA5" w:rsidRDefault="00516CE1" w:rsidP="00A82615">
      <w:pPr>
        <w:pStyle w:val="Heading3"/>
        <w:spacing w:before="120" w:after="240" w:line="264" w:lineRule="auto"/>
        <w:jc w:val="both"/>
        <w:rPr>
          <w:rFonts w:ascii="Times New Roman" w:hAnsi="Times New Roman" w:cs="Times New Roman"/>
          <w:color w:val="C45911" w:themeColor="accent2" w:themeShade="BF"/>
        </w:rPr>
      </w:pPr>
      <w:bookmarkStart w:id="16" w:name="_Toc89902374"/>
      <w:bookmarkStart w:id="17" w:name="_Toc126762209"/>
      <w:r w:rsidRPr="006F2CA5">
        <w:rPr>
          <w:rFonts w:ascii="Times New Roman" w:hAnsi="Times New Roman" w:cs="Times New Roman"/>
          <w:color w:val="C45911" w:themeColor="accent2" w:themeShade="BF"/>
        </w:rPr>
        <w:t>Planning</w:t>
      </w:r>
      <w:bookmarkEnd w:id="16"/>
      <w:r w:rsidR="00F32718" w:rsidRPr="006F2CA5">
        <w:rPr>
          <w:rFonts w:ascii="Times New Roman" w:hAnsi="Times New Roman" w:cs="Times New Roman"/>
          <w:color w:val="C45911" w:themeColor="accent2" w:themeShade="BF"/>
        </w:rPr>
        <w:t xml:space="preserve"> of aggregate values and values for O.3 and O.34</w:t>
      </w:r>
      <w:bookmarkEnd w:id="17"/>
    </w:p>
    <w:p w14:paraId="43BB3EE7" w14:textId="77777777" w:rsidR="00516CE1" w:rsidRPr="006F2CA5" w:rsidRDefault="00516CE1"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Aggregated values of output indicators and values of output indicators O.3 and O.34 </w:t>
      </w:r>
      <w:r w:rsidR="00C9347E">
        <w:rPr>
          <w:rFonts w:ascii="Times New Roman" w:hAnsi="Times New Roman" w:cs="Times New Roman"/>
        </w:rPr>
        <w:t>do not have to be</w:t>
      </w:r>
      <w:r w:rsidRPr="006F2CA5">
        <w:rPr>
          <w:rFonts w:ascii="Times New Roman" w:hAnsi="Times New Roman" w:cs="Times New Roman"/>
        </w:rPr>
        <w:t xml:space="preserve"> planned</w:t>
      </w:r>
      <w:r w:rsidR="00C9347E">
        <w:rPr>
          <w:rFonts w:ascii="Times New Roman" w:hAnsi="Times New Roman" w:cs="Times New Roman"/>
        </w:rPr>
        <w:t xml:space="preserve"> in the CAP </w:t>
      </w:r>
      <w:r w:rsidR="00F01452">
        <w:rPr>
          <w:rFonts w:ascii="Times New Roman" w:hAnsi="Times New Roman" w:cs="Times New Roman"/>
        </w:rPr>
        <w:t>s</w:t>
      </w:r>
      <w:r w:rsidR="00C9347E">
        <w:rPr>
          <w:rFonts w:ascii="Times New Roman" w:hAnsi="Times New Roman" w:cs="Times New Roman"/>
        </w:rPr>
        <w:t xml:space="preserve">trategic </w:t>
      </w:r>
      <w:r w:rsidR="00F01452">
        <w:rPr>
          <w:rFonts w:ascii="Times New Roman" w:hAnsi="Times New Roman" w:cs="Times New Roman"/>
        </w:rPr>
        <w:t>p</w:t>
      </w:r>
      <w:r w:rsidR="00C9347E">
        <w:rPr>
          <w:rFonts w:ascii="Times New Roman" w:hAnsi="Times New Roman" w:cs="Times New Roman"/>
        </w:rPr>
        <w:t>lan</w:t>
      </w:r>
      <w:r w:rsidRPr="006F2CA5">
        <w:rPr>
          <w:rFonts w:ascii="Times New Roman" w:hAnsi="Times New Roman" w:cs="Times New Roman"/>
        </w:rPr>
        <w:t>.</w:t>
      </w:r>
    </w:p>
    <w:p w14:paraId="0169082D" w14:textId="0FB4F158" w:rsidR="00516CE1" w:rsidRPr="006F2CA5" w:rsidRDefault="00516CE1" w:rsidP="00A82615">
      <w:pPr>
        <w:pStyle w:val="Heading3"/>
        <w:spacing w:before="120" w:after="240" w:line="264" w:lineRule="auto"/>
        <w:rPr>
          <w:rFonts w:ascii="Times New Roman" w:hAnsi="Times New Roman" w:cs="Times New Roman"/>
          <w:color w:val="C45911" w:themeColor="accent2" w:themeShade="BF"/>
        </w:rPr>
      </w:pPr>
      <w:bookmarkStart w:id="18" w:name="_Toc89902375"/>
      <w:bookmarkStart w:id="19" w:name="_Toc126762210"/>
      <w:r w:rsidRPr="006F2CA5">
        <w:rPr>
          <w:rFonts w:ascii="Times New Roman" w:hAnsi="Times New Roman" w:cs="Times New Roman"/>
          <w:color w:val="C45911" w:themeColor="accent2" w:themeShade="BF"/>
        </w:rPr>
        <w:t>Reporting</w:t>
      </w:r>
      <w:bookmarkEnd w:id="18"/>
      <w:r w:rsidR="00F32718" w:rsidRPr="006F2CA5">
        <w:rPr>
          <w:rFonts w:ascii="Times New Roman" w:hAnsi="Times New Roman" w:cs="Times New Roman"/>
          <w:color w:val="C45911" w:themeColor="accent2" w:themeShade="BF"/>
        </w:rPr>
        <w:t xml:space="preserve"> of aggregate values and values for O.3 and O.34</w:t>
      </w:r>
      <w:bookmarkEnd w:id="19"/>
    </w:p>
    <w:p w14:paraId="356B5B2C" w14:textId="77777777" w:rsidR="006B1A25" w:rsidRPr="006F2CA5" w:rsidRDefault="00334523" w:rsidP="00A82615">
      <w:pPr>
        <w:spacing w:before="120" w:after="240" w:line="264" w:lineRule="auto"/>
        <w:jc w:val="both"/>
        <w:rPr>
          <w:rFonts w:ascii="Times New Roman" w:eastAsia="Times New Roman" w:hAnsi="Times New Roman" w:cs="Times New Roman"/>
        </w:rPr>
      </w:pPr>
      <w:r w:rsidRPr="006F2CA5">
        <w:rPr>
          <w:rFonts w:ascii="Times New Roman" w:eastAsia="Times New Roman" w:hAnsi="Times New Roman" w:cs="Times New Roman"/>
        </w:rPr>
        <w:t xml:space="preserve">The following </w:t>
      </w:r>
      <w:r w:rsidRPr="00206FCD">
        <w:rPr>
          <w:rFonts w:ascii="Times New Roman" w:eastAsia="Times New Roman" w:hAnsi="Times New Roman" w:cs="Times New Roman"/>
          <w:b/>
        </w:rPr>
        <w:t>aggregate values</w:t>
      </w:r>
      <w:r w:rsidRPr="006F2CA5">
        <w:rPr>
          <w:rFonts w:ascii="Times New Roman" w:eastAsia="Times New Roman" w:hAnsi="Times New Roman" w:cs="Times New Roman"/>
        </w:rPr>
        <w:t xml:space="preserve"> should be reported</w:t>
      </w:r>
      <w:r w:rsidR="00463F3D">
        <w:rPr>
          <w:rFonts w:ascii="Times New Roman" w:eastAsia="Times New Roman" w:hAnsi="Times New Roman" w:cs="Times New Roman"/>
        </w:rPr>
        <w:t xml:space="preserve"> without double counting</w:t>
      </w:r>
      <w:r w:rsidRPr="006F2CA5">
        <w:rPr>
          <w:rFonts w:ascii="Times New Roman" w:eastAsia="Times New Roman" w:hAnsi="Times New Roman" w:cs="Times New Roman"/>
        </w:rPr>
        <w:t>:</w:t>
      </w:r>
    </w:p>
    <w:p w14:paraId="729582FF" w14:textId="77777777" w:rsidR="006B1A25" w:rsidRPr="006F2CA5" w:rsidRDefault="006B1A25" w:rsidP="005C5386">
      <w:pPr>
        <w:numPr>
          <w:ilvl w:val="0"/>
          <w:numId w:val="5"/>
        </w:numPr>
        <w:spacing w:before="120" w:after="240" w:line="264" w:lineRule="auto"/>
        <w:jc w:val="both"/>
        <w:rPr>
          <w:rFonts w:ascii="Times New Roman" w:hAnsi="Times New Roman" w:cs="Times New Roman"/>
        </w:rPr>
      </w:pPr>
      <w:r w:rsidRPr="006F2CA5">
        <w:rPr>
          <w:rFonts w:ascii="Times New Roman" w:hAnsi="Times New Roman" w:cs="Times New Roman"/>
        </w:rPr>
        <w:t>the total output per intervention where several unit amounts are established for an intervention;</w:t>
      </w:r>
    </w:p>
    <w:p w14:paraId="6CCF5809" w14:textId="77777777" w:rsidR="006B1A25" w:rsidRPr="006F2CA5" w:rsidRDefault="006B1A25" w:rsidP="005C5386">
      <w:pPr>
        <w:numPr>
          <w:ilvl w:val="0"/>
          <w:numId w:val="5"/>
        </w:numPr>
        <w:spacing w:before="120" w:after="240" w:line="264" w:lineRule="auto"/>
        <w:jc w:val="both"/>
        <w:rPr>
          <w:rFonts w:ascii="Times New Roman" w:hAnsi="Times New Roman" w:cs="Times New Roman"/>
        </w:rPr>
      </w:pPr>
      <w:r w:rsidRPr="006F2CA5">
        <w:rPr>
          <w:rFonts w:ascii="Times New Roman" w:hAnsi="Times New Roman" w:cs="Times New Roman"/>
        </w:rPr>
        <w:t>the total output per unit of measurement where several units of measurement are established for an intervention;</w:t>
      </w:r>
    </w:p>
    <w:p w14:paraId="69714495" w14:textId="77777777" w:rsidR="006B1A25" w:rsidRPr="006F2CA5" w:rsidRDefault="006B1A25" w:rsidP="005C5386">
      <w:pPr>
        <w:numPr>
          <w:ilvl w:val="0"/>
          <w:numId w:val="5"/>
        </w:numPr>
        <w:spacing w:before="120" w:after="240" w:line="264" w:lineRule="auto"/>
        <w:jc w:val="both"/>
        <w:rPr>
          <w:rFonts w:ascii="Times New Roman" w:hAnsi="Times New Roman" w:cs="Times New Roman"/>
        </w:rPr>
      </w:pPr>
      <w:r w:rsidRPr="006F2CA5">
        <w:rPr>
          <w:rFonts w:ascii="Times New Roman" w:hAnsi="Times New Roman" w:cs="Times New Roman"/>
        </w:rPr>
        <w:t>the total output per type of intervention where a type of intervention has several interventions;</w:t>
      </w:r>
    </w:p>
    <w:p w14:paraId="3960F6F3" w14:textId="77777777" w:rsidR="006B1A25" w:rsidRPr="006F2CA5" w:rsidRDefault="006B1A25" w:rsidP="005C5386">
      <w:pPr>
        <w:numPr>
          <w:ilvl w:val="0"/>
          <w:numId w:val="5"/>
        </w:numPr>
        <w:spacing w:before="120" w:after="240" w:line="264" w:lineRule="auto"/>
        <w:jc w:val="both"/>
        <w:rPr>
          <w:rFonts w:ascii="Times New Roman" w:hAnsi="Times New Roman" w:cs="Times New Roman"/>
        </w:rPr>
      </w:pPr>
      <w:r w:rsidRPr="006F2CA5">
        <w:rPr>
          <w:rFonts w:ascii="Times New Roman" w:hAnsi="Times New Roman" w:cs="Times New Roman"/>
        </w:rPr>
        <w:t xml:space="preserve">the total output per unit of measurement and, </w:t>
      </w:r>
      <w:r w:rsidRPr="006F2CA5">
        <w:rPr>
          <w:rFonts w:ascii="Times New Roman" w:hAnsi="Times New Roman" w:cs="Times New Roman"/>
          <w:b/>
        </w:rPr>
        <w:t>where appropriate</w:t>
      </w:r>
      <w:r w:rsidRPr="006F2CA5">
        <w:rPr>
          <w:rFonts w:ascii="Times New Roman" w:hAnsi="Times New Roman" w:cs="Times New Roman"/>
        </w:rPr>
        <w:t>, the total output using a common unit of measurement where the type of intervention includes several interventions the output of which is measured with different units of measurement;</w:t>
      </w:r>
    </w:p>
    <w:p w14:paraId="57EE948E" w14:textId="77777777" w:rsidR="00334523" w:rsidRPr="006F2CA5" w:rsidRDefault="006B1A25" w:rsidP="005C5386">
      <w:pPr>
        <w:numPr>
          <w:ilvl w:val="0"/>
          <w:numId w:val="5"/>
        </w:numPr>
        <w:spacing w:before="120" w:after="240" w:line="264" w:lineRule="auto"/>
        <w:jc w:val="both"/>
        <w:rPr>
          <w:rFonts w:ascii="Times New Roman" w:hAnsi="Times New Roman" w:cs="Times New Roman"/>
        </w:rPr>
      </w:pPr>
      <w:r w:rsidRPr="006F2CA5">
        <w:rPr>
          <w:rFonts w:ascii="Times New Roman" w:hAnsi="Times New Roman" w:cs="Times New Roman"/>
        </w:rPr>
        <w:t>for output indicators O.4, O.36 and O.37, where interventions do not belong to the same type of intervention, the total output for those interventions</w:t>
      </w:r>
      <w:r w:rsidR="00334523" w:rsidRPr="006F2CA5">
        <w:rPr>
          <w:rFonts w:ascii="Times New Roman" w:hAnsi="Times New Roman" w:cs="Times New Roman"/>
        </w:rPr>
        <w:t>.</w:t>
      </w:r>
    </w:p>
    <w:p w14:paraId="76C5E1FA" w14:textId="77777777" w:rsidR="00344572" w:rsidRDefault="00334523" w:rsidP="00A82615">
      <w:pPr>
        <w:spacing w:before="120" w:after="240" w:line="264" w:lineRule="auto"/>
        <w:jc w:val="both"/>
        <w:rPr>
          <w:rFonts w:ascii="Times New Roman" w:hAnsi="Times New Roman" w:cs="Times New Roman"/>
        </w:rPr>
      </w:pPr>
      <w:r w:rsidRPr="006F2CA5">
        <w:rPr>
          <w:rFonts w:ascii="Times New Roman" w:hAnsi="Times New Roman" w:cs="Times New Roman"/>
        </w:rPr>
        <w:lastRenderedPageBreak/>
        <w:t xml:space="preserve">Regarding point (iv), </w:t>
      </w:r>
      <w:r w:rsidR="008409C4" w:rsidRPr="006F2CA5">
        <w:rPr>
          <w:rFonts w:ascii="Times New Roman" w:hAnsi="Times New Roman" w:cs="Times New Roman"/>
        </w:rPr>
        <w:t xml:space="preserve">the total output using a common unit of measurement </w:t>
      </w:r>
      <w:r w:rsidR="00500981" w:rsidRPr="006F2CA5">
        <w:rPr>
          <w:rFonts w:ascii="Times New Roman" w:hAnsi="Times New Roman" w:cs="Times New Roman"/>
        </w:rPr>
        <w:t>should be</w:t>
      </w:r>
      <w:r w:rsidR="008409C4" w:rsidRPr="006F2CA5">
        <w:rPr>
          <w:rFonts w:ascii="Times New Roman" w:hAnsi="Times New Roman" w:cs="Times New Roman"/>
        </w:rPr>
        <w:t xml:space="preserve"> provided </w:t>
      </w:r>
      <w:r w:rsidR="008409C4" w:rsidRPr="003C7845">
        <w:rPr>
          <w:rFonts w:ascii="Times New Roman" w:hAnsi="Times New Roman" w:cs="Times New Roman"/>
          <w:b/>
        </w:rPr>
        <w:t xml:space="preserve">where </w:t>
      </w:r>
      <w:r w:rsidR="009D3169" w:rsidRPr="003C7845">
        <w:rPr>
          <w:rFonts w:ascii="Times New Roman" w:hAnsi="Times New Roman" w:cs="Times New Roman"/>
          <w:b/>
        </w:rPr>
        <w:t>appropriate</w:t>
      </w:r>
      <w:r w:rsidR="00C634E2" w:rsidRPr="006F2CA5">
        <w:rPr>
          <w:rFonts w:ascii="Times New Roman" w:hAnsi="Times New Roman" w:cs="Times New Roman"/>
        </w:rPr>
        <w:t>.</w:t>
      </w:r>
      <w:r w:rsidR="008409C4" w:rsidRPr="006F2CA5">
        <w:rPr>
          <w:rFonts w:ascii="Times New Roman" w:hAnsi="Times New Roman" w:cs="Times New Roman"/>
        </w:rPr>
        <w:t xml:space="preserve"> </w:t>
      </w:r>
      <w:r w:rsidR="00C634E2" w:rsidRPr="006F2CA5">
        <w:rPr>
          <w:rFonts w:ascii="Times New Roman" w:hAnsi="Times New Roman" w:cs="Times New Roman"/>
        </w:rPr>
        <w:t xml:space="preserve">For instance, in the case of </w:t>
      </w:r>
      <w:r w:rsidR="00C634E2" w:rsidRPr="004A6A17">
        <w:rPr>
          <w:rFonts w:ascii="Times New Roman" w:hAnsi="Times New Roman" w:cs="Times New Roman"/>
          <w:b/>
        </w:rPr>
        <w:t>investments</w:t>
      </w:r>
      <w:r w:rsidR="00301321" w:rsidRPr="006F2CA5">
        <w:rPr>
          <w:rFonts w:ascii="Times New Roman" w:hAnsi="Times New Roman" w:cs="Times New Roman"/>
        </w:rPr>
        <w:t xml:space="preserve"> (output indicators from O.20 to O.24), outputs can be measured as </w:t>
      </w:r>
      <w:r w:rsidR="00A82615" w:rsidRPr="006F2CA5">
        <w:rPr>
          <w:rFonts w:ascii="Times New Roman" w:hAnsi="Times New Roman" w:cs="Times New Roman"/>
        </w:rPr>
        <w:t xml:space="preserve">operations </w:t>
      </w:r>
      <w:r w:rsidR="00A82615">
        <w:rPr>
          <w:rFonts w:ascii="Times New Roman" w:hAnsi="Times New Roman" w:cs="Times New Roman"/>
        </w:rPr>
        <w:t xml:space="preserve">but also as </w:t>
      </w:r>
      <w:r w:rsidR="00301321" w:rsidRPr="006F2CA5">
        <w:rPr>
          <w:rFonts w:ascii="Times New Roman" w:hAnsi="Times New Roman" w:cs="Times New Roman"/>
        </w:rPr>
        <w:t>livestock units</w:t>
      </w:r>
      <w:r w:rsidR="00BB572D" w:rsidRPr="006F2CA5">
        <w:rPr>
          <w:rFonts w:ascii="Times New Roman" w:hAnsi="Times New Roman" w:cs="Times New Roman"/>
        </w:rPr>
        <w:t xml:space="preserve"> or other</w:t>
      </w:r>
      <w:r w:rsidR="00A82615">
        <w:rPr>
          <w:rFonts w:ascii="Times New Roman" w:hAnsi="Times New Roman" w:cs="Times New Roman"/>
        </w:rPr>
        <w:t xml:space="preserve"> units. In this case the common unit of measurement is ‘operations’ and w</w:t>
      </w:r>
      <w:r w:rsidR="00301321" w:rsidRPr="006F2CA5">
        <w:rPr>
          <w:rFonts w:ascii="Times New Roman" w:hAnsi="Times New Roman" w:cs="Times New Roman"/>
        </w:rPr>
        <w:t>hen reporting the aggregate value</w:t>
      </w:r>
      <w:r w:rsidR="00A82615">
        <w:rPr>
          <w:rFonts w:ascii="Times New Roman" w:hAnsi="Times New Roman" w:cs="Times New Roman"/>
        </w:rPr>
        <w:t xml:space="preserve"> for the number of investment operations supported with the CAP</w:t>
      </w:r>
      <w:r w:rsidR="00301321" w:rsidRPr="006F2CA5">
        <w:rPr>
          <w:rFonts w:ascii="Times New Roman" w:hAnsi="Times New Roman" w:cs="Times New Roman"/>
        </w:rPr>
        <w:t xml:space="preserve">, all operations </w:t>
      </w:r>
      <w:r w:rsidR="00A82615">
        <w:rPr>
          <w:rFonts w:ascii="Times New Roman" w:hAnsi="Times New Roman" w:cs="Times New Roman"/>
        </w:rPr>
        <w:t xml:space="preserve">are to be counted in </w:t>
      </w:r>
      <w:r w:rsidR="00301321" w:rsidRPr="006F2CA5">
        <w:rPr>
          <w:rFonts w:ascii="Times New Roman" w:hAnsi="Times New Roman" w:cs="Times New Roman"/>
        </w:rPr>
        <w:t xml:space="preserve">regardless of whether they were </w:t>
      </w:r>
      <w:r w:rsidR="00A82615">
        <w:rPr>
          <w:rFonts w:ascii="Times New Roman" w:hAnsi="Times New Roman" w:cs="Times New Roman"/>
        </w:rPr>
        <w:t>paid</w:t>
      </w:r>
      <w:r w:rsidR="00301321" w:rsidRPr="006F2CA5">
        <w:rPr>
          <w:rFonts w:ascii="Times New Roman" w:hAnsi="Times New Roman" w:cs="Times New Roman"/>
        </w:rPr>
        <w:t xml:space="preserve"> with another unit of measure</w:t>
      </w:r>
      <w:r w:rsidR="00A82615">
        <w:rPr>
          <w:rFonts w:ascii="Times New Roman" w:hAnsi="Times New Roman" w:cs="Times New Roman"/>
        </w:rPr>
        <w:t>ment</w:t>
      </w:r>
      <w:r w:rsidR="00301321" w:rsidRPr="006F2CA5">
        <w:rPr>
          <w:rFonts w:ascii="Times New Roman" w:hAnsi="Times New Roman" w:cs="Times New Roman"/>
        </w:rPr>
        <w:t>. However, in other cas</w:t>
      </w:r>
      <w:r w:rsidR="00BB572D" w:rsidRPr="006F2CA5">
        <w:rPr>
          <w:rFonts w:ascii="Times New Roman" w:hAnsi="Times New Roman" w:cs="Times New Roman"/>
        </w:rPr>
        <w:t xml:space="preserve">es, </w:t>
      </w:r>
      <w:r w:rsidR="00A82615">
        <w:rPr>
          <w:rFonts w:ascii="Times New Roman" w:hAnsi="Times New Roman" w:cs="Times New Roman"/>
        </w:rPr>
        <w:t>the use o</w:t>
      </w:r>
      <w:r w:rsidR="005C68C4">
        <w:rPr>
          <w:rFonts w:ascii="Times New Roman" w:hAnsi="Times New Roman" w:cs="Times New Roman"/>
        </w:rPr>
        <w:t xml:space="preserve">f a common unit of measurement might not be </w:t>
      </w:r>
      <w:r w:rsidR="00A82615">
        <w:rPr>
          <w:rFonts w:ascii="Times New Roman" w:hAnsi="Times New Roman" w:cs="Times New Roman"/>
        </w:rPr>
        <w:t xml:space="preserve">appropriate </w:t>
      </w:r>
      <w:r w:rsidR="005C68C4">
        <w:rPr>
          <w:rFonts w:ascii="Times New Roman" w:hAnsi="Times New Roman" w:cs="Times New Roman"/>
        </w:rPr>
        <w:t>e.g.</w:t>
      </w:r>
      <w:r w:rsidR="00BB572D" w:rsidRPr="006F2CA5">
        <w:rPr>
          <w:rFonts w:ascii="Times New Roman" w:hAnsi="Times New Roman" w:cs="Times New Roman"/>
        </w:rPr>
        <w:t xml:space="preserve"> for </w:t>
      </w:r>
      <w:r w:rsidR="00BB572D" w:rsidRPr="004A6A17">
        <w:rPr>
          <w:rFonts w:ascii="Times New Roman" w:hAnsi="Times New Roman" w:cs="Times New Roman"/>
          <w:b/>
        </w:rPr>
        <w:t>eco-schemes</w:t>
      </w:r>
      <w:r w:rsidR="0043633D" w:rsidRPr="006F2CA5">
        <w:rPr>
          <w:rFonts w:ascii="Times New Roman" w:hAnsi="Times New Roman" w:cs="Times New Roman"/>
        </w:rPr>
        <w:t xml:space="preserve"> (output indicator O.8)</w:t>
      </w:r>
      <w:r w:rsidR="005C68C4">
        <w:rPr>
          <w:rFonts w:ascii="Times New Roman" w:hAnsi="Times New Roman" w:cs="Times New Roman"/>
        </w:rPr>
        <w:t xml:space="preserve"> in a MS implementing an eco-scheme for animal welfare paid per </w:t>
      </w:r>
      <w:r w:rsidR="005C68C4" w:rsidRPr="006F2CA5">
        <w:rPr>
          <w:rFonts w:ascii="Times New Roman" w:hAnsi="Times New Roman" w:cs="Times New Roman"/>
        </w:rPr>
        <w:t>livestock unit</w:t>
      </w:r>
      <w:r w:rsidR="005C68C4">
        <w:rPr>
          <w:rFonts w:ascii="Times New Roman" w:hAnsi="Times New Roman" w:cs="Times New Roman"/>
        </w:rPr>
        <w:t xml:space="preserve">, collecting the number of hectares of the beneficiaries might not be feasible (farmers without land) and not relevant as the support is directed at the livestock and not </w:t>
      </w:r>
      <w:r w:rsidR="00714C81">
        <w:rPr>
          <w:rFonts w:ascii="Times New Roman" w:hAnsi="Times New Roman" w:cs="Times New Roman"/>
        </w:rPr>
        <w:t>at</w:t>
      </w:r>
      <w:r w:rsidR="005C68C4">
        <w:rPr>
          <w:rFonts w:ascii="Times New Roman" w:hAnsi="Times New Roman" w:cs="Times New Roman"/>
        </w:rPr>
        <w:t xml:space="preserve"> land management.</w:t>
      </w:r>
    </w:p>
    <w:p w14:paraId="207B1E39" w14:textId="77777777" w:rsidR="00203454" w:rsidRPr="006F2CA5" w:rsidRDefault="004C1614" w:rsidP="00A82615">
      <w:pPr>
        <w:spacing w:before="120" w:after="240" w:line="264" w:lineRule="auto"/>
        <w:jc w:val="both"/>
        <w:rPr>
          <w:rFonts w:ascii="Times New Roman" w:eastAsia="Times New Roman" w:hAnsi="Times New Roman" w:cs="Times New Roman"/>
        </w:rPr>
      </w:pPr>
      <w:r>
        <w:rPr>
          <w:rFonts w:ascii="Times New Roman" w:eastAsia="Times New Roman" w:hAnsi="Times New Roman" w:cs="Times New Roman"/>
        </w:rPr>
        <w:t>The</w:t>
      </w:r>
      <w:r w:rsidR="00A67AEA" w:rsidRPr="006F2CA5">
        <w:rPr>
          <w:rFonts w:ascii="Times New Roman" w:eastAsia="Times New Roman" w:hAnsi="Times New Roman" w:cs="Times New Roman"/>
        </w:rPr>
        <w:t xml:space="preserve"> </w:t>
      </w:r>
      <w:r w:rsidRPr="00206FCD">
        <w:rPr>
          <w:rFonts w:ascii="Times New Roman" w:eastAsia="Times New Roman" w:hAnsi="Times New Roman" w:cs="Times New Roman"/>
          <w:b/>
          <w:szCs w:val="24"/>
        </w:rPr>
        <w:t>output indicator O.3</w:t>
      </w:r>
      <w:r>
        <w:rPr>
          <w:rFonts w:ascii="Times New Roman" w:eastAsia="Times New Roman" w:hAnsi="Times New Roman" w:cs="Times New Roman"/>
          <w:szCs w:val="24"/>
        </w:rPr>
        <w:t xml:space="preserve"> refers to the beneficiaries granted directly </w:t>
      </w:r>
      <w:r w:rsidR="00463F3D">
        <w:rPr>
          <w:rFonts w:ascii="Times New Roman" w:eastAsia="Times New Roman" w:hAnsi="Times New Roman" w:cs="Times New Roman"/>
          <w:szCs w:val="24"/>
        </w:rPr>
        <w:t>CAP</w:t>
      </w:r>
      <w:r>
        <w:rPr>
          <w:rFonts w:ascii="Times New Roman" w:eastAsia="Times New Roman" w:hAnsi="Times New Roman" w:cs="Times New Roman"/>
          <w:szCs w:val="24"/>
        </w:rPr>
        <w:t xml:space="preserve"> support (and thus not to the members of a producer organisation or to the participants in a mutual fund). </w:t>
      </w:r>
      <w:r>
        <w:rPr>
          <w:rFonts w:ascii="Times New Roman" w:eastAsia="Times New Roman" w:hAnsi="Times New Roman" w:cs="Times New Roman"/>
        </w:rPr>
        <w:t>For this output</w:t>
      </w:r>
      <w:r w:rsidR="00463F3D">
        <w:rPr>
          <w:rFonts w:ascii="Times New Roman" w:eastAsia="Times New Roman" w:hAnsi="Times New Roman" w:cs="Times New Roman"/>
        </w:rPr>
        <w:t>,</w:t>
      </w:r>
      <w:r>
        <w:rPr>
          <w:rFonts w:ascii="Times New Roman" w:eastAsia="Times New Roman" w:hAnsi="Times New Roman" w:cs="Times New Roman"/>
        </w:rPr>
        <w:t xml:space="preserve"> </w:t>
      </w:r>
      <w:r w:rsidR="00D45F99" w:rsidRPr="006F2CA5">
        <w:rPr>
          <w:rFonts w:ascii="Times New Roman" w:eastAsia="Times New Roman" w:hAnsi="Times New Roman" w:cs="Times New Roman"/>
        </w:rPr>
        <w:t xml:space="preserve">the following </w:t>
      </w:r>
      <w:r w:rsidR="000755E0" w:rsidRPr="006F2CA5">
        <w:rPr>
          <w:rFonts w:ascii="Times New Roman" w:eastAsia="Times New Roman" w:hAnsi="Times New Roman" w:cs="Times New Roman"/>
        </w:rPr>
        <w:t>values</w:t>
      </w:r>
      <w:r w:rsidR="00D45F99" w:rsidRPr="006F2CA5">
        <w:rPr>
          <w:rFonts w:ascii="Times New Roman" w:eastAsia="Times New Roman" w:hAnsi="Times New Roman" w:cs="Times New Roman"/>
        </w:rPr>
        <w:t xml:space="preserve"> should be provided</w:t>
      </w:r>
      <w:r w:rsidR="00374E21" w:rsidRPr="006F2CA5">
        <w:rPr>
          <w:rFonts w:ascii="Times New Roman" w:eastAsia="Times New Roman" w:hAnsi="Times New Roman" w:cs="Times New Roman"/>
          <w:szCs w:val="24"/>
        </w:rPr>
        <w:t>:</w:t>
      </w:r>
    </w:p>
    <w:p w14:paraId="2E43217D" w14:textId="36E37C66" w:rsidR="00203454" w:rsidRPr="006F2CA5" w:rsidRDefault="00D15770" w:rsidP="005C5386">
      <w:pPr>
        <w:numPr>
          <w:ilvl w:val="0"/>
          <w:numId w:val="2"/>
        </w:numPr>
        <w:spacing w:before="120" w:after="240" w:line="264" w:lineRule="auto"/>
        <w:ind w:left="851" w:hanging="284"/>
        <w:jc w:val="both"/>
        <w:rPr>
          <w:rFonts w:ascii="Times New Roman" w:eastAsia="Times New Roman" w:hAnsi="Times New Roman" w:cs="Times New Roman"/>
        </w:rPr>
      </w:pPr>
      <w:r w:rsidRPr="006F2CA5">
        <w:rPr>
          <w:rFonts w:ascii="Times New Roman" w:eastAsia="Times New Roman" w:hAnsi="Times New Roman" w:cs="Times New Roman"/>
        </w:rPr>
        <w:t>n</w:t>
      </w:r>
      <w:r w:rsidR="00A67AEA" w:rsidRPr="006F2CA5">
        <w:rPr>
          <w:rFonts w:ascii="Times New Roman" w:eastAsia="Times New Roman" w:hAnsi="Times New Roman" w:cs="Times New Roman"/>
        </w:rPr>
        <w:t>umber of b</w:t>
      </w:r>
      <w:r w:rsidR="00D45F99" w:rsidRPr="006F2CA5">
        <w:rPr>
          <w:rFonts w:ascii="Times New Roman" w:eastAsia="Times New Roman" w:hAnsi="Times New Roman" w:cs="Times New Roman"/>
        </w:rPr>
        <w:t>eneficiaries</w:t>
      </w:r>
      <w:r w:rsidR="00203454" w:rsidRPr="006F2CA5">
        <w:rPr>
          <w:rFonts w:ascii="Times New Roman" w:eastAsia="Times New Roman" w:hAnsi="Times New Roman" w:cs="Times New Roman"/>
        </w:rPr>
        <w:t xml:space="preserve"> per interventi</w:t>
      </w:r>
      <w:r w:rsidR="004C1614">
        <w:rPr>
          <w:rFonts w:ascii="Times New Roman" w:eastAsia="Times New Roman" w:hAnsi="Times New Roman" w:cs="Times New Roman"/>
        </w:rPr>
        <w:t>on and per type of intervention (i.e. the detail by unit amount is not provided).</w:t>
      </w:r>
    </w:p>
    <w:p w14:paraId="60687566" w14:textId="77777777" w:rsidR="00A16BE0" w:rsidRPr="006F2CA5" w:rsidRDefault="00203454" w:rsidP="005C5386">
      <w:pPr>
        <w:numPr>
          <w:ilvl w:val="0"/>
          <w:numId w:val="2"/>
        </w:numPr>
        <w:spacing w:before="120" w:after="240" w:line="264" w:lineRule="auto"/>
        <w:ind w:left="851" w:hanging="284"/>
        <w:jc w:val="both"/>
        <w:rPr>
          <w:rFonts w:ascii="Times New Roman" w:eastAsia="Times New Roman" w:hAnsi="Times New Roman" w:cs="Times New Roman"/>
        </w:rPr>
      </w:pPr>
      <w:r w:rsidRPr="006F2CA5">
        <w:rPr>
          <w:rFonts w:ascii="Times New Roman" w:eastAsia="Times New Roman" w:hAnsi="Times New Roman" w:cs="Times New Roman"/>
        </w:rPr>
        <w:t>the total number of CAP</w:t>
      </w:r>
      <w:r w:rsidR="00D45F99" w:rsidRPr="006F2CA5">
        <w:rPr>
          <w:rFonts w:ascii="Times New Roman" w:eastAsia="Times New Roman" w:hAnsi="Times New Roman" w:cs="Times New Roman"/>
        </w:rPr>
        <w:t xml:space="preserve"> </w:t>
      </w:r>
      <w:r w:rsidRPr="006F2CA5">
        <w:rPr>
          <w:rFonts w:ascii="Times New Roman" w:eastAsia="Times New Roman" w:hAnsi="Times New Roman" w:cs="Times New Roman"/>
        </w:rPr>
        <w:t>suppor</w:t>
      </w:r>
      <w:r w:rsidR="00D45F99" w:rsidRPr="006F2CA5">
        <w:rPr>
          <w:rFonts w:ascii="Times New Roman" w:eastAsia="Times New Roman" w:hAnsi="Times New Roman" w:cs="Times New Roman"/>
        </w:rPr>
        <w:t>t beneficiaries that are farmer</w:t>
      </w:r>
      <w:r w:rsidR="005C68C4">
        <w:rPr>
          <w:rFonts w:ascii="Times New Roman" w:eastAsia="Times New Roman" w:hAnsi="Times New Roman" w:cs="Times New Roman"/>
        </w:rPr>
        <w:t>s, split by gender</w:t>
      </w:r>
      <w:r w:rsidR="004C1614">
        <w:rPr>
          <w:rFonts w:ascii="Times New Roman" w:eastAsia="Times New Roman" w:hAnsi="Times New Roman" w:cs="Times New Roman"/>
        </w:rPr>
        <w:t xml:space="preserve"> (the total number of CAP support beneficiaries is not calculated as it would be meaningless to add farmers and all the other kind of CAP beneficiaries such as producer organisations, training promotors, wine processing units…).</w:t>
      </w:r>
    </w:p>
    <w:p w14:paraId="226CC4B7" w14:textId="77777777" w:rsidR="00203454" w:rsidRPr="006F2CA5" w:rsidRDefault="00203454" w:rsidP="005C5386">
      <w:pPr>
        <w:numPr>
          <w:ilvl w:val="0"/>
          <w:numId w:val="2"/>
        </w:numPr>
        <w:spacing w:before="120" w:after="240" w:line="264" w:lineRule="auto"/>
        <w:ind w:left="851" w:hanging="284"/>
        <w:jc w:val="both"/>
        <w:rPr>
          <w:rFonts w:ascii="Times New Roman" w:eastAsia="Times New Roman" w:hAnsi="Times New Roman" w:cs="Times New Roman"/>
        </w:rPr>
      </w:pPr>
      <w:r w:rsidRPr="006F2CA5">
        <w:rPr>
          <w:rFonts w:ascii="Times New Roman" w:eastAsia="Times New Roman" w:hAnsi="Times New Roman" w:cs="Times New Roman"/>
        </w:rPr>
        <w:t>the total number of farme</w:t>
      </w:r>
      <w:r w:rsidR="00374E21" w:rsidRPr="006F2CA5">
        <w:rPr>
          <w:rFonts w:ascii="Times New Roman" w:eastAsia="Times New Roman" w:hAnsi="Times New Roman" w:cs="Times New Roman"/>
        </w:rPr>
        <w:t xml:space="preserve">rs that receive </w:t>
      </w:r>
      <w:r w:rsidR="001672DE" w:rsidRPr="006F2CA5">
        <w:rPr>
          <w:rFonts w:ascii="Times New Roman" w:eastAsia="Times New Roman" w:hAnsi="Times New Roman" w:cs="Times New Roman"/>
        </w:rPr>
        <w:t xml:space="preserve">support in the form of </w:t>
      </w:r>
      <w:r w:rsidR="00374E21" w:rsidRPr="006F2CA5">
        <w:rPr>
          <w:rFonts w:ascii="Times New Roman" w:eastAsia="Times New Roman" w:hAnsi="Times New Roman" w:cs="Times New Roman"/>
        </w:rPr>
        <w:t>direct payments</w:t>
      </w:r>
      <w:r w:rsidR="00463F3D">
        <w:rPr>
          <w:rFonts w:ascii="Times New Roman" w:eastAsia="Times New Roman" w:hAnsi="Times New Roman" w:cs="Times New Roman"/>
        </w:rPr>
        <w:t>.</w:t>
      </w:r>
    </w:p>
    <w:p w14:paraId="41C36138" w14:textId="77777777" w:rsidR="005C68C4" w:rsidRPr="00701277" w:rsidRDefault="005C68C4" w:rsidP="0069012B">
      <w:pPr>
        <w:pBdr>
          <w:top w:val="single" w:sz="4" w:space="1" w:color="auto"/>
          <w:left w:val="single" w:sz="4" w:space="4" w:color="auto"/>
          <w:bottom w:val="single" w:sz="4" w:space="1" w:color="auto"/>
          <w:right w:val="single" w:sz="4" w:space="4" w:color="auto"/>
        </w:pBdr>
        <w:spacing w:before="120" w:after="240" w:line="264" w:lineRule="auto"/>
        <w:jc w:val="center"/>
        <w:rPr>
          <w:rFonts w:ascii="Times New Roman" w:eastAsia="Times New Roman" w:hAnsi="Times New Roman" w:cs="Times New Roman"/>
          <w:b/>
        </w:rPr>
      </w:pPr>
      <w:r w:rsidRPr="00701277">
        <w:rPr>
          <w:rFonts w:ascii="Times New Roman" w:eastAsia="Times New Roman" w:hAnsi="Times New Roman" w:cs="Times New Roman"/>
          <w:b/>
        </w:rPr>
        <w:t>Farmers - gender reporting</w:t>
      </w:r>
    </w:p>
    <w:p w14:paraId="7F7578C8" w14:textId="77777777" w:rsidR="005C68C4" w:rsidRDefault="005C68C4" w:rsidP="0069012B">
      <w:pPr>
        <w:pBdr>
          <w:top w:val="single" w:sz="4" w:space="1" w:color="auto"/>
          <w:left w:val="single" w:sz="4" w:space="4" w:color="auto"/>
          <w:bottom w:val="single" w:sz="4" w:space="1" w:color="auto"/>
          <w:right w:val="single" w:sz="4" w:space="4" w:color="auto"/>
        </w:pBdr>
        <w:spacing w:before="120" w:after="240" w:line="264" w:lineRule="auto"/>
        <w:jc w:val="both"/>
        <w:rPr>
          <w:rFonts w:ascii="Times New Roman" w:eastAsia="Times New Roman" w:hAnsi="Times New Roman" w:cs="Times New Roman"/>
        </w:rPr>
      </w:pPr>
      <w:r>
        <w:rPr>
          <w:rFonts w:ascii="Times New Roman" w:eastAsia="Times New Roman" w:hAnsi="Times New Roman" w:cs="Times New Roman"/>
        </w:rPr>
        <w:t xml:space="preserve">There are </w:t>
      </w:r>
      <w:r w:rsidR="001069CE">
        <w:rPr>
          <w:rFonts w:ascii="Times New Roman" w:eastAsia="Times New Roman" w:hAnsi="Times New Roman" w:cs="Times New Roman"/>
        </w:rPr>
        <w:t>5</w:t>
      </w:r>
      <w:r>
        <w:rPr>
          <w:rFonts w:ascii="Times New Roman" w:eastAsia="Times New Roman" w:hAnsi="Times New Roman" w:cs="Times New Roman"/>
        </w:rPr>
        <w:t xml:space="preserve"> categories: Man, Woman, Non-binary</w:t>
      </w:r>
      <w:r w:rsidR="001069CE">
        <w:rPr>
          <w:rFonts w:ascii="Times New Roman" w:eastAsia="Times New Roman" w:hAnsi="Times New Roman" w:cs="Times New Roman"/>
        </w:rPr>
        <w:t>, Prefer not to say</w:t>
      </w:r>
      <w:r>
        <w:rPr>
          <w:rFonts w:ascii="Times New Roman" w:eastAsia="Times New Roman" w:hAnsi="Times New Roman" w:cs="Times New Roman"/>
        </w:rPr>
        <w:t xml:space="preserve"> and No prevalence.</w:t>
      </w:r>
    </w:p>
    <w:p w14:paraId="58A78FE2" w14:textId="77777777" w:rsidR="005C68C4" w:rsidRPr="004C1614" w:rsidRDefault="005C68C4" w:rsidP="0069012B">
      <w:pPr>
        <w:pBdr>
          <w:top w:val="single" w:sz="4" w:space="1" w:color="auto"/>
          <w:left w:val="single" w:sz="4" w:space="4" w:color="auto"/>
          <w:bottom w:val="single" w:sz="4" w:space="1" w:color="auto"/>
          <w:right w:val="single" w:sz="4" w:space="4" w:color="auto"/>
        </w:pBdr>
        <w:spacing w:before="120" w:after="240" w:line="264" w:lineRule="auto"/>
        <w:jc w:val="both"/>
        <w:rPr>
          <w:rFonts w:ascii="Times New Roman" w:eastAsia="Times New Roman" w:hAnsi="Times New Roman" w:cs="Times New Roman"/>
        </w:rPr>
      </w:pPr>
      <w:r w:rsidRPr="004C1614">
        <w:rPr>
          <w:rFonts w:ascii="Times New Roman" w:eastAsia="Times New Roman" w:hAnsi="Times New Roman" w:cs="Times New Roman"/>
        </w:rPr>
        <w:t xml:space="preserve">A number of </w:t>
      </w:r>
      <w:r w:rsidR="00731331">
        <w:rPr>
          <w:rFonts w:ascii="Times New Roman" w:eastAsia="Times New Roman" w:hAnsi="Times New Roman" w:cs="Times New Roman"/>
        </w:rPr>
        <w:t>MS</w:t>
      </w:r>
      <w:r w:rsidRPr="004C1614">
        <w:rPr>
          <w:rFonts w:ascii="Times New Roman" w:eastAsia="Times New Roman" w:hAnsi="Times New Roman" w:cs="Times New Roman"/>
        </w:rPr>
        <w:t xml:space="preserve"> have legal provisions or practices recognising that individuals may not fall into man and woman categories. For these </w:t>
      </w:r>
      <w:r w:rsidR="00731331">
        <w:rPr>
          <w:rFonts w:ascii="Times New Roman" w:eastAsia="Times New Roman" w:hAnsi="Times New Roman" w:cs="Times New Roman"/>
        </w:rPr>
        <w:t>MS</w:t>
      </w:r>
      <w:r w:rsidRPr="004C1614">
        <w:rPr>
          <w:rFonts w:ascii="Times New Roman" w:eastAsia="Times New Roman" w:hAnsi="Times New Roman" w:cs="Times New Roman"/>
        </w:rPr>
        <w:t xml:space="preserve">, these </w:t>
      </w:r>
      <w:r w:rsidR="004C1614">
        <w:rPr>
          <w:rFonts w:ascii="Times New Roman" w:eastAsia="Times New Roman" w:hAnsi="Times New Roman" w:cs="Times New Roman"/>
        </w:rPr>
        <w:t>beneficiaries</w:t>
      </w:r>
      <w:r w:rsidRPr="004C1614">
        <w:rPr>
          <w:rFonts w:ascii="Times New Roman" w:eastAsia="Times New Roman" w:hAnsi="Times New Roman" w:cs="Times New Roman"/>
        </w:rPr>
        <w:t xml:space="preserve"> </w:t>
      </w:r>
      <w:r w:rsidR="007753EC">
        <w:rPr>
          <w:rFonts w:ascii="Times New Roman" w:eastAsia="Times New Roman" w:hAnsi="Times New Roman" w:cs="Times New Roman"/>
        </w:rPr>
        <w:t>should</w:t>
      </w:r>
      <w:r w:rsidRPr="004C1614">
        <w:rPr>
          <w:rFonts w:ascii="Times New Roman" w:eastAsia="Times New Roman" w:hAnsi="Times New Roman" w:cs="Times New Roman"/>
        </w:rPr>
        <w:t xml:space="preserve"> be recorded as “non-binary”.</w:t>
      </w:r>
    </w:p>
    <w:p w14:paraId="2F47BB6D" w14:textId="77777777" w:rsidR="003B01A9" w:rsidRDefault="003B01A9" w:rsidP="003B01A9">
      <w:pPr>
        <w:pBdr>
          <w:top w:val="single" w:sz="4" w:space="1" w:color="auto"/>
          <w:left w:val="single" w:sz="4" w:space="4" w:color="auto"/>
          <w:bottom w:val="single" w:sz="4" w:space="1" w:color="auto"/>
          <w:right w:val="single" w:sz="4" w:space="4" w:color="auto"/>
        </w:pBdr>
        <w:spacing w:before="120" w:after="0" w:line="264" w:lineRule="auto"/>
        <w:jc w:val="both"/>
        <w:rPr>
          <w:rFonts w:ascii="Times New Roman" w:eastAsia="Times New Roman" w:hAnsi="Times New Roman" w:cs="Times New Roman"/>
        </w:rPr>
      </w:pPr>
      <w:r>
        <w:rPr>
          <w:rFonts w:ascii="Times New Roman" w:eastAsia="Times New Roman" w:hAnsi="Times New Roman" w:cs="Times New Roman"/>
        </w:rPr>
        <w:t>‘Prefer not to say’</w:t>
      </w:r>
      <w:r w:rsidRPr="002B455B">
        <w:rPr>
          <w:rFonts w:ascii="Times New Roman" w:eastAsia="Times New Roman" w:hAnsi="Times New Roman" w:cs="Times New Roman"/>
        </w:rPr>
        <w:t xml:space="preserve"> applies for persons who may not wish to be associated with one gender.</w:t>
      </w:r>
    </w:p>
    <w:p w14:paraId="6DEE14C5" w14:textId="77777777" w:rsidR="005C68C4" w:rsidRDefault="004C1614" w:rsidP="0069012B">
      <w:pPr>
        <w:pBdr>
          <w:top w:val="single" w:sz="4" w:space="1" w:color="auto"/>
          <w:left w:val="single" w:sz="4" w:space="4" w:color="auto"/>
          <w:bottom w:val="single" w:sz="4" w:space="1" w:color="auto"/>
          <w:right w:val="single" w:sz="4" w:space="4" w:color="auto"/>
        </w:pBdr>
        <w:spacing w:before="120" w:after="240" w:line="264" w:lineRule="auto"/>
        <w:jc w:val="both"/>
        <w:rPr>
          <w:rFonts w:ascii="Times New Roman" w:eastAsia="Times New Roman" w:hAnsi="Times New Roman" w:cs="Times New Roman"/>
        </w:rPr>
      </w:pPr>
      <w:r w:rsidRPr="004C1614">
        <w:rPr>
          <w:rFonts w:ascii="Times New Roman" w:eastAsia="Times New Roman" w:hAnsi="Times New Roman" w:cs="Times New Roman"/>
        </w:rPr>
        <w:t xml:space="preserve">When the beneficiary of the CAP support is a group of natural persons, a legal person or a group of legal persons, the gender of the main manager of the farm is reported. </w:t>
      </w:r>
      <w:r w:rsidRPr="0069012B">
        <w:rPr>
          <w:rFonts w:ascii="Times New Roman" w:eastAsia="Times New Roman" w:hAnsi="Times New Roman" w:cs="Times New Roman"/>
        </w:rPr>
        <w:t>If there is no main manager, the gender is defined according to the majority of the farm managers.</w:t>
      </w:r>
      <w:r w:rsidR="0069012B">
        <w:rPr>
          <w:rFonts w:ascii="Times New Roman" w:eastAsia="Times New Roman" w:hAnsi="Times New Roman" w:cs="Times New Roman"/>
        </w:rPr>
        <w:t xml:space="preserve"> </w:t>
      </w:r>
      <w:r w:rsidRPr="0069012B">
        <w:rPr>
          <w:rFonts w:ascii="Times New Roman" w:eastAsia="Times New Roman" w:hAnsi="Times New Roman" w:cs="Times New Roman"/>
        </w:rPr>
        <w:t xml:space="preserve">In case of perfect gender balance, </w:t>
      </w:r>
      <w:r w:rsidR="0069012B">
        <w:rPr>
          <w:rFonts w:ascii="Times New Roman" w:eastAsia="Times New Roman" w:hAnsi="Times New Roman" w:cs="Times New Roman"/>
        </w:rPr>
        <w:t>the</w:t>
      </w:r>
      <w:r w:rsidRPr="0069012B">
        <w:rPr>
          <w:rFonts w:ascii="Times New Roman" w:eastAsia="Times New Roman" w:hAnsi="Times New Roman" w:cs="Times New Roman"/>
        </w:rPr>
        <w:t xml:space="preserve"> fo</w:t>
      </w:r>
      <w:r w:rsidR="0069012B">
        <w:rPr>
          <w:rFonts w:ascii="Times New Roman" w:eastAsia="Times New Roman" w:hAnsi="Times New Roman" w:cs="Times New Roman"/>
        </w:rPr>
        <w:t>urth category: « No prevalence » is used.</w:t>
      </w:r>
    </w:p>
    <w:p w14:paraId="619FB10A" w14:textId="77777777" w:rsidR="001069CE" w:rsidRDefault="001069CE" w:rsidP="0069012B">
      <w:pPr>
        <w:pBdr>
          <w:top w:val="single" w:sz="4" w:space="1" w:color="auto"/>
          <w:left w:val="single" w:sz="4" w:space="4" w:color="auto"/>
          <w:bottom w:val="single" w:sz="4" w:space="1" w:color="auto"/>
          <w:right w:val="single" w:sz="4" w:space="4" w:color="auto"/>
        </w:pBdr>
        <w:spacing w:before="120" w:after="240" w:line="264" w:lineRule="auto"/>
        <w:jc w:val="both"/>
        <w:rPr>
          <w:rFonts w:ascii="Times New Roman" w:eastAsia="Times New Roman" w:hAnsi="Times New Roman" w:cs="Times New Roman"/>
        </w:rPr>
      </w:pPr>
      <w:r>
        <w:rPr>
          <w:rFonts w:ascii="Times New Roman" w:eastAsia="Times New Roman" w:hAnsi="Times New Roman" w:cs="Times New Roman"/>
        </w:rPr>
        <w:t>When the beneficiary of the CAP support is a public or private organisation, such as a</w:t>
      </w:r>
      <w:r w:rsidR="003B01A9">
        <w:rPr>
          <w:rFonts w:ascii="Times New Roman" w:eastAsia="Times New Roman" w:hAnsi="Times New Roman" w:cs="Times New Roman"/>
        </w:rPr>
        <w:t>n agricultural</w:t>
      </w:r>
      <w:r>
        <w:rPr>
          <w:rFonts w:ascii="Times New Roman" w:eastAsia="Times New Roman" w:hAnsi="Times New Roman" w:cs="Times New Roman"/>
        </w:rPr>
        <w:t xml:space="preserve"> school</w:t>
      </w:r>
      <w:r w:rsidR="003B01A9">
        <w:rPr>
          <w:rFonts w:ascii="Times New Roman" w:eastAsia="Times New Roman" w:hAnsi="Times New Roman" w:cs="Times New Roman"/>
        </w:rPr>
        <w:t>,</w:t>
      </w:r>
      <w:r>
        <w:rPr>
          <w:rFonts w:ascii="Times New Roman" w:eastAsia="Times New Roman" w:hAnsi="Times New Roman" w:cs="Times New Roman"/>
        </w:rPr>
        <w:t xml:space="preserve"> </w:t>
      </w:r>
      <w:r w:rsidR="002B455B">
        <w:rPr>
          <w:rFonts w:ascii="Times New Roman" w:eastAsia="Times New Roman" w:hAnsi="Times New Roman" w:cs="Times New Roman"/>
        </w:rPr>
        <w:t xml:space="preserve">MS can either report </w:t>
      </w:r>
      <w:r w:rsidR="002B455B" w:rsidRPr="002B455B">
        <w:rPr>
          <w:rFonts w:ascii="Times New Roman" w:eastAsia="Times New Roman" w:hAnsi="Times New Roman" w:cs="Times New Roman"/>
        </w:rPr>
        <w:t xml:space="preserve">the gender of the </w:t>
      </w:r>
      <w:r w:rsidR="003B01A9">
        <w:rPr>
          <w:rFonts w:ascii="Times New Roman" w:eastAsia="Times New Roman" w:hAnsi="Times New Roman" w:cs="Times New Roman"/>
        </w:rPr>
        <w:t>person taking the decisions for the farming activity</w:t>
      </w:r>
      <w:r w:rsidR="002B455B">
        <w:rPr>
          <w:rFonts w:ascii="Times New Roman" w:eastAsia="Times New Roman" w:hAnsi="Times New Roman" w:cs="Times New Roman"/>
        </w:rPr>
        <w:t>,</w:t>
      </w:r>
      <w:r w:rsidR="002B455B" w:rsidRPr="002B455B">
        <w:rPr>
          <w:rFonts w:ascii="Times New Roman" w:eastAsia="Times New Roman" w:hAnsi="Times New Roman" w:cs="Times New Roman"/>
        </w:rPr>
        <w:t xml:space="preserve"> </w:t>
      </w:r>
      <w:r w:rsidR="002B455B">
        <w:rPr>
          <w:rFonts w:ascii="Times New Roman" w:eastAsia="Times New Roman" w:hAnsi="Times New Roman" w:cs="Times New Roman"/>
        </w:rPr>
        <w:t xml:space="preserve">or select the </w:t>
      </w:r>
      <w:r w:rsidR="003B01A9">
        <w:rPr>
          <w:rFonts w:ascii="Times New Roman" w:eastAsia="Times New Roman" w:hAnsi="Times New Roman" w:cs="Times New Roman"/>
        </w:rPr>
        <w:t>category</w:t>
      </w:r>
      <w:r w:rsidR="002B455B">
        <w:rPr>
          <w:rFonts w:ascii="Times New Roman" w:eastAsia="Times New Roman" w:hAnsi="Times New Roman" w:cs="Times New Roman"/>
        </w:rPr>
        <w:t xml:space="preserve"> ‘</w:t>
      </w:r>
      <w:r w:rsidR="003B01A9">
        <w:rPr>
          <w:rFonts w:ascii="Times New Roman" w:eastAsia="Times New Roman" w:hAnsi="Times New Roman" w:cs="Times New Roman"/>
        </w:rPr>
        <w:t>N</w:t>
      </w:r>
      <w:r w:rsidR="003B01A9" w:rsidRPr="003B01A9">
        <w:rPr>
          <w:rFonts w:ascii="Times New Roman" w:eastAsia="Times New Roman" w:hAnsi="Times New Roman" w:cs="Times New Roman"/>
        </w:rPr>
        <w:t>o prevalence</w:t>
      </w:r>
      <w:r w:rsidR="002B455B">
        <w:rPr>
          <w:rFonts w:ascii="Times New Roman" w:eastAsia="Times New Roman" w:hAnsi="Times New Roman" w:cs="Times New Roman"/>
        </w:rPr>
        <w:t xml:space="preserve">’. </w:t>
      </w:r>
    </w:p>
    <w:p w14:paraId="4657C6FE" w14:textId="6ABEEC8F" w:rsidR="002B455B" w:rsidRPr="0069012B" w:rsidRDefault="0081365E" w:rsidP="002B455B">
      <w:pPr>
        <w:pBdr>
          <w:top w:val="single" w:sz="4" w:space="1" w:color="auto"/>
          <w:left w:val="single" w:sz="4" w:space="4" w:color="auto"/>
          <w:bottom w:val="single" w:sz="4" w:space="1" w:color="auto"/>
          <w:right w:val="single" w:sz="4" w:space="4" w:color="auto"/>
        </w:pBdr>
        <w:spacing w:before="120" w:after="0" w:line="264" w:lineRule="auto"/>
        <w:jc w:val="both"/>
        <w:rPr>
          <w:rFonts w:ascii="Times New Roman" w:eastAsia="Times New Roman" w:hAnsi="Times New Roman" w:cs="Times New Roman"/>
        </w:rPr>
      </w:pPr>
      <w:r w:rsidRPr="0081365E">
        <w:rPr>
          <w:rFonts w:ascii="Times New Roman" w:eastAsia="Times New Roman" w:hAnsi="Times New Roman" w:cs="Times New Roman"/>
        </w:rPr>
        <w:t xml:space="preserve">On a voluntary basis, </w:t>
      </w:r>
      <w:r w:rsidR="00F23FDA">
        <w:rPr>
          <w:rFonts w:ascii="Times New Roman" w:eastAsia="Times New Roman" w:hAnsi="Times New Roman" w:cs="Times New Roman"/>
        </w:rPr>
        <w:t>MS</w:t>
      </w:r>
      <w:r w:rsidRPr="0081365E">
        <w:rPr>
          <w:rFonts w:ascii="Times New Roman" w:eastAsia="Times New Roman" w:hAnsi="Times New Roman" w:cs="Times New Roman"/>
        </w:rPr>
        <w:t xml:space="preserve"> can also provide the </w:t>
      </w:r>
      <w:r>
        <w:rPr>
          <w:rFonts w:ascii="Times New Roman" w:eastAsia="Times New Roman" w:hAnsi="Times New Roman" w:cs="Times New Roman"/>
        </w:rPr>
        <w:t>share of</w:t>
      </w:r>
      <w:r w:rsidRPr="0081365E">
        <w:rPr>
          <w:rFonts w:ascii="Times New Roman" w:eastAsia="Times New Roman" w:hAnsi="Times New Roman" w:cs="Times New Roman"/>
        </w:rPr>
        <w:t xml:space="preserve"> farmers</w:t>
      </w:r>
      <w:r>
        <w:rPr>
          <w:rFonts w:ascii="Times New Roman" w:eastAsia="Times New Roman" w:hAnsi="Times New Roman" w:cs="Times New Roman"/>
        </w:rPr>
        <w:t xml:space="preserve"> that</w:t>
      </w:r>
      <w:r w:rsidRPr="0081365E">
        <w:rPr>
          <w:rFonts w:ascii="Times New Roman" w:eastAsia="Times New Roman" w:hAnsi="Times New Roman" w:cs="Times New Roman"/>
        </w:rPr>
        <w:t xml:space="preserve"> </w:t>
      </w:r>
      <w:r>
        <w:rPr>
          <w:rFonts w:ascii="Times New Roman" w:eastAsia="Times New Roman" w:hAnsi="Times New Roman" w:cs="Times New Roman"/>
        </w:rPr>
        <w:t>directly receive</w:t>
      </w:r>
      <w:r w:rsidRPr="0081365E">
        <w:rPr>
          <w:rFonts w:ascii="Times New Roman" w:eastAsia="Times New Roman" w:hAnsi="Times New Roman" w:cs="Times New Roman"/>
        </w:rPr>
        <w:t xml:space="preserve"> </w:t>
      </w:r>
      <w:r>
        <w:rPr>
          <w:rFonts w:ascii="Times New Roman" w:eastAsia="Times New Roman" w:hAnsi="Times New Roman" w:cs="Times New Roman"/>
        </w:rPr>
        <w:t>CAP</w:t>
      </w:r>
      <w:r w:rsidRPr="0081365E">
        <w:rPr>
          <w:rFonts w:ascii="Times New Roman" w:eastAsia="Times New Roman" w:hAnsi="Times New Roman" w:cs="Times New Roman"/>
        </w:rPr>
        <w:t xml:space="preserve"> support</w:t>
      </w:r>
      <w:r>
        <w:rPr>
          <w:rFonts w:ascii="Times New Roman" w:eastAsia="Times New Roman" w:hAnsi="Times New Roman" w:cs="Times New Roman"/>
        </w:rPr>
        <w:t xml:space="preserve"> and exercise management responsibilities by gender (i.e. man, woman, </w:t>
      </w:r>
      <w:r w:rsidR="00DD5AF8">
        <w:rPr>
          <w:rFonts w:ascii="Times New Roman" w:eastAsia="Times New Roman" w:hAnsi="Times New Roman" w:cs="Times New Roman"/>
        </w:rPr>
        <w:t xml:space="preserve">prefer not to say, </w:t>
      </w:r>
      <w:r>
        <w:rPr>
          <w:rFonts w:ascii="Times New Roman" w:eastAsia="Times New Roman" w:hAnsi="Times New Roman" w:cs="Times New Roman"/>
        </w:rPr>
        <w:t>non-binary person)</w:t>
      </w:r>
      <w:r w:rsidR="00C30C44">
        <w:rPr>
          <w:rFonts w:ascii="Times New Roman" w:eastAsia="Times New Roman" w:hAnsi="Times New Roman" w:cs="Times New Roman"/>
        </w:rPr>
        <w:t>.</w:t>
      </w:r>
    </w:p>
    <w:p w14:paraId="3079C981" w14:textId="41D94390" w:rsidR="00203454" w:rsidRPr="006F2CA5" w:rsidRDefault="00206FCD" w:rsidP="002B455B">
      <w:pPr>
        <w:spacing w:before="240" w:after="240" w:line="264" w:lineRule="auto"/>
        <w:jc w:val="both"/>
        <w:rPr>
          <w:rFonts w:ascii="Times New Roman" w:eastAsia="Times New Roman" w:hAnsi="Times New Roman" w:cs="Times New Roman"/>
        </w:rPr>
      </w:pPr>
      <w:r>
        <w:rPr>
          <w:rFonts w:ascii="Times New Roman" w:eastAsia="Times New Roman" w:hAnsi="Times New Roman" w:cs="Times New Roman"/>
        </w:rPr>
        <w:lastRenderedPageBreak/>
        <w:t>The</w:t>
      </w:r>
      <w:r w:rsidR="00D45F99" w:rsidRPr="006F2CA5">
        <w:rPr>
          <w:rFonts w:ascii="Times New Roman" w:eastAsia="Times New Roman" w:hAnsi="Times New Roman" w:cs="Times New Roman"/>
        </w:rPr>
        <w:t xml:space="preserve"> </w:t>
      </w:r>
      <w:r w:rsidR="00B00F19" w:rsidRPr="00206FCD">
        <w:rPr>
          <w:rFonts w:ascii="Times New Roman" w:eastAsia="Times New Roman" w:hAnsi="Times New Roman" w:cs="Times New Roman"/>
          <w:b/>
        </w:rPr>
        <w:t>output indicator O.34</w:t>
      </w:r>
      <w:r>
        <w:rPr>
          <w:rFonts w:ascii="Times New Roman" w:eastAsia="Times New Roman" w:hAnsi="Times New Roman" w:cs="Times New Roman"/>
          <w:b/>
        </w:rPr>
        <w:t xml:space="preserve"> </w:t>
      </w:r>
      <w:r w:rsidRPr="00B15AFE">
        <w:rPr>
          <w:rFonts w:ascii="Times New Roman" w:eastAsia="Times New Roman" w:hAnsi="Times New Roman" w:cs="Times New Roman"/>
        </w:rPr>
        <w:t>provides</w:t>
      </w:r>
      <w:r w:rsidR="00B15AFE" w:rsidRPr="00B15AFE">
        <w:rPr>
          <w:rFonts w:ascii="Times New Roman" w:eastAsia="Times New Roman" w:hAnsi="Times New Roman" w:cs="Times New Roman"/>
        </w:rPr>
        <w:t xml:space="preserve"> the </w:t>
      </w:r>
      <w:r w:rsidR="00B15AFE">
        <w:rPr>
          <w:rFonts w:ascii="Times New Roman" w:eastAsia="Times New Roman" w:hAnsi="Times New Roman" w:cs="Times New Roman"/>
        </w:rPr>
        <w:t xml:space="preserve">total </w:t>
      </w:r>
      <w:r w:rsidR="00B15AFE" w:rsidRPr="00B15AFE">
        <w:rPr>
          <w:rFonts w:ascii="Times New Roman" w:eastAsia="Times New Roman" w:hAnsi="Times New Roman" w:cs="Times New Roman"/>
        </w:rPr>
        <w:t xml:space="preserve">area covered with practices beneficial for </w:t>
      </w:r>
      <w:r w:rsidR="00B15AFE">
        <w:rPr>
          <w:rFonts w:ascii="Times New Roman" w:eastAsia="Times New Roman" w:hAnsi="Times New Roman" w:cs="Times New Roman"/>
        </w:rPr>
        <w:t xml:space="preserve">the </w:t>
      </w:r>
      <w:r w:rsidR="00B15AFE" w:rsidRPr="00B15AFE">
        <w:rPr>
          <w:rFonts w:ascii="Times New Roman" w:eastAsia="Times New Roman" w:hAnsi="Times New Roman" w:cs="Times New Roman"/>
        </w:rPr>
        <w:t>environment and climate thanks to CAP support</w:t>
      </w:r>
      <w:r w:rsidR="00B15AFE">
        <w:rPr>
          <w:rFonts w:ascii="Times New Roman" w:eastAsia="Times New Roman" w:hAnsi="Times New Roman" w:cs="Times New Roman"/>
        </w:rPr>
        <w:t xml:space="preserve"> without double counting, broken down between agricultural and forestry </w:t>
      </w:r>
      <w:r w:rsidR="00463F3D">
        <w:rPr>
          <w:rFonts w:ascii="Times New Roman" w:eastAsia="Times New Roman" w:hAnsi="Times New Roman" w:cs="Times New Roman"/>
        </w:rPr>
        <w:t>land</w:t>
      </w:r>
      <w:r w:rsidR="00B15AFE" w:rsidRPr="00B15AFE">
        <w:rPr>
          <w:rFonts w:ascii="Times New Roman" w:eastAsia="Times New Roman" w:hAnsi="Times New Roman" w:cs="Times New Roman"/>
        </w:rPr>
        <w:t xml:space="preserve">. </w:t>
      </w:r>
      <w:r w:rsidR="00B15AFE">
        <w:rPr>
          <w:rFonts w:ascii="Times New Roman" w:eastAsia="Times New Roman" w:hAnsi="Times New Roman" w:cs="Times New Roman"/>
        </w:rPr>
        <w:t>For agricultural land, t</w:t>
      </w:r>
      <w:r w:rsidR="00A67AEA" w:rsidRPr="006F2CA5">
        <w:rPr>
          <w:rFonts w:ascii="Times New Roman" w:eastAsia="Times New Roman" w:hAnsi="Times New Roman" w:cs="Times New Roman"/>
        </w:rPr>
        <w:t xml:space="preserve">he following </w:t>
      </w:r>
      <w:r w:rsidR="00A72FBA" w:rsidRPr="006F2CA5">
        <w:rPr>
          <w:rFonts w:ascii="Times New Roman" w:eastAsia="Times New Roman" w:hAnsi="Times New Roman" w:cs="Times New Roman"/>
        </w:rPr>
        <w:t>values</w:t>
      </w:r>
      <w:r w:rsidR="00A67AEA" w:rsidRPr="006F2CA5">
        <w:rPr>
          <w:rFonts w:ascii="Times New Roman" w:eastAsia="Times New Roman" w:hAnsi="Times New Roman" w:cs="Times New Roman"/>
        </w:rPr>
        <w:t xml:space="preserve"> should be provided:</w:t>
      </w:r>
    </w:p>
    <w:p w14:paraId="4B341B6D" w14:textId="77777777" w:rsidR="00203454" w:rsidRPr="006F2CA5" w:rsidRDefault="00203454" w:rsidP="005C5386">
      <w:pPr>
        <w:numPr>
          <w:ilvl w:val="0"/>
          <w:numId w:val="3"/>
        </w:numPr>
        <w:spacing w:before="120" w:after="240" w:line="264" w:lineRule="auto"/>
        <w:ind w:left="851" w:hanging="284"/>
        <w:jc w:val="both"/>
        <w:rPr>
          <w:rFonts w:ascii="Times New Roman" w:eastAsia="Times New Roman" w:hAnsi="Times New Roman" w:cs="Times New Roman"/>
        </w:rPr>
      </w:pPr>
      <w:r w:rsidRPr="006F2CA5">
        <w:rPr>
          <w:rFonts w:ascii="Times New Roman" w:eastAsia="Times New Roman" w:hAnsi="Times New Roman" w:cs="Times New Roman"/>
        </w:rPr>
        <w:t>the total number of hectares receiving CAP support covered by the relevant statutory management requirements (</w:t>
      </w:r>
      <w:r w:rsidRPr="00114259">
        <w:rPr>
          <w:rFonts w:ascii="Times New Roman" w:eastAsia="Times New Roman" w:hAnsi="Times New Roman" w:cs="Times New Roman"/>
          <w:b/>
        </w:rPr>
        <w:t>SMR</w:t>
      </w:r>
      <w:r w:rsidRPr="006F2CA5">
        <w:rPr>
          <w:rFonts w:ascii="Times New Roman" w:eastAsia="Times New Roman" w:hAnsi="Times New Roman" w:cs="Times New Roman"/>
        </w:rPr>
        <w:t>), good agricultural and environmental conditions (</w:t>
      </w:r>
      <w:r w:rsidRPr="00114259">
        <w:rPr>
          <w:rFonts w:ascii="Times New Roman" w:eastAsia="Times New Roman" w:hAnsi="Times New Roman" w:cs="Times New Roman"/>
          <w:b/>
        </w:rPr>
        <w:t>GAEC</w:t>
      </w:r>
      <w:r w:rsidRPr="006F2CA5">
        <w:rPr>
          <w:rFonts w:ascii="Times New Roman" w:eastAsia="Times New Roman" w:hAnsi="Times New Roman" w:cs="Times New Roman"/>
        </w:rPr>
        <w:t xml:space="preserve">) and under </w:t>
      </w:r>
      <w:r w:rsidR="00206FCD" w:rsidRPr="005808C3">
        <w:rPr>
          <w:rFonts w:ascii="Times New Roman" w:eastAsia="Times New Roman" w:hAnsi="Times New Roman" w:cs="Times New Roman"/>
          <w:b/>
        </w:rPr>
        <w:t xml:space="preserve">voluntary </w:t>
      </w:r>
      <w:r w:rsidRPr="005808C3">
        <w:rPr>
          <w:rFonts w:ascii="Times New Roman" w:eastAsia="Times New Roman" w:hAnsi="Times New Roman" w:cs="Times New Roman"/>
          <w:b/>
        </w:rPr>
        <w:t>environmental practices</w:t>
      </w:r>
      <w:r w:rsidRPr="006F2CA5">
        <w:rPr>
          <w:rFonts w:ascii="Times New Roman" w:eastAsia="Times New Roman" w:hAnsi="Times New Roman" w:cs="Times New Roman"/>
        </w:rPr>
        <w:t xml:space="preserve"> </w:t>
      </w:r>
      <w:r w:rsidR="00206FCD">
        <w:rPr>
          <w:rFonts w:ascii="Times New Roman" w:eastAsia="Times New Roman" w:hAnsi="Times New Roman" w:cs="Times New Roman"/>
        </w:rPr>
        <w:t xml:space="preserve">under eco-scheme, agri-environment-climate commitments and relevant sectoral </w:t>
      </w:r>
      <w:r w:rsidR="00B15AFE">
        <w:rPr>
          <w:rFonts w:ascii="Times New Roman" w:eastAsia="Times New Roman" w:hAnsi="Times New Roman" w:cs="Times New Roman"/>
        </w:rPr>
        <w:t>interventions</w:t>
      </w:r>
      <w:r w:rsidR="00206FCD">
        <w:rPr>
          <w:rFonts w:ascii="Times New Roman" w:eastAsia="Times New Roman" w:hAnsi="Times New Roman" w:cs="Times New Roman"/>
        </w:rPr>
        <w:t xml:space="preserve">. This total excludes the </w:t>
      </w:r>
      <w:r w:rsidR="00206FCD" w:rsidRPr="006F2CA5">
        <w:rPr>
          <w:rFonts w:ascii="Times New Roman" w:eastAsia="Times New Roman" w:hAnsi="Times New Roman" w:cs="Times New Roman"/>
        </w:rPr>
        <w:t xml:space="preserve">interventions </w:t>
      </w:r>
      <w:r w:rsidR="005808C3">
        <w:rPr>
          <w:rFonts w:ascii="Times New Roman" w:eastAsia="Times New Roman" w:hAnsi="Times New Roman" w:cs="Times New Roman"/>
        </w:rPr>
        <w:t xml:space="preserve">that are </w:t>
      </w:r>
      <w:r w:rsidR="00206FCD" w:rsidRPr="006F2CA5">
        <w:rPr>
          <w:rFonts w:ascii="Times New Roman" w:eastAsia="Times New Roman" w:hAnsi="Times New Roman" w:cs="Times New Roman"/>
        </w:rPr>
        <w:t>planned in units</w:t>
      </w:r>
      <w:r w:rsidR="00206FCD">
        <w:rPr>
          <w:rFonts w:ascii="Times New Roman" w:eastAsia="Times New Roman" w:hAnsi="Times New Roman" w:cs="Times New Roman"/>
        </w:rPr>
        <w:t xml:space="preserve"> </w:t>
      </w:r>
      <w:r w:rsidR="005808C3" w:rsidRPr="006F2CA5">
        <w:rPr>
          <w:rFonts w:ascii="Times New Roman" w:eastAsia="Times New Roman" w:hAnsi="Times New Roman" w:cs="Times New Roman"/>
        </w:rPr>
        <w:t>other</w:t>
      </w:r>
      <w:r w:rsidR="005808C3">
        <w:rPr>
          <w:rFonts w:ascii="Times New Roman" w:eastAsia="Times New Roman" w:hAnsi="Times New Roman" w:cs="Times New Roman"/>
        </w:rPr>
        <w:t xml:space="preserve"> </w:t>
      </w:r>
      <w:r w:rsidR="00206FCD">
        <w:rPr>
          <w:rFonts w:ascii="Times New Roman" w:eastAsia="Times New Roman" w:hAnsi="Times New Roman" w:cs="Times New Roman"/>
        </w:rPr>
        <w:t>than hectares when collecting the number of hectares is not feasible or not relevant</w:t>
      </w:r>
      <w:r w:rsidRPr="006F2CA5">
        <w:rPr>
          <w:rFonts w:ascii="Times New Roman" w:eastAsia="Times New Roman" w:hAnsi="Times New Roman" w:cs="Times New Roman"/>
        </w:rPr>
        <w:t>;</w:t>
      </w:r>
    </w:p>
    <w:p w14:paraId="290CFBF7" w14:textId="77777777" w:rsidR="00203454" w:rsidRPr="006F2CA5" w:rsidRDefault="00203454" w:rsidP="005C5386">
      <w:pPr>
        <w:numPr>
          <w:ilvl w:val="0"/>
          <w:numId w:val="3"/>
        </w:numPr>
        <w:spacing w:before="120" w:after="240" w:line="264" w:lineRule="auto"/>
        <w:ind w:left="851" w:hanging="284"/>
        <w:jc w:val="both"/>
        <w:rPr>
          <w:rFonts w:ascii="Times New Roman" w:eastAsia="Times New Roman" w:hAnsi="Times New Roman" w:cs="Times New Roman"/>
        </w:rPr>
      </w:pPr>
      <w:r w:rsidRPr="006F2CA5">
        <w:rPr>
          <w:rFonts w:ascii="Times New Roman" w:eastAsia="Times New Roman" w:hAnsi="Times New Roman" w:cs="Times New Roman"/>
        </w:rPr>
        <w:t xml:space="preserve">the total number of hectares </w:t>
      </w:r>
      <w:r w:rsidR="007D093E">
        <w:rPr>
          <w:rFonts w:ascii="Times New Roman" w:eastAsia="Times New Roman" w:hAnsi="Times New Roman" w:cs="Times New Roman"/>
        </w:rPr>
        <w:t xml:space="preserve">that are only </w:t>
      </w:r>
      <w:r w:rsidRPr="006F2CA5">
        <w:rPr>
          <w:rFonts w:ascii="Times New Roman" w:eastAsia="Times New Roman" w:hAnsi="Times New Roman" w:cs="Times New Roman"/>
        </w:rPr>
        <w:t xml:space="preserve">under </w:t>
      </w:r>
      <w:r w:rsidR="00206FCD" w:rsidRPr="005808C3">
        <w:rPr>
          <w:rFonts w:ascii="Times New Roman" w:eastAsia="Times New Roman" w:hAnsi="Times New Roman" w:cs="Times New Roman"/>
          <w:b/>
        </w:rPr>
        <w:t xml:space="preserve">voluntary </w:t>
      </w:r>
      <w:r w:rsidRPr="005808C3">
        <w:rPr>
          <w:rFonts w:ascii="Times New Roman" w:eastAsia="Times New Roman" w:hAnsi="Times New Roman" w:cs="Times New Roman"/>
          <w:b/>
        </w:rPr>
        <w:t>environmental practices</w:t>
      </w:r>
      <w:r w:rsidRPr="006F2CA5">
        <w:rPr>
          <w:rFonts w:ascii="Times New Roman" w:eastAsia="Times New Roman" w:hAnsi="Times New Roman" w:cs="Times New Roman"/>
        </w:rPr>
        <w:t xml:space="preserve">, </w:t>
      </w:r>
      <w:r w:rsidR="00206FCD">
        <w:rPr>
          <w:rFonts w:ascii="Times New Roman" w:eastAsia="Times New Roman" w:hAnsi="Times New Roman" w:cs="Times New Roman"/>
        </w:rPr>
        <w:t>excluding</w:t>
      </w:r>
      <w:r w:rsidRPr="006F2CA5">
        <w:rPr>
          <w:rFonts w:ascii="Times New Roman" w:eastAsia="Times New Roman" w:hAnsi="Times New Roman" w:cs="Times New Roman"/>
        </w:rPr>
        <w:t xml:space="preserve"> inter</w:t>
      </w:r>
      <w:r w:rsidR="00AB0717" w:rsidRPr="006F2CA5">
        <w:rPr>
          <w:rFonts w:ascii="Times New Roman" w:eastAsia="Times New Roman" w:hAnsi="Times New Roman" w:cs="Times New Roman"/>
        </w:rPr>
        <w:t xml:space="preserve">ventions </w:t>
      </w:r>
      <w:r w:rsidR="005808C3">
        <w:rPr>
          <w:rFonts w:ascii="Times New Roman" w:eastAsia="Times New Roman" w:hAnsi="Times New Roman" w:cs="Times New Roman"/>
        </w:rPr>
        <w:t xml:space="preserve">that are </w:t>
      </w:r>
      <w:r w:rsidR="00AB0717" w:rsidRPr="006F2CA5">
        <w:rPr>
          <w:rFonts w:ascii="Times New Roman" w:eastAsia="Times New Roman" w:hAnsi="Times New Roman" w:cs="Times New Roman"/>
        </w:rPr>
        <w:t>planned in units</w:t>
      </w:r>
      <w:r w:rsidR="00206FCD">
        <w:rPr>
          <w:rFonts w:ascii="Times New Roman" w:eastAsia="Times New Roman" w:hAnsi="Times New Roman" w:cs="Times New Roman"/>
        </w:rPr>
        <w:t xml:space="preserve"> </w:t>
      </w:r>
      <w:r w:rsidR="005808C3" w:rsidRPr="006F2CA5">
        <w:rPr>
          <w:rFonts w:ascii="Times New Roman" w:eastAsia="Times New Roman" w:hAnsi="Times New Roman" w:cs="Times New Roman"/>
        </w:rPr>
        <w:t>other</w:t>
      </w:r>
      <w:r w:rsidR="005808C3">
        <w:rPr>
          <w:rFonts w:ascii="Times New Roman" w:eastAsia="Times New Roman" w:hAnsi="Times New Roman" w:cs="Times New Roman"/>
        </w:rPr>
        <w:t xml:space="preserve"> </w:t>
      </w:r>
      <w:r w:rsidR="00206FCD">
        <w:rPr>
          <w:rFonts w:ascii="Times New Roman" w:eastAsia="Times New Roman" w:hAnsi="Times New Roman" w:cs="Times New Roman"/>
        </w:rPr>
        <w:t>than hectares when collecting the number of hectares is not feasible or not relevant</w:t>
      </w:r>
      <w:r w:rsidR="00AB0717" w:rsidRPr="006F2CA5">
        <w:rPr>
          <w:rFonts w:ascii="Times New Roman" w:eastAsia="Times New Roman" w:hAnsi="Times New Roman" w:cs="Times New Roman"/>
        </w:rPr>
        <w:t>.</w:t>
      </w:r>
    </w:p>
    <w:p w14:paraId="722B04A0" w14:textId="65FDFC99" w:rsidR="007F3E8C" w:rsidRPr="006F2CA5" w:rsidRDefault="00B00F19" w:rsidP="00A82615">
      <w:pPr>
        <w:pStyle w:val="Heading3"/>
        <w:spacing w:before="120" w:after="240" w:line="264" w:lineRule="auto"/>
        <w:rPr>
          <w:rFonts w:ascii="Times New Roman" w:eastAsia="Times New Roman" w:hAnsi="Times New Roman" w:cs="Times New Roman"/>
          <w:color w:val="C45911" w:themeColor="accent2" w:themeShade="BF"/>
          <w:lang w:eastAsia="en-GB"/>
        </w:rPr>
      </w:pPr>
      <w:bookmarkStart w:id="20" w:name="_Toc89902376"/>
      <w:bookmarkStart w:id="21" w:name="_Toc126762211"/>
      <w:r w:rsidRPr="006F2CA5">
        <w:rPr>
          <w:rFonts w:ascii="Times New Roman" w:eastAsia="Times New Roman" w:hAnsi="Times New Roman" w:cs="Times New Roman"/>
          <w:color w:val="C45911" w:themeColor="accent2" w:themeShade="BF"/>
          <w:lang w:eastAsia="en-GB"/>
        </w:rPr>
        <w:t>Calculation methods</w:t>
      </w:r>
      <w:bookmarkEnd w:id="20"/>
      <w:r w:rsidRPr="006F2CA5">
        <w:rPr>
          <w:rFonts w:ascii="Times New Roman" w:eastAsia="Times New Roman" w:hAnsi="Times New Roman" w:cs="Times New Roman"/>
          <w:color w:val="C45911" w:themeColor="accent2" w:themeShade="BF"/>
          <w:lang w:eastAsia="en-GB"/>
        </w:rPr>
        <w:t xml:space="preserve"> </w:t>
      </w:r>
      <w:r w:rsidR="00F32718" w:rsidRPr="006F2CA5">
        <w:rPr>
          <w:rFonts w:ascii="Times New Roman" w:eastAsia="Times New Roman" w:hAnsi="Times New Roman" w:cs="Times New Roman"/>
          <w:color w:val="C45911" w:themeColor="accent2" w:themeShade="BF"/>
          <w:lang w:eastAsia="en-GB"/>
        </w:rPr>
        <w:t>of aggregate values</w:t>
      </w:r>
      <w:r w:rsidR="004314B1">
        <w:rPr>
          <w:rFonts w:ascii="Times New Roman" w:eastAsia="Times New Roman" w:hAnsi="Times New Roman" w:cs="Times New Roman"/>
          <w:color w:val="C45911" w:themeColor="accent2" w:themeShade="BF"/>
          <w:lang w:eastAsia="en-GB"/>
        </w:rPr>
        <w:t>,</w:t>
      </w:r>
      <w:r w:rsidR="00F32718" w:rsidRPr="006F2CA5">
        <w:rPr>
          <w:rFonts w:ascii="Times New Roman" w:eastAsia="Times New Roman" w:hAnsi="Times New Roman" w:cs="Times New Roman"/>
          <w:color w:val="C45911" w:themeColor="accent2" w:themeShade="BF"/>
          <w:lang w:eastAsia="en-GB"/>
        </w:rPr>
        <w:t xml:space="preserve"> and values for O.3 and O.34</w:t>
      </w:r>
      <w:bookmarkEnd w:id="21"/>
    </w:p>
    <w:p w14:paraId="295648FB" w14:textId="77777777" w:rsidR="00DC1732" w:rsidRDefault="00B15AFE" w:rsidP="00A82615">
      <w:pPr>
        <w:spacing w:before="120" w:after="240" w:line="264" w:lineRule="auto"/>
        <w:jc w:val="both"/>
        <w:rPr>
          <w:rFonts w:ascii="Times New Roman" w:hAnsi="Times New Roman" w:cs="Times New Roman"/>
        </w:rPr>
      </w:pPr>
      <w:r>
        <w:rPr>
          <w:rFonts w:ascii="Times New Roman" w:hAnsi="Times New Roman" w:cs="Times New Roman"/>
        </w:rPr>
        <w:t xml:space="preserve">For </w:t>
      </w:r>
      <w:r w:rsidRPr="001C0262">
        <w:rPr>
          <w:rFonts w:ascii="Times New Roman" w:hAnsi="Times New Roman" w:cs="Times New Roman"/>
          <w:b/>
        </w:rPr>
        <w:t>IACS interventions</w:t>
      </w:r>
      <w:r w:rsidR="00D43717" w:rsidRPr="006F2CA5">
        <w:rPr>
          <w:rFonts w:ascii="Times New Roman" w:hAnsi="Times New Roman" w:cs="Times New Roman"/>
        </w:rPr>
        <w:t xml:space="preserve">, when calculating </w:t>
      </w:r>
      <w:r w:rsidR="00871CB9" w:rsidRPr="006F2CA5">
        <w:rPr>
          <w:rFonts w:ascii="Times New Roman" w:hAnsi="Times New Roman" w:cs="Times New Roman"/>
        </w:rPr>
        <w:t>aggregated values</w:t>
      </w:r>
      <w:r w:rsidR="00206FCD">
        <w:rPr>
          <w:rFonts w:ascii="Times New Roman" w:hAnsi="Times New Roman" w:cs="Times New Roman"/>
        </w:rPr>
        <w:t>,</w:t>
      </w:r>
      <w:r w:rsidR="00871CB9" w:rsidRPr="006F2CA5">
        <w:rPr>
          <w:rFonts w:ascii="Times New Roman" w:hAnsi="Times New Roman" w:cs="Times New Roman"/>
        </w:rPr>
        <w:t xml:space="preserve"> </w:t>
      </w:r>
      <w:r w:rsidR="00D43717" w:rsidRPr="006F2CA5">
        <w:rPr>
          <w:rFonts w:ascii="Times New Roman" w:hAnsi="Times New Roman" w:cs="Times New Roman"/>
        </w:rPr>
        <w:t xml:space="preserve">outputs are </w:t>
      </w:r>
      <w:r w:rsidR="00532061" w:rsidRPr="006F2CA5">
        <w:rPr>
          <w:rFonts w:ascii="Times New Roman" w:hAnsi="Times New Roman" w:cs="Times New Roman"/>
        </w:rPr>
        <w:t xml:space="preserve">counted </w:t>
      </w:r>
      <w:r w:rsidR="00532061" w:rsidRPr="00B15AFE">
        <w:rPr>
          <w:rFonts w:ascii="Times New Roman" w:hAnsi="Times New Roman" w:cs="Times New Roman"/>
        </w:rPr>
        <w:t>in full</w:t>
      </w:r>
      <w:r w:rsidR="00AB0717" w:rsidRPr="006F2CA5">
        <w:rPr>
          <w:rFonts w:ascii="Times New Roman" w:hAnsi="Times New Roman" w:cs="Times New Roman"/>
        </w:rPr>
        <w:t xml:space="preserve"> since the first </w:t>
      </w:r>
      <w:r w:rsidR="003F39CC" w:rsidRPr="006F2CA5">
        <w:rPr>
          <w:rFonts w:ascii="Times New Roman" w:hAnsi="Times New Roman" w:cs="Times New Roman"/>
        </w:rPr>
        <w:t>payment.</w:t>
      </w:r>
      <w:r>
        <w:rPr>
          <w:rFonts w:ascii="Times New Roman" w:hAnsi="Times New Roman" w:cs="Times New Roman"/>
        </w:rPr>
        <w:t xml:space="preserve"> </w:t>
      </w:r>
    </w:p>
    <w:p w14:paraId="775D5C6B" w14:textId="70FCAEDB" w:rsidR="00D43717" w:rsidRDefault="00B15AFE" w:rsidP="00A82615">
      <w:pPr>
        <w:spacing w:before="120" w:after="240" w:line="264" w:lineRule="auto"/>
        <w:jc w:val="both"/>
        <w:rPr>
          <w:rFonts w:ascii="Times New Roman" w:hAnsi="Times New Roman" w:cs="Times New Roman"/>
        </w:rPr>
      </w:pPr>
      <w:r>
        <w:rPr>
          <w:rFonts w:ascii="Times New Roman" w:hAnsi="Times New Roman" w:cs="Times New Roman"/>
        </w:rPr>
        <w:t xml:space="preserve">For </w:t>
      </w:r>
      <w:r w:rsidRPr="001C0262">
        <w:rPr>
          <w:rFonts w:ascii="Times New Roman" w:hAnsi="Times New Roman" w:cs="Times New Roman"/>
          <w:b/>
        </w:rPr>
        <w:t>non-IACS interventions</w:t>
      </w:r>
      <w:r>
        <w:rPr>
          <w:rFonts w:ascii="Times New Roman" w:hAnsi="Times New Roman" w:cs="Times New Roman"/>
        </w:rPr>
        <w:t xml:space="preserve"> </w:t>
      </w:r>
      <w:r w:rsidR="006B7083">
        <w:rPr>
          <w:rFonts w:ascii="Times New Roman" w:hAnsi="Times New Roman" w:cs="Times New Roman"/>
        </w:rPr>
        <w:t xml:space="preserve">that are </w:t>
      </w:r>
      <w:r>
        <w:rPr>
          <w:rFonts w:ascii="Times New Roman" w:hAnsi="Times New Roman" w:cs="Times New Roman"/>
        </w:rPr>
        <w:t>paid in several instalments, the aggregates should account for the partial outputs</w:t>
      </w:r>
      <w:r w:rsidR="005F2467">
        <w:rPr>
          <w:rFonts w:ascii="Times New Roman" w:hAnsi="Times New Roman" w:cs="Times New Roman"/>
        </w:rPr>
        <w:t xml:space="preserve">, except when </w:t>
      </w:r>
      <w:r w:rsidR="0000166A">
        <w:rPr>
          <w:rFonts w:ascii="Times New Roman" w:hAnsi="Times New Roman" w:cs="Times New Roman"/>
        </w:rPr>
        <w:t>aggregating the number of</w:t>
      </w:r>
      <w:r w:rsidR="005F2467">
        <w:rPr>
          <w:rFonts w:ascii="Times New Roman" w:hAnsi="Times New Roman" w:cs="Times New Roman"/>
        </w:rPr>
        <w:t xml:space="preserve"> beneficiar</w:t>
      </w:r>
      <w:r w:rsidR="00DC1732">
        <w:rPr>
          <w:rFonts w:ascii="Times New Roman" w:hAnsi="Times New Roman" w:cs="Times New Roman"/>
        </w:rPr>
        <w:t>ies</w:t>
      </w:r>
      <w:r w:rsidR="0000166A">
        <w:rPr>
          <w:rFonts w:ascii="Times New Roman" w:hAnsi="Times New Roman" w:cs="Times New Roman"/>
        </w:rPr>
        <w:t xml:space="preserve"> to calculate O.3</w:t>
      </w:r>
      <w:r>
        <w:rPr>
          <w:rFonts w:ascii="Times New Roman" w:hAnsi="Times New Roman" w:cs="Times New Roman"/>
        </w:rPr>
        <w:t>.</w:t>
      </w:r>
      <w:r w:rsidR="005F2467">
        <w:rPr>
          <w:rFonts w:ascii="Times New Roman" w:hAnsi="Times New Roman" w:cs="Times New Roman"/>
        </w:rPr>
        <w:t xml:space="preserve"> In this case, the beneficiary is </w:t>
      </w:r>
      <w:r w:rsidR="00712568">
        <w:rPr>
          <w:rFonts w:ascii="Times New Roman" w:hAnsi="Times New Roman" w:cs="Times New Roman"/>
        </w:rPr>
        <w:t xml:space="preserve">always </w:t>
      </w:r>
      <w:r w:rsidR="005F2467">
        <w:rPr>
          <w:rFonts w:ascii="Times New Roman" w:hAnsi="Times New Roman" w:cs="Times New Roman"/>
        </w:rPr>
        <w:t xml:space="preserve">counted </w:t>
      </w:r>
      <w:r w:rsidR="00B50B98">
        <w:rPr>
          <w:rFonts w:ascii="Times New Roman" w:hAnsi="Times New Roman" w:cs="Times New Roman"/>
        </w:rPr>
        <w:t>in full when the first instalment</w:t>
      </w:r>
      <w:r w:rsidR="006B7083">
        <w:rPr>
          <w:rFonts w:ascii="Times New Roman" w:hAnsi="Times New Roman" w:cs="Times New Roman"/>
        </w:rPr>
        <w:t xml:space="preserve"> is paid</w:t>
      </w:r>
      <w:r w:rsidR="00DC1732">
        <w:rPr>
          <w:rFonts w:ascii="Times New Roman" w:hAnsi="Times New Roman" w:cs="Times New Roman"/>
        </w:rPr>
        <w:t>,</w:t>
      </w:r>
      <w:r w:rsidR="005F2467">
        <w:rPr>
          <w:rFonts w:ascii="Times New Roman" w:hAnsi="Times New Roman" w:cs="Times New Roman"/>
        </w:rPr>
        <w:t xml:space="preserve"> and the aggregate value is reported cumulatively </w:t>
      </w:r>
      <w:r w:rsidR="005F2467" w:rsidRPr="005F2467">
        <w:rPr>
          <w:rFonts w:ascii="Times New Roman" w:hAnsi="Times New Roman" w:cs="Times New Roman"/>
        </w:rPr>
        <w:t>year-on-year</w:t>
      </w:r>
      <w:r w:rsidR="005F2467">
        <w:rPr>
          <w:rFonts w:ascii="Times New Roman" w:hAnsi="Times New Roman" w:cs="Times New Roman"/>
        </w:rPr>
        <w:t>.</w:t>
      </w:r>
    </w:p>
    <w:p w14:paraId="53AF5D18" w14:textId="77777777" w:rsidR="002C635A" w:rsidRDefault="0042397F"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For the </w:t>
      </w:r>
      <w:r w:rsidRPr="0F5FF4BD">
        <w:rPr>
          <w:rFonts w:ascii="Times New Roman" w:hAnsi="Times New Roman" w:cs="Times New Roman"/>
          <w:b/>
          <w:bCs/>
        </w:rPr>
        <w:t>conversion of animals in livestock units</w:t>
      </w:r>
      <w:r w:rsidRPr="006F2CA5">
        <w:rPr>
          <w:rFonts w:ascii="Times New Roman" w:hAnsi="Times New Roman" w:cs="Times New Roman"/>
        </w:rPr>
        <w:t xml:space="preserve"> for </w:t>
      </w:r>
      <w:r w:rsidR="007F7950" w:rsidRPr="006F2CA5">
        <w:rPr>
          <w:rFonts w:ascii="Times New Roman" w:hAnsi="Times New Roman" w:cs="Times New Roman"/>
        </w:rPr>
        <w:t xml:space="preserve">aggregate values of </w:t>
      </w:r>
      <w:r w:rsidRPr="006F2CA5">
        <w:rPr>
          <w:rFonts w:ascii="Times New Roman" w:hAnsi="Times New Roman" w:cs="Times New Roman"/>
        </w:rPr>
        <w:t>output indicators such</w:t>
      </w:r>
      <w:r w:rsidR="004F1868">
        <w:rPr>
          <w:rFonts w:ascii="Times New Roman" w:hAnsi="Times New Roman" w:cs="Times New Roman"/>
        </w:rPr>
        <w:t xml:space="preserve"> as</w:t>
      </w:r>
      <w:r w:rsidRPr="006F2CA5">
        <w:rPr>
          <w:rFonts w:ascii="Times New Roman" w:hAnsi="Times New Roman" w:cs="Times New Roman"/>
        </w:rPr>
        <w:t xml:space="preserve"> O.8</w:t>
      </w:r>
      <w:r w:rsidR="00030689">
        <w:rPr>
          <w:rFonts w:ascii="Times New Roman" w:hAnsi="Times New Roman" w:cs="Times New Roman"/>
        </w:rPr>
        <w:t xml:space="preserve"> (</w:t>
      </w:r>
      <w:r w:rsidR="00030689" w:rsidRPr="00030689">
        <w:rPr>
          <w:rFonts w:ascii="Times New Roman" w:hAnsi="Times New Roman" w:cs="Times New Roman"/>
        </w:rPr>
        <w:t>eco-schemes</w:t>
      </w:r>
      <w:r w:rsidR="00030689">
        <w:rPr>
          <w:rFonts w:ascii="Times New Roman" w:hAnsi="Times New Roman" w:cs="Times New Roman"/>
        </w:rPr>
        <w:t>)</w:t>
      </w:r>
      <w:r w:rsidRPr="006F2CA5">
        <w:rPr>
          <w:rFonts w:ascii="Times New Roman" w:hAnsi="Times New Roman" w:cs="Times New Roman"/>
        </w:rPr>
        <w:t>, O.11</w:t>
      </w:r>
      <w:r w:rsidR="00030689">
        <w:rPr>
          <w:rFonts w:ascii="Times New Roman" w:hAnsi="Times New Roman" w:cs="Times New Roman"/>
        </w:rPr>
        <w:t xml:space="preserve"> (</w:t>
      </w:r>
      <w:r w:rsidR="00030689" w:rsidRPr="00030689">
        <w:rPr>
          <w:rFonts w:ascii="Times New Roman" w:hAnsi="Times New Roman" w:cs="Times New Roman"/>
        </w:rPr>
        <w:t>coupled income support</w:t>
      </w:r>
      <w:r w:rsidR="00030689">
        <w:rPr>
          <w:rFonts w:ascii="Times New Roman" w:hAnsi="Times New Roman" w:cs="Times New Roman"/>
        </w:rPr>
        <w:t>)</w:t>
      </w:r>
      <w:r w:rsidRPr="006F2CA5">
        <w:rPr>
          <w:rFonts w:ascii="Times New Roman" w:hAnsi="Times New Roman" w:cs="Times New Roman"/>
        </w:rPr>
        <w:t>, O.18</w:t>
      </w:r>
      <w:r w:rsidR="00030689">
        <w:rPr>
          <w:rFonts w:ascii="Times New Roman" w:hAnsi="Times New Roman" w:cs="Times New Roman"/>
        </w:rPr>
        <w:t xml:space="preserve"> (</w:t>
      </w:r>
      <w:r w:rsidR="00030689" w:rsidRPr="00030689">
        <w:rPr>
          <w:rFonts w:ascii="Times New Roman" w:hAnsi="Times New Roman" w:cs="Times New Roman"/>
        </w:rPr>
        <w:t>animal welfare, health or increased biosecurity measures</w:t>
      </w:r>
      <w:r w:rsidR="008B3CD8">
        <w:rPr>
          <w:rFonts w:ascii="Times New Roman" w:hAnsi="Times New Roman" w:cs="Times New Roman"/>
        </w:rPr>
        <w:t>)</w:t>
      </w:r>
      <w:r w:rsidRPr="006F2CA5">
        <w:rPr>
          <w:rFonts w:ascii="Times New Roman" w:hAnsi="Times New Roman" w:cs="Times New Roman"/>
        </w:rPr>
        <w:t xml:space="preserve"> and O.19</w:t>
      </w:r>
      <w:r w:rsidR="008B3CD8">
        <w:rPr>
          <w:rFonts w:ascii="Times New Roman" w:hAnsi="Times New Roman" w:cs="Times New Roman"/>
        </w:rPr>
        <w:t xml:space="preserve"> (</w:t>
      </w:r>
      <w:r w:rsidR="008B3CD8" w:rsidRPr="008B3CD8">
        <w:rPr>
          <w:rFonts w:ascii="Times New Roman" w:hAnsi="Times New Roman" w:cs="Times New Roman"/>
        </w:rPr>
        <w:t>operations supporting genetic resources</w:t>
      </w:r>
      <w:r w:rsidR="008B3CD8">
        <w:rPr>
          <w:rFonts w:ascii="Times New Roman" w:hAnsi="Times New Roman" w:cs="Times New Roman"/>
        </w:rPr>
        <w:t>)</w:t>
      </w:r>
      <w:r w:rsidRPr="006F2CA5">
        <w:rPr>
          <w:rFonts w:ascii="Times New Roman" w:hAnsi="Times New Roman" w:cs="Times New Roman"/>
        </w:rPr>
        <w:t xml:space="preserve">, </w:t>
      </w:r>
      <w:r w:rsidR="002C635A" w:rsidRPr="006F2CA5">
        <w:rPr>
          <w:rFonts w:ascii="Times New Roman" w:hAnsi="Times New Roman" w:cs="Times New Roman"/>
        </w:rPr>
        <w:t>Eurostat coefficients should be used</w:t>
      </w:r>
      <w:r w:rsidR="002C635A">
        <w:rPr>
          <w:rFonts w:ascii="Times New Roman" w:hAnsi="Times New Roman" w:cs="Times New Roman"/>
        </w:rPr>
        <w:t xml:space="preserve">. </w:t>
      </w:r>
      <w:r w:rsidR="009D3BA0">
        <w:rPr>
          <w:rFonts w:ascii="Times New Roman" w:hAnsi="Times New Roman" w:cs="Times New Roman"/>
        </w:rPr>
        <w:t xml:space="preserve">Eurostat coefficients can be found at this </w:t>
      </w:r>
      <w:hyperlink r:id="rId19" w:history="1">
        <w:r w:rsidR="009D3BA0" w:rsidRPr="009D3BA0">
          <w:rPr>
            <w:rStyle w:val="Hyperlink"/>
            <w:rFonts w:ascii="Times New Roman" w:hAnsi="Times New Roman" w:cs="Times New Roman"/>
          </w:rPr>
          <w:t>link</w:t>
        </w:r>
      </w:hyperlink>
      <w:r w:rsidR="009D3BA0">
        <w:rPr>
          <w:rStyle w:val="FootnoteReference"/>
          <w:rFonts w:ascii="Times New Roman" w:hAnsi="Times New Roman" w:cs="Times New Roman"/>
        </w:rPr>
        <w:footnoteReference w:id="2"/>
      </w:r>
      <w:r w:rsidR="002C635A">
        <w:rPr>
          <w:rFonts w:ascii="Times New Roman" w:hAnsi="Times New Roman" w:cs="Times New Roman"/>
        </w:rPr>
        <w:t xml:space="preserve"> and in Table 1 of </w:t>
      </w:r>
      <w:r w:rsidR="002C635A" w:rsidRPr="0F5FF4BD">
        <w:rPr>
          <w:rFonts w:ascii="Times New Roman" w:hAnsi="Times New Roman" w:cs="Times New Roman"/>
          <w:b/>
          <w:bCs/>
        </w:rPr>
        <w:t>Annex IV</w:t>
      </w:r>
      <w:r w:rsidR="00D814BA" w:rsidRPr="00D814BA">
        <w:rPr>
          <w:rFonts w:ascii="Times New Roman" w:hAnsi="Times New Roman" w:cs="Times New Roman"/>
        </w:rPr>
        <w:t xml:space="preserve"> </w:t>
      </w:r>
      <w:r w:rsidR="0019419D">
        <w:rPr>
          <w:rFonts w:ascii="Times New Roman" w:hAnsi="Times New Roman" w:cs="Times New Roman"/>
        </w:rPr>
        <w:t>to</w:t>
      </w:r>
      <w:r w:rsidR="00D814BA" w:rsidRPr="00D814BA">
        <w:rPr>
          <w:rFonts w:ascii="Times New Roman" w:hAnsi="Times New Roman" w:cs="Times New Roman"/>
        </w:rPr>
        <w:t xml:space="preserve"> this cover note</w:t>
      </w:r>
      <w:r w:rsidR="002C635A" w:rsidRPr="00D814BA">
        <w:rPr>
          <w:rFonts w:ascii="Times New Roman" w:hAnsi="Times New Roman" w:cs="Times New Roman"/>
        </w:rPr>
        <w:t>.</w:t>
      </w:r>
      <w:r w:rsidR="009D3BA0" w:rsidRPr="00D814BA">
        <w:rPr>
          <w:rFonts w:ascii="Times New Roman" w:hAnsi="Times New Roman" w:cs="Times New Roman"/>
        </w:rPr>
        <w:t xml:space="preserve"> </w:t>
      </w:r>
      <w:r w:rsidRPr="006F2CA5">
        <w:rPr>
          <w:rFonts w:ascii="Times New Roman" w:hAnsi="Times New Roman" w:cs="Times New Roman"/>
        </w:rPr>
        <w:t xml:space="preserve">Alternatively, the coefficients reported in </w:t>
      </w:r>
      <w:r w:rsidR="002C635A">
        <w:rPr>
          <w:rFonts w:ascii="Times New Roman" w:hAnsi="Times New Roman" w:cs="Times New Roman"/>
        </w:rPr>
        <w:t>T</w:t>
      </w:r>
      <w:r w:rsidR="002C635A" w:rsidRPr="006F2CA5">
        <w:rPr>
          <w:rFonts w:ascii="Times New Roman" w:hAnsi="Times New Roman" w:cs="Times New Roman"/>
        </w:rPr>
        <w:t xml:space="preserve">able </w:t>
      </w:r>
      <w:r w:rsidR="002C635A">
        <w:rPr>
          <w:rFonts w:ascii="Times New Roman" w:hAnsi="Times New Roman" w:cs="Times New Roman"/>
        </w:rPr>
        <w:t>2 of</w:t>
      </w:r>
      <w:r w:rsidR="002C635A" w:rsidRPr="006F2CA5">
        <w:rPr>
          <w:rFonts w:ascii="Times New Roman" w:hAnsi="Times New Roman" w:cs="Times New Roman"/>
        </w:rPr>
        <w:t xml:space="preserve"> </w:t>
      </w:r>
      <w:r w:rsidRPr="006F2CA5">
        <w:rPr>
          <w:rFonts w:ascii="Times New Roman" w:hAnsi="Times New Roman" w:cs="Times New Roman"/>
        </w:rPr>
        <w:t xml:space="preserve">the </w:t>
      </w:r>
      <w:r w:rsidR="002C635A">
        <w:rPr>
          <w:rFonts w:ascii="Times New Roman" w:hAnsi="Times New Roman" w:cs="Times New Roman"/>
        </w:rPr>
        <w:t>same</w:t>
      </w:r>
      <w:r w:rsidR="002C635A" w:rsidRPr="002C635A">
        <w:rPr>
          <w:rFonts w:ascii="Times New Roman" w:hAnsi="Times New Roman" w:cs="Times New Roman"/>
        </w:rPr>
        <w:t xml:space="preserve"> </w:t>
      </w:r>
      <w:r w:rsidR="00680593">
        <w:rPr>
          <w:rFonts w:ascii="Times New Roman" w:hAnsi="Times New Roman" w:cs="Times New Roman"/>
        </w:rPr>
        <w:t>A</w:t>
      </w:r>
      <w:r w:rsidR="002C635A" w:rsidRPr="002C635A">
        <w:rPr>
          <w:rFonts w:ascii="Times New Roman" w:hAnsi="Times New Roman" w:cs="Times New Roman"/>
        </w:rPr>
        <w:t>nnex</w:t>
      </w:r>
      <w:r w:rsidRPr="006F2CA5">
        <w:rPr>
          <w:rFonts w:ascii="Times New Roman" w:hAnsi="Times New Roman" w:cs="Times New Roman"/>
        </w:rPr>
        <w:t xml:space="preserve"> can </w:t>
      </w:r>
      <w:r w:rsidR="002C635A" w:rsidRPr="006F2CA5">
        <w:rPr>
          <w:rFonts w:ascii="Times New Roman" w:hAnsi="Times New Roman" w:cs="Times New Roman"/>
        </w:rPr>
        <w:t xml:space="preserve">also </w:t>
      </w:r>
      <w:r w:rsidRPr="006F2CA5">
        <w:rPr>
          <w:rFonts w:ascii="Times New Roman" w:hAnsi="Times New Roman" w:cs="Times New Roman"/>
        </w:rPr>
        <w:t>be used.</w:t>
      </w:r>
    </w:p>
    <w:p w14:paraId="09935509" w14:textId="77777777" w:rsidR="0042397F" w:rsidRPr="006F2CA5" w:rsidRDefault="0042397F" w:rsidP="00A82615">
      <w:pPr>
        <w:spacing w:before="120" w:after="240" w:line="264" w:lineRule="auto"/>
        <w:jc w:val="both"/>
        <w:rPr>
          <w:rFonts w:ascii="Times New Roman" w:hAnsi="Times New Roman" w:cs="Times New Roman"/>
        </w:rPr>
      </w:pPr>
      <w:r w:rsidRPr="006F2CA5">
        <w:rPr>
          <w:rFonts w:ascii="Times New Roman" w:hAnsi="Times New Roman" w:cs="Times New Roman"/>
        </w:rPr>
        <w:t>The coefficients provided in the table may be increased or decreased in duly justified cases</w:t>
      </w:r>
      <w:r w:rsidR="008B3CD8">
        <w:rPr>
          <w:rFonts w:ascii="Times New Roman" w:hAnsi="Times New Roman" w:cs="Times New Roman"/>
        </w:rPr>
        <w:t>,</w:t>
      </w:r>
      <w:r w:rsidRPr="006F2CA5">
        <w:rPr>
          <w:rFonts w:ascii="Times New Roman" w:hAnsi="Times New Roman" w:cs="Times New Roman"/>
        </w:rPr>
        <w:t xml:space="preserve"> and </w:t>
      </w:r>
      <w:r w:rsidR="002F0DFF" w:rsidRPr="006F2CA5">
        <w:rPr>
          <w:rFonts w:ascii="Times New Roman" w:hAnsi="Times New Roman" w:cs="Times New Roman"/>
        </w:rPr>
        <w:t xml:space="preserve">such increase or decrease should be </w:t>
      </w:r>
      <w:r w:rsidRPr="006F2CA5">
        <w:rPr>
          <w:rFonts w:ascii="Times New Roman" w:hAnsi="Times New Roman" w:cs="Times New Roman"/>
        </w:rPr>
        <w:t xml:space="preserve">explained in the </w:t>
      </w:r>
      <w:r w:rsidR="00731331">
        <w:rPr>
          <w:rFonts w:ascii="Times New Roman" w:hAnsi="Times New Roman" w:cs="Times New Roman"/>
        </w:rPr>
        <w:t>CAP strategic plan</w:t>
      </w:r>
      <w:r w:rsidRPr="006F2CA5">
        <w:rPr>
          <w:rFonts w:ascii="Times New Roman" w:hAnsi="Times New Roman" w:cs="Times New Roman"/>
        </w:rPr>
        <w:t xml:space="preserve"> taking into account scientific evidence. Other categories of animals may </w:t>
      </w:r>
      <w:r w:rsidR="002F0DFF" w:rsidRPr="006F2CA5">
        <w:rPr>
          <w:rFonts w:ascii="Times New Roman" w:hAnsi="Times New Roman" w:cs="Times New Roman"/>
        </w:rPr>
        <w:t>also</w:t>
      </w:r>
      <w:r w:rsidRPr="006F2CA5">
        <w:rPr>
          <w:rFonts w:ascii="Times New Roman" w:hAnsi="Times New Roman" w:cs="Times New Roman"/>
        </w:rPr>
        <w:t xml:space="preserve"> be added in the table in duly justified cases, and the </w:t>
      </w:r>
      <w:r w:rsidR="008B3CD8">
        <w:rPr>
          <w:rFonts w:ascii="Times New Roman" w:hAnsi="Times New Roman" w:cs="Times New Roman"/>
        </w:rPr>
        <w:t xml:space="preserve">associated </w:t>
      </w:r>
      <w:r w:rsidRPr="006F2CA5">
        <w:rPr>
          <w:rFonts w:ascii="Times New Roman" w:hAnsi="Times New Roman" w:cs="Times New Roman"/>
        </w:rPr>
        <w:t xml:space="preserve">conversion coefficient for such categories should be established and explained in the </w:t>
      </w:r>
      <w:r w:rsidR="00731331">
        <w:rPr>
          <w:rFonts w:ascii="Times New Roman" w:hAnsi="Times New Roman" w:cs="Times New Roman"/>
        </w:rPr>
        <w:t>CAP strategic plan</w:t>
      </w:r>
      <w:r w:rsidRPr="006F2CA5">
        <w:rPr>
          <w:rFonts w:ascii="Times New Roman" w:hAnsi="Times New Roman" w:cs="Times New Roman"/>
        </w:rPr>
        <w:t xml:space="preserve"> taking in</w:t>
      </w:r>
      <w:r w:rsidR="002F0DFF" w:rsidRPr="006F2CA5">
        <w:rPr>
          <w:rFonts w:ascii="Times New Roman" w:hAnsi="Times New Roman" w:cs="Times New Roman"/>
        </w:rPr>
        <w:t>to account scientific evidence.</w:t>
      </w:r>
    </w:p>
    <w:p w14:paraId="743202A6" w14:textId="77777777" w:rsidR="00877D2C" w:rsidRPr="006F2CA5" w:rsidRDefault="00B728C2" w:rsidP="00A82615">
      <w:pPr>
        <w:pStyle w:val="Heading4"/>
        <w:spacing w:before="120" w:after="240" w:line="264" w:lineRule="auto"/>
        <w:ind w:left="862" w:hanging="862"/>
        <w:jc w:val="both"/>
        <w:rPr>
          <w:rFonts w:ascii="Times New Roman" w:hAnsi="Times New Roman" w:cs="Times New Roman"/>
          <w:color w:val="C45911" w:themeColor="accent2" w:themeShade="BF"/>
        </w:rPr>
      </w:pPr>
      <w:r w:rsidRPr="006F2CA5">
        <w:rPr>
          <w:rFonts w:ascii="Times New Roman" w:hAnsi="Times New Roman" w:cs="Times New Roman"/>
          <w:color w:val="C45911" w:themeColor="accent2" w:themeShade="BF"/>
        </w:rPr>
        <w:t xml:space="preserve">Rules to avoid double counting </w:t>
      </w:r>
    </w:p>
    <w:p w14:paraId="3D9C85FA" w14:textId="77777777" w:rsidR="00877D2C" w:rsidRPr="006F2CA5" w:rsidRDefault="00877D2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Aggregated values of output indicators should be calculated without double counting, which means that where a </w:t>
      </w:r>
      <w:r w:rsidR="00753642" w:rsidRPr="006F2CA5">
        <w:rPr>
          <w:rFonts w:ascii="Times New Roman" w:hAnsi="Times New Roman" w:cs="Times New Roman"/>
        </w:rPr>
        <w:t xml:space="preserve"> given </w:t>
      </w:r>
      <w:r w:rsidRPr="006F2CA5">
        <w:rPr>
          <w:rFonts w:ascii="Times New Roman" w:hAnsi="Times New Roman" w:cs="Times New Roman"/>
        </w:rPr>
        <w:t>unit of output is covered by multiple relevant interventions, or by several operations within the same intervention, that unit of output is counted only once</w:t>
      </w:r>
      <w:r w:rsidR="004A57B7" w:rsidRPr="006F2CA5">
        <w:rPr>
          <w:rFonts w:ascii="Times New Roman" w:hAnsi="Times New Roman" w:cs="Times New Roman"/>
        </w:rPr>
        <w:t xml:space="preserve"> in the aggregate value.</w:t>
      </w:r>
    </w:p>
    <w:p w14:paraId="38CCA269" w14:textId="77777777" w:rsidR="00532061" w:rsidRPr="006F2CA5" w:rsidRDefault="00532061" w:rsidP="00A82615">
      <w:pPr>
        <w:spacing w:before="120" w:after="240" w:line="264" w:lineRule="auto"/>
        <w:jc w:val="both"/>
        <w:rPr>
          <w:rFonts w:ascii="Times New Roman" w:hAnsi="Times New Roman" w:cs="Times New Roman"/>
        </w:rPr>
      </w:pPr>
      <w:r w:rsidRPr="006F2CA5">
        <w:rPr>
          <w:rFonts w:ascii="Times New Roman" w:hAnsi="Times New Roman" w:cs="Times New Roman"/>
        </w:rPr>
        <w:t>Double counting can be avoided by using, for instance, a unique identifier for beneficiaries, or geospatial applications for area-based interventions.</w:t>
      </w:r>
      <w:r w:rsidR="00463F3D">
        <w:rPr>
          <w:rFonts w:ascii="Times New Roman" w:hAnsi="Times New Roman" w:cs="Times New Roman"/>
        </w:rPr>
        <w:t xml:space="preserve"> </w:t>
      </w:r>
      <w:r w:rsidR="00463F3D" w:rsidRPr="00261AA6">
        <w:rPr>
          <w:rFonts w:ascii="Times New Roman" w:hAnsi="Times New Roman" w:cs="Times New Roman"/>
        </w:rPr>
        <w:t>Fo</w:t>
      </w:r>
      <w:r w:rsidR="00463F3D" w:rsidRPr="00463F3D">
        <w:rPr>
          <w:rFonts w:ascii="Times New Roman" w:hAnsi="Times New Roman" w:cs="Times New Roman"/>
        </w:rPr>
        <w:t xml:space="preserve">r operations receiving both grant and financial instrument </w:t>
      </w:r>
      <w:r w:rsidR="00463F3D" w:rsidRPr="00463F3D">
        <w:rPr>
          <w:rFonts w:ascii="Times New Roman" w:hAnsi="Times New Roman" w:cs="Times New Roman"/>
        </w:rPr>
        <w:lastRenderedPageBreak/>
        <w:t xml:space="preserve">support, a </w:t>
      </w:r>
      <w:r w:rsidR="00463F3D" w:rsidRPr="0027475F">
        <w:rPr>
          <w:rFonts w:ascii="Times New Roman" w:hAnsi="Times New Roman" w:cs="Times New Roman"/>
        </w:rPr>
        <w:t>unique identifier for the operation</w:t>
      </w:r>
      <w:r w:rsidR="00463F3D" w:rsidRPr="00463F3D">
        <w:rPr>
          <w:rFonts w:ascii="Times New Roman" w:hAnsi="Times New Roman" w:cs="Times New Roman"/>
        </w:rPr>
        <w:t xml:space="preserve"> is necessary to avoid double counting, e.g. number of supported on-farm productive investments (O.20).</w:t>
      </w:r>
    </w:p>
    <w:p w14:paraId="1D7F60C7" w14:textId="2DCC6284" w:rsidR="001E412D" w:rsidRPr="001E412D" w:rsidRDefault="00753642" w:rsidP="001E412D">
      <w:pPr>
        <w:spacing w:before="120" w:after="240" w:line="264" w:lineRule="auto"/>
        <w:jc w:val="both"/>
        <w:rPr>
          <w:rFonts w:ascii="Times New Roman" w:hAnsi="Times New Roman" w:cs="Times New Roman"/>
        </w:rPr>
      </w:pPr>
      <w:r w:rsidRPr="006F2CA5">
        <w:rPr>
          <w:rFonts w:ascii="Times New Roman" w:hAnsi="Times New Roman" w:cs="Times New Roman"/>
        </w:rPr>
        <w:t>For area based output indicators</w:t>
      </w:r>
      <w:r w:rsidR="004A57B7" w:rsidRPr="006F2CA5">
        <w:rPr>
          <w:rFonts w:ascii="Times New Roman" w:hAnsi="Times New Roman" w:cs="Times New Roman"/>
        </w:rPr>
        <w:t xml:space="preserve">, the relevant area determined as eligible for payment after </w:t>
      </w:r>
      <w:r w:rsidR="004A57B7" w:rsidRPr="006F2CA5" w:rsidDel="005D7DD3">
        <w:rPr>
          <w:rFonts w:ascii="Times New Roman" w:hAnsi="Times New Roman" w:cs="Times New Roman"/>
        </w:rPr>
        <w:t xml:space="preserve">administrative </w:t>
      </w:r>
      <w:r w:rsidR="004A57B7" w:rsidRPr="006F2CA5">
        <w:rPr>
          <w:rFonts w:ascii="Times New Roman" w:hAnsi="Times New Roman" w:cs="Times New Roman"/>
        </w:rPr>
        <w:t xml:space="preserve">controls and before applying limits </w:t>
      </w:r>
      <w:r w:rsidR="005D7DD3">
        <w:rPr>
          <w:rFonts w:ascii="Times New Roman" w:hAnsi="Times New Roman" w:cs="Times New Roman"/>
        </w:rPr>
        <w:t>(such as entitlements</w:t>
      </w:r>
      <w:r w:rsidR="006C24B7">
        <w:rPr>
          <w:rFonts w:ascii="Times New Roman" w:hAnsi="Times New Roman" w:cs="Times New Roman"/>
        </w:rPr>
        <w:t xml:space="preserve"> or maximum thresholds</w:t>
      </w:r>
      <w:r w:rsidR="007D093E">
        <w:rPr>
          <w:rFonts w:ascii="Times New Roman" w:hAnsi="Times New Roman" w:cs="Times New Roman"/>
        </w:rPr>
        <w:t xml:space="preserve"> established by MS</w:t>
      </w:r>
      <w:r w:rsidR="005D7DD3">
        <w:rPr>
          <w:rFonts w:ascii="Times New Roman" w:hAnsi="Times New Roman" w:cs="Times New Roman"/>
        </w:rPr>
        <w:t xml:space="preserve">) </w:t>
      </w:r>
      <w:r w:rsidR="004A57B7" w:rsidRPr="006F2CA5">
        <w:rPr>
          <w:rFonts w:ascii="Times New Roman" w:hAnsi="Times New Roman" w:cs="Times New Roman"/>
        </w:rPr>
        <w:t xml:space="preserve">should be </w:t>
      </w:r>
      <w:r w:rsidRPr="006F2CA5">
        <w:rPr>
          <w:rFonts w:ascii="Times New Roman" w:hAnsi="Times New Roman" w:cs="Times New Roman"/>
        </w:rPr>
        <w:t xml:space="preserve">taken into account </w:t>
      </w:r>
      <w:r w:rsidR="001672DE" w:rsidRPr="006F2CA5">
        <w:rPr>
          <w:rFonts w:ascii="Times New Roman" w:hAnsi="Times New Roman" w:cs="Times New Roman"/>
        </w:rPr>
        <w:t>when calculating</w:t>
      </w:r>
      <w:r w:rsidRPr="006F2CA5">
        <w:rPr>
          <w:rFonts w:ascii="Times New Roman" w:hAnsi="Times New Roman" w:cs="Times New Roman"/>
        </w:rPr>
        <w:t xml:space="preserve"> the aggregate values.</w:t>
      </w:r>
      <w:r w:rsidR="001672DE" w:rsidRPr="006F2CA5">
        <w:rPr>
          <w:rFonts w:ascii="Times New Roman" w:hAnsi="Times New Roman" w:cs="Times New Roman"/>
        </w:rPr>
        <w:t xml:space="preserve"> The table </w:t>
      </w:r>
      <w:r w:rsidR="001672DE" w:rsidRPr="001D6A00">
        <w:rPr>
          <w:rFonts w:ascii="Times New Roman" w:hAnsi="Times New Roman" w:cs="Times New Roman"/>
        </w:rPr>
        <w:t xml:space="preserve">in </w:t>
      </w:r>
      <w:r w:rsidR="001672DE" w:rsidRPr="001D6A00">
        <w:rPr>
          <w:rFonts w:ascii="Times New Roman" w:hAnsi="Times New Roman" w:cs="Times New Roman"/>
          <w:b/>
        </w:rPr>
        <w:t>Ann</w:t>
      </w:r>
      <w:r w:rsidR="003B2D6E" w:rsidRPr="001D6A00">
        <w:rPr>
          <w:rFonts w:ascii="Times New Roman" w:hAnsi="Times New Roman" w:cs="Times New Roman"/>
          <w:b/>
        </w:rPr>
        <w:t xml:space="preserve">ex </w:t>
      </w:r>
      <w:r w:rsidR="003527AF" w:rsidRPr="001D6A00">
        <w:rPr>
          <w:rFonts w:ascii="Times New Roman" w:hAnsi="Times New Roman" w:cs="Times New Roman"/>
          <w:b/>
        </w:rPr>
        <w:t>V</w:t>
      </w:r>
      <w:r w:rsidR="007B611E">
        <w:rPr>
          <w:rFonts w:ascii="Times New Roman" w:hAnsi="Times New Roman" w:cs="Times New Roman"/>
          <w:b/>
        </w:rPr>
        <w:t>I</w:t>
      </w:r>
      <w:r w:rsidR="00D814BA">
        <w:rPr>
          <w:rFonts w:ascii="Times New Roman" w:hAnsi="Times New Roman" w:cs="Times New Roman"/>
          <w:b/>
        </w:rPr>
        <w:t xml:space="preserve"> </w:t>
      </w:r>
      <w:r w:rsidR="0019419D">
        <w:rPr>
          <w:rFonts w:ascii="Times New Roman" w:hAnsi="Times New Roman" w:cs="Times New Roman"/>
        </w:rPr>
        <w:t>to</w:t>
      </w:r>
      <w:r w:rsidR="00D814BA" w:rsidRPr="00D814BA">
        <w:rPr>
          <w:rFonts w:ascii="Times New Roman" w:hAnsi="Times New Roman" w:cs="Times New Roman"/>
        </w:rPr>
        <w:t xml:space="preserve"> this cover note</w:t>
      </w:r>
      <w:r w:rsidR="001672DE" w:rsidRPr="00D814BA">
        <w:rPr>
          <w:rFonts w:ascii="Times New Roman" w:hAnsi="Times New Roman" w:cs="Times New Roman"/>
        </w:rPr>
        <w:t xml:space="preserve"> </w:t>
      </w:r>
      <w:r w:rsidR="001672DE" w:rsidRPr="001D6A00">
        <w:rPr>
          <w:rFonts w:ascii="Times New Roman" w:hAnsi="Times New Roman" w:cs="Times New Roman"/>
        </w:rPr>
        <w:t>includes</w:t>
      </w:r>
      <w:r w:rsidR="001672DE" w:rsidRPr="006F2CA5">
        <w:rPr>
          <w:rFonts w:ascii="Times New Roman" w:hAnsi="Times New Roman" w:cs="Times New Roman"/>
        </w:rPr>
        <w:t xml:space="preserve"> the output indicators for which this rule applies.</w:t>
      </w:r>
      <w:r w:rsidR="001E412D">
        <w:rPr>
          <w:rFonts w:ascii="Times New Roman" w:hAnsi="Times New Roman" w:cs="Times New Roman"/>
        </w:rPr>
        <w:t xml:space="preserve"> </w:t>
      </w:r>
      <w:r w:rsidR="001E412D" w:rsidRPr="001E412D">
        <w:rPr>
          <w:rFonts w:ascii="Times New Roman" w:hAnsi="Times New Roman" w:cs="Times New Roman"/>
        </w:rPr>
        <w:t>This will depict better the actu</w:t>
      </w:r>
      <w:r w:rsidR="001E412D">
        <w:rPr>
          <w:rFonts w:ascii="Times New Roman" w:hAnsi="Times New Roman" w:cs="Times New Roman"/>
        </w:rPr>
        <w:t xml:space="preserve">al area covered by CAP support, and </w:t>
      </w:r>
      <w:r w:rsidR="001E412D" w:rsidRPr="001E412D">
        <w:rPr>
          <w:rFonts w:ascii="Times New Roman" w:hAnsi="Times New Roman" w:cs="Times New Roman"/>
        </w:rPr>
        <w:t>also ease the localisation of the support and the reporting without double counting.</w:t>
      </w:r>
    </w:p>
    <w:p w14:paraId="3AB06279" w14:textId="77777777" w:rsidR="001E412D" w:rsidRPr="001E412D" w:rsidRDefault="001E412D" w:rsidP="001E412D">
      <w:pPr>
        <w:spacing w:before="120" w:after="240" w:line="264" w:lineRule="auto"/>
        <w:jc w:val="both"/>
        <w:rPr>
          <w:rFonts w:ascii="Times New Roman" w:hAnsi="Times New Roman" w:cs="Times New Roman"/>
        </w:rPr>
      </w:pPr>
      <w:r w:rsidRPr="001E412D">
        <w:rPr>
          <w:rFonts w:ascii="Times New Roman" w:hAnsi="Times New Roman" w:cs="Times New Roman"/>
        </w:rPr>
        <w:t xml:space="preserve">In addition, to further simplify </w:t>
      </w:r>
      <w:r>
        <w:rPr>
          <w:rFonts w:ascii="Times New Roman" w:hAnsi="Times New Roman" w:cs="Times New Roman"/>
        </w:rPr>
        <w:t>the reporting of these aggregates,</w:t>
      </w:r>
      <w:r w:rsidRPr="001E412D">
        <w:rPr>
          <w:rFonts w:ascii="Times New Roman" w:hAnsi="Times New Roman" w:cs="Times New Roman"/>
        </w:rPr>
        <w:t xml:space="preserve"> the number of hectares havi</w:t>
      </w:r>
      <w:r>
        <w:rPr>
          <w:rFonts w:ascii="Times New Roman" w:hAnsi="Times New Roman" w:cs="Times New Roman"/>
        </w:rPr>
        <w:t>ng received payment between 16</w:t>
      </w:r>
      <w:r w:rsidRPr="001E412D">
        <w:rPr>
          <w:rFonts w:ascii="Times New Roman" w:hAnsi="Times New Roman" w:cs="Times New Roman"/>
          <w:vertAlign w:val="superscript"/>
        </w:rPr>
        <w:t>th</w:t>
      </w:r>
      <w:r>
        <w:rPr>
          <w:rFonts w:ascii="Times New Roman" w:hAnsi="Times New Roman" w:cs="Times New Roman"/>
        </w:rPr>
        <w:t xml:space="preserve"> </w:t>
      </w:r>
      <w:r w:rsidRPr="001E412D">
        <w:rPr>
          <w:rFonts w:ascii="Times New Roman" w:hAnsi="Times New Roman" w:cs="Times New Roman"/>
        </w:rPr>
        <w:t xml:space="preserve">October of Year </w:t>
      </w:r>
      <w:r>
        <w:rPr>
          <w:rFonts w:ascii="Times New Roman" w:hAnsi="Times New Roman" w:cs="Times New Roman"/>
        </w:rPr>
        <w:t>N-2 and 15</w:t>
      </w:r>
      <w:r w:rsidRPr="001E412D">
        <w:rPr>
          <w:rFonts w:ascii="Times New Roman" w:hAnsi="Times New Roman" w:cs="Times New Roman"/>
          <w:vertAlign w:val="superscript"/>
        </w:rPr>
        <w:t>th</w:t>
      </w:r>
      <w:r>
        <w:rPr>
          <w:rFonts w:ascii="Times New Roman" w:hAnsi="Times New Roman" w:cs="Times New Roman"/>
        </w:rPr>
        <w:t xml:space="preserve"> </w:t>
      </w:r>
      <w:r w:rsidRPr="001E412D">
        <w:rPr>
          <w:rFonts w:ascii="Times New Roman" w:hAnsi="Times New Roman" w:cs="Times New Roman"/>
        </w:rPr>
        <w:t>October of Year N-1 in relation to interventions claimed in Year</w:t>
      </w:r>
      <w:r>
        <w:rPr>
          <w:rFonts w:ascii="Times New Roman" w:hAnsi="Times New Roman" w:cs="Times New Roman"/>
        </w:rPr>
        <w:t xml:space="preserve"> N-2 (partial or full payment) </w:t>
      </w:r>
      <w:r w:rsidRPr="001E412D">
        <w:rPr>
          <w:rFonts w:ascii="Times New Roman" w:hAnsi="Times New Roman" w:cs="Times New Roman"/>
        </w:rPr>
        <w:t xml:space="preserve">should be reported in the </w:t>
      </w:r>
      <w:r>
        <w:rPr>
          <w:rFonts w:ascii="Times New Roman" w:hAnsi="Times New Roman" w:cs="Times New Roman"/>
        </w:rPr>
        <w:t xml:space="preserve">APR notified in </w:t>
      </w:r>
      <w:r w:rsidRPr="001E412D">
        <w:rPr>
          <w:rFonts w:ascii="Times New Roman" w:hAnsi="Times New Roman" w:cs="Times New Roman"/>
        </w:rPr>
        <w:t>year N</w:t>
      </w:r>
      <w:r>
        <w:rPr>
          <w:rFonts w:ascii="Times New Roman" w:hAnsi="Times New Roman" w:cs="Times New Roman"/>
        </w:rPr>
        <w:t>.</w:t>
      </w:r>
      <w:r w:rsidRPr="001E412D">
        <w:rPr>
          <w:rFonts w:ascii="Times New Roman" w:hAnsi="Times New Roman" w:cs="Times New Roman"/>
        </w:rPr>
        <w:t xml:space="preserve"> </w:t>
      </w:r>
    </w:p>
    <w:p w14:paraId="1BBE8DEE" w14:textId="77777777" w:rsidR="001E412D" w:rsidRPr="001E412D" w:rsidRDefault="001E412D" w:rsidP="001E412D">
      <w:pPr>
        <w:spacing w:before="120" w:after="240" w:line="264" w:lineRule="auto"/>
        <w:jc w:val="both"/>
        <w:rPr>
          <w:rFonts w:ascii="Times New Roman" w:hAnsi="Times New Roman" w:cs="Times New Roman"/>
        </w:rPr>
      </w:pPr>
      <w:r w:rsidRPr="001E412D">
        <w:rPr>
          <w:rFonts w:ascii="Times New Roman" w:hAnsi="Times New Roman" w:cs="Times New Roman"/>
        </w:rPr>
        <w:t xml:space="preserve">Hectares from interventions </w:t>
      </w:r>
      <w:r w:rsidR="001158AB">
        <w:rPr>
          <w:rFonts w:ascii="Times New Roman" w:hAnsi="Times New Roman" w:cs="Times New Roman"/>
        </w:rPr>
        <w:t xml:space="preserve">funded through the </w:t>
      </w:r>
      <w:r w:rsidR="001158AB" w:rsidRPr="001158AB">
        <w:rPr>
          <w:rFonts w:ascii="Times New Roman" w:hAnsi="Times New Roman" w:cs="Times New Roman"/>
        </w:rPr>
        <w:t>European Agricultural Fund for Rural Development (</w:t>
      </w:r>
      <w:r w:rsidR="001158AB" w:rsidRPr="003B01AB">
        <w:rPr>
          <w:rFonts w:ascii="Times New Roman" w:hAnsi="Times New Roman" w:cs="Times New Roman"/>
          <w:b/>
        </w:rPr>
        <w:t>EAFRD</w:t>
      </w:r>
      <w:r w:rsidR="001158AB" w:rsidRPr="001158AB">
        <w:rPr>
          <w:rFonts w:ascii="Times New Roman" w:hAnsi="Times New Roman" w:cs="Times New Roman"/>
        </w:rPr>
        <w:t xml:space="preserve">) </w:t>
      </w:r>
      <w:r w:rsidRPr="001E412D">
        <w:rPr>
          <w:rFonts w:ascii="Times New Roman" w:hAnsi="Times New Roman" w:cs="Times New Roman"/>
        </w:rPr>
        <w:t xml:space="preserve">claimed in year N-2 having received related first payment </w:t>
      </w:r>
      <w:r w:rsidR="00A03928">
        <w:rPr>
          <w:rFonts w:ascii="Times New Roman" w:hAnsi="Times New Roman" w:cs="Times New Roman"/>
        </w:rPr>
        <w:t>between the 1</w:t>
      </w:r>
      <w:r w:rsidR="00A03928" w:rsidRPr="00A03928">
        <w:rPr>
          <w:rFonts w:ascii="Times New Roman" w:hAnsi="Times New Roman" w:cs="Times New Roman"/>
          <w:vertAlign w:val="superscript"/>
        </w:rPr>
        <w:t>st</w:t>
      </w:r>
      <w:r w:rsidR="00A03928">
        <w:rPr>
          <w:rFonts w:ascii="Times New Roman" w:hAnsi="Times New Roman" w:cs="Times New Roman"/>
        </w:rPr>
        <w:t xml:space="preserve"> October and</w:t>
      </w:r>
      <w:r w:rsidRPr="001E412D">
        <w:rPr>
          <w:rFonts w:ascii="Times New Roman" w:hAnsi="Times New Roman" w:cs="Times New Roman"/>
        </w:rPr>
        <w:t xml:space="preserve"> the </w:t>
      </w:r>
      <w:r>
        <w:rPr>
          <w:rFonts w:ascii="Times New Roman" w:hAnsi="Times New Roman" w:cs="Times New Roman"/>
        </w:rPr>
        <w:t>15</w:t>
      </w:r>
      <w:r w:rsidRPr="001E412D">
        <w:rPr>
          <w:rFonts w:ascii="Times New Roman" w:hAnsi="Times New Roman" w:cs="Times New Roman"/>
          <w:vertAlign w:val="superscript"/>
        </w:rPr>
        <w:t>th</w:t>
      </w:r>
      <w:r>
        <w:rPr>
          <w:rFonts w:ascii="Times New Roman" w:hAnsi="Times New Roman" w:cs="Times New Roman"/>
        </w:rPr>
        <w:t xml:space="preserve"> </w:t>
      </w:r>
      <w:r w:rsidRPr="001E412D">
        <w:rPr>
          <w:rFonts w:ascii="Times New Roman" w:hAnsi="Times New Roman" w:cs="Times New Roman"/>
        </w:rPr>
        <w:t xml:space="preserve">October </w:t>
      </w:r>
      <w:r w:rsidR="00A03928">
        <w:rPr>
          <w:rFonts w:ascii="Times New Roman" w:hAnsi="Times New Roman" w:cs="Times New Roman"/>
        </w:rPr>
        <w:t xml:space="preserve">of </w:t>
      </w:r>
      <w:r w:rsidRPr="001E412D">
        <w:rPr>
          <w:rFonts w:ascii="Times New Roman" w:hAnsi="Times New Roman" w:cs="Times New Roman"/>
        </w:rPr>
        <w:t>Year N-</w:t>
      </w:r>
      <w:r w:rsidR="00982E26">
        <w:rPr>
          <w:rFonts w:ascii="Times New Roman" w:hAnsi="Times New Roman" w:cs="Times New Roman"/>
        </w:rPr>
        <w:t>2</w:t>
      </w:r>
      <w:r w:rsidRPr="001E412D">
        <w:rPr>
          <w:rFonts w:ascii="Times New Roman" w:hAnsi="Times New Roman" w:cs="Times New Roman"/>
        </w:rPr>
        <w:t xml:space="preserve"> will </w:t>
      </w:r>
      <w:r>
        <w:rPr>
          <w:rFonts w:ascii="Times New Roman" w:hAnsi="Times New Roman" w:cs="Times New Roman"/>
        </w:rPr>
        <w:t>only be</w:t>
      </w:r>
      <w:r w:rsidRPr="001E412D">
        <w:rPr>
          <w:rFonts w:ascii="Times New Roman" w:hAnsi="Times New Roman" w:cs="Times New Roman"/>
        </w:rPr>
        <w:t xml:space="preserve"> reported in </w:t>
      </w:r>
      <w:r>
        <w:rPr>
          <w:rFonts w:ascii="Times New Roman" w:hAnsi="Times New Roman" w:cs="Times New Roman"/>
        </w:rPr>
        <w:t>the APR notified in</w:t>
      </w:r>
      <w:r w:rsidRPr="001E412D">
        <w:rPr>
          <w:rFonts w:ascii="Times New Roman" w:hAnsi="Times New Roman" w:cs="Times New Roman"/>
        </w:rPr>
        <w:t xml:space="preserve"> year N.</w:t>
      </w:r>
    </w:p>
    <w:p w14:paraId="7857B25B" w14:textId="77777777" w:rsidR="001E412D" w:rsidRPr="006F2CA5" w:rsidRDefault="001E412D" w:rsidP="001E412D">
      <w:pPr>
        <w:spacing w:before="120" w:after="240" w:line="264" w:lineRule="auto"/>
        <w:jc w:val="both"/>
        <w:rPr>
          <w:rFonts w:ascii="Times New Roman" w:hAnsi="Times New Roman" w:cs="Times New Roman"/>
        </w:rPr>
      </w:pPr>
      <w:r w:rsidRPr="001E412D">
        <w:rPr>
          <w:rFonts w:ascii="Times New Roman" w:hAnsi="Times New Roman" w:cs="Times New Roman"/>
        </w:rPr>
        <w:t>In those rare cases where an output claimed in year N-2 ha</w:t>
      </w:r>
      <w:r w:rsidR="00C924E4">
        <w:rPr>
          <w:rFonts w:ascii="Times New Roman" w:hAnsi="Times New Roman" w:cs="Times New Roman"/>
        </w:rPr>
        <w:t>s</w:t>
      </w:r>
      <w:r w:rsidRPr="001E412D">
        <w:rPr>
          <w:rFonts w:ascii="Times New Roman" w:hAnsi="Times New Roman" w:cs="Times New Roman"/>
        </w:rPr>
        <w:t xml:space="preserve"> </w:t>
      </w:r>
      <w:r>
        <w:rPr>
          <w:rFonts w:ascii="Times New Roman" w:hAnsi="Times New Roman" w:cs="Times New Roman"/>
        </w:rPr>
        <w:t xml:space="preserve">not </w:t>
      </w:r>
      <w:r w:rsidRPr="001E412D">
        <w:rPr>
          <w:rFonts w:ascii="Times New Roman" w:hAnsi="Times New Roman" w:cs="Times New Roman"/>
        </w:rPr>
        <w:t>received related payment before 16</w:t>
      </w:r>
      <w:r w:rsidRPr="001E412D">
        <w:rPr>
          <w:rFonts w:ascii="Times New Roman" w:hAnsi="Times New Roman" w:cs="Times New Roman"/>
          <w:vertAlign w:val="superscript"/>
        </w:rPr>
        <w:t>th</w:t>
      </w:r>
      <w:r w:rsidR="008A4AF0">
        <w:rPr>
          <w:rFonts w:ascii="Times New Roman" w:hAnsi="Times New Roman" w:cs="Times New Roman"/>
        </w:rPr>
        <w:t xml:space="preserve"> </w:t>
      </w:r>
      <w:r>
        <w:rPr>
          <w:rFonts w:ascii="Times New Roman" w:hAnsi="Times New Roman" w:cs="Times New Roman"/>
        </w:rPr>
        <w:t xml:space="preserve">October N-1, this output will never </w:t>
      </w:r>
      <w:r w:rsidRPr="001E412D">
        <w:rPr>
          <w:rFonts w:ascii="Times New Roman" w:hAnsi="Times New Roman" w:cs="Times New Roman"/>
        </w:rPr>
        <w:t>be reported.</w:t>
      </w:r>
    </w:p>
    <w:p w14:paraId="57625786" w14:textId="586615D8" w:rsidR="00483B2D" w:rsidRPr="006F2CA5" w:rsidRDefault="00483B2D" w:rsidP="00A82615">
      <w:pPr>
        <w:pStyle w:val="Heading2"/>
        <w:spacing w:before="120" w:after="240" w:line="264" w:lineRule="auto"/>
        <w:ind w:left="578" w:hanging="578"/>
        <w:jc w:val="both"/>
        <w:rPr>
          <w:rFonts w:ascii="Times New Roman" w:hAnsi="Times New Roman" w:cs="Times New Roman"/>
          <w:color w:val="C45911" w:themeColor="accent2" w:themeShade="BF"/>
        </w:rPr>
      </w:pPr>
      <w:bookmarkStart w:id="22" w:name="_Toc89902377"/>
      <w:bookmarkStart w:id="23" w:name="_Toc126762212"/>
      <w:r w:rsidRPr="006F2CA5">
        <w:rPr>
          <w:rFonts w:ascii="Times New Roman" w:hAnsi="Times New Roman" w:cs="Times New Roman"/>
          <w:color w:val="C45911" w:themeColor="accent2" w:themeShade="BF"/>
        </w:rPr>
        <w:t>Additional national financing for output indicators</w:t>
      </w:r>
      <w:bookmarkEnd w:id="22"/>
      <w:bookmarkEnd w:id="23"/>
    </w:p>
    <w:p w14:paraId="6EE67263" w14:textId="77777777" w:rsidR="0012062A" w:rsidRDefault="0012062A" w:rsidP="00A82615">
      <w:pPr>
        <w:spacing w:before="120" w:after="240" w:line="264" w:lineRule="auto"/>
        <w:jc w:val="both"/>
        <w:rPr>
          <w:rFonts w:ascii="Times New Roman" w:hAnsi="Times New Roman" w:cs="Times New Roman"/>
        </w:rPr>
      </w:pPr>
      <w:r>
        <w:rPr>
          <w:rFonts w:ascii="Times New Roman" w:hAnsi="Times New Roman" w:cs="Times New Roman"/>
        </w:rPr>
        <w:t>Outputs</w:t>
      </w:r>
    </w:p>
    <w:p w14:paraId="2163A967" w14:textId="781C4094" w:rsidR="007D1C04" w:rsidRDefault="00483B2D" w:rsidP="00A82615">
      <w:pPr>
        <w:spacing w:before="120" w:after="240" w:line="264" w:lineRule="auto"/>
        <w:jc w:val="both"/>
        <w:rPr>
          <w:rFonts w:ascii="Times New Roman" w:hAnsi="Times New Roman" w:cs="Times New Roman"/>
          <w:strike/>
        </w:rPr>
      </w:pPr>
      <w:r w:rsidRPr="0EB928D1">
        <w:rPr>
          <w:rFonts w:ascii="Times New Roman" w:hAnsi="Times New Roman" w:cs="Times New Roman"/>
        </w:rPr>
        <w:t xml:space="preserve">When support is granted as additional national financing referred to in Article 115(5) of </w:t>
      </w:r>
      <w:r w:rsidR="007B0E8D" w:rsidRPr="0EB928D1">
        <w:rPr>
          <w:rFonts w:ascii="Times New Roman" w:hAnsi="Times New Roman" w:cs="Times New Roman"/>
        </w:rPr>
        <w:t xml:space="preserve">the </w:t>
      </w:r>
      <w:r w:rsidR="008A6A84" w:rsidRPr="0EB928D1">
        <w:rPr>
          <w:rFonts w:ascii="Times New Roman" w:hAnsi="Times New Roman" w:cs="Times New Roman"/>
        </w:rPr>
        <w:t>SPR</w:t>
      </w:r>
      <w:r w:rsidRPr="0EB928D1">
        <w:rPr>
          <w:rFonts w:ascii="Times New Roman" w:hAnsi="Times New Roman" w:cs="Times New Roman"/>
        </w:rPr>
        <w:t xml:space="preserve">, </w:t>
      </w:r>
      <w:r w:rsidRPr="001C0262">
        <w:rPr>
          <w:rFonts w:ascii="Times New Roman" w:hAnsi="Times New Roman" w:cs="Times New Roman"/>
          <w:b/>
        </w:rPr>
        <w:t>planning</w:t>
      </w:r>
      <w:r w:rsidRPr="0EB928D1">
        <w:rPr>
          <w:rFonts w:ascii="Times New Roman" w:hAnsi="Times New Roman" w:cs="Times New Roman"/>
        </w:rPr>
        <w:t xml:space="preserve"> of outputs should include the outputs </w:t>
      </w:r>
      <w:r w:rsidR="00B23577" w:rsidRPr="00B23577">
        <w:rPr>
          <w:rFonts w:ascii="Times New Roman" w:hAnsi="Times New Roman" w:cs="Times New Roman"/>
        </w:rPr>
        <w:t xml:space="preserve">exclusively </w:t>
      </w:r>
      <w:r w:rsidRPr="0EB928D1">
        <w:rPr>
          <w:rFonts w:ascii="Times New Roman" w:hAnsi="Times New Roman" w:cs="Times New Roman"/>
        </w:rPr>
        <w:t>generated by such additional national financing</w:t>
      </w:r>
      <w:r w:rsidR="002166B7" w:rsidRPr="0EB928D1">
        <w:rPr>
          <w:rFonts w:ascii="Times New Roman" w:hAnsi="Times New Roman" w:cs="Times New Roman"/>
        </w:rPr>
        <w:t>.</w:t>
      </w:r>
      <w:r w:rsidR="00B276F4">
        <w:rPr>
          <w:rFonts w:ascii="Times New Roman" w:hAnsi="Times New Roman" w:cs="Times New Roman"/>
        </w:rPr>
        <w:t xml:space="preserve"> This only applies to certain rural development interventions</w:t>
      </w:r>
      <w:r w:rsidR="001F26E0">
        <w:rPr>
          <w:rFonts w:ascii="Times New Roman" w:hAnsi="Times New Roman" w:cs="Times New Roman"/>
        </w:rPr>
        <w:t>,</w:t>
      </w:r>
      <w:r w:rsidR="00B276F4">
        <w:rPr>
          <w:rFonts w:ascii="Times New Roman" w:hAnsi="Times New Roman" w:cs="Times New Roman"/>
        </w:rPr>
        <w:t xml:space="preserve"> and not to the</w:t>
      </w:r>
      <w:r w:rsidR="00B276F4" w:rsidRPr="00B276F4">
        <w:rPr>
          <w:rFonts w:ascii="Times New Roman" w:hAnsi="Times New Roman" w:cs="Times New Roman"/>
        </w:rPr>
        <w:t xml:space="preserve"> fruit and vegetables sector</w:t>
      </w:r>
      <w:r w:rsidR="00B276F4">
        <w:rPr>
          <w:rFonts w:ascii="Times New Roman" w:hAnsi="Times New Roman" w:cs="Times New Roman"/>
        </w:rPr>
        <w:t>.</w:t>
      </w:r>
    </w:p>
    <w:p w14:paraId="72C4A34B" w14:textId="22C21DCC" w:rsidR="00483B2D" w:rsidRDefault="007D1C04" w:rsidP="00A82615">
      <w:pPr>
        <w:spacing w:before="120" w:after="240" w:line="264" w:lineRule="auto"/>
        <w:jc w:val="both"/>
        <w:rPr>
          <w:rFonts w:ascii="Times New Roman" w:hAnsi="Times New Roman" w:cs="Times New Roman"/>
        </w:rPr>
      </w:pPr>
      <w:r>
        <w:rPr>
          <w:rFonts w:ascii="Times New Roman" w:hAnsi="Times New Roman" w:cs="Times New Roman"/>
        </w:rPr>
        <w:t>O</w:t>
      </w:r>
      <w:r w:rsidR="00483B2D" w:rsidRPr="607B15D3">
        <w:rPr>
          <w:rFonts w:ascii="Times New Roman" w:hAnsi="Times New Roman" w:cs="Times New Roman"/>
        </w:rPr>
        <w:t xml:space="preserve">utputs </w:t>
      </w:r>
      <w:r w:rsidR="00E50AFA" w:rsidRPr="00E50AFA">
        <w:rPr>
          <w:rFonts w:ascii="Times New Roman" w:hAnsi="Times New Roman" w:cs="Times New Roman"/>
        </w:rPr>
        <w:t xml:space="preserve">exclusively </w:t>
      </w:r>
      <w:r w:rsidR="00483B2D" w:rsidRPr="607B15D3">
        <w:rPr>
          <w:rFonts w:ascii="Times New Roman" w:hAnsi="Times New Roman" w:cs="Times New Roman"/>
        </w:rPr>
        <w:t>generated b</w:t>
      </w:r>
      <w:r>
        <w:rPr>
          <w:rFonts w:ascii="Times New Roman" w:hAnsi="Times New Roman" w:cs="Times New Roman"/>
        </w:rPr>
        <w:t>y additional national financing</w:t>
      </w:r>
      <w:r w:rsidR="005474F7" w:rsidRPr="607B15D3">
        <w:rPr>
          <w:rFonts w:ascii="Times New Roman" w:hAnsi="Times New Roman" w:cs="Times New Roman"/>
        </w:rPr>
        <w:t xml:space="preserve"> </w:t>
      </w:r>
      <w:r w:rsidR="00A4266F" w:rsidRPr="607B15D3">
        <w:rPr>
          <w:rFonts w:ascii="Times New Roman" w:hAnsi="Times New Roman" w:cs="Times New Roman"/>
        </w:rPr>
        <w:t>sh</w:t>
      </w:r>
      <w:r w:rsidR="00A231DA" w:rsidRPr="607B15D3">
        <w:rPr>
          <w:rFonts w:ascii="Times New Roman" w:hAnsi="Times New Roman" w:cs="Times New Roman"/>
        </w:rPr>
        <w:t>all</w:t>
      </w:r>
      <w:r w:rsidR="00A4266F" w:rsidRPr="607B15D3">
        <w:rPr>
          <w:rFonts w:ascii="Times New Roman" w:hAnsi="Times New Roman" w:cs="Times New Roman"/>
        </w:rPr>
        <w:t xml:space="preserve"> be </w:t>
      </w:r>
      <w:r w:rsidR="00483B2D" w:rsidRPr="001C0262">
        <w:rPr>
          <w:rFonts w:ascii="Times New Roman" w:hAnsi="Times New Roman" w:cs="Times New Roman"/>
          <w:b/>
        </w:rPr>
        <w:t>reported</w:t>
      </w:r>
      <w:r w:rsidR="00483B2D" w:rsidRPr="607B15D3">
        <w:rPr>
          <w:rFonts w:ascii="Times New Roman" w:hAnsi="Times New Roman" w:cs="Times New Roman"/>
        </w:rPr>
        <w:t xml:space="preserve"> separately from the outputs generated by </w:t>
      </w:r>
      <w:r w:rsidR="486AF213" w:rsidRPr="607B15D3">
        <w:rPr>
          <w:rFonts w:ascii="Times New Roman" w:hAnsi="Times New Roman" w:cs="Times New Roman"/>
        </w:rPr>
        <w:t xml:space="preserve">EU and </w:t>
      </w:r>
      <w:r w:rsidR="00483B2D" w:rsidRPr="607B15D3">
        <w:rPr>
          <w:rFonts w:ascii="Times New Roman" w:hAnsi="Times New Roman" w:cs="Times New Roman"/>
        </w:rPr>
        <w:t>public expenditure other than additional national financing</w:t>
      </w:r>
      <w:r w:rsidR="00744AFB">
        <w:rPr>
          <w:rFonts w:ascii="Times New Roman" w:hAnsi="Times New Roman" w:cs="Times New Roman"/>
        </w:rPr>
        <w:t xml:space="preserve"> only at intervention level and with double counting</w:t>
      </w:r>
      <w:r w:rsidR="00483B2D" w:rsidRPr="607B15D3">
        <w:rPr>
          <w:rFonts w:ascii="Times New Roman" w:hAnsi="Times New Roman" w:cs="Times New Roman"/>
        </w:rPr>
        <w:t>.</w:t>
      </w:r>
      <w:r w:rsidR="00744AFB">
        <w:rPr>
          <w:rFonts w:ascii="Times New Roman" w:hAnsi="Times New Roman" w:cs="Times New Roman"/>
        </w:rPr>
        <w:t xml:space="preserve"> Therefore, if the same output </w:t>
      </w:r>
      <w:r w:rsidR="0086539C">
        <w:rPr>
          <w:rFonts w:ascii="Times New Roman" w:hAnsi="Times New Roman" w:cs="Times New Roman"/>
        </w:rPr>
        <w:t xml:space="preserve">exclusively </w:t>
      </w:r>
      <w:r w:rsidR="0086539C" w:rsidRPr="0086539C">
        <w:rPr>
          <w:rFonts w:ascii="Times New Roman" w:hAnsi="Times New Roman" w:cs="Times New Roman"/>
        </w:rPr>
        <w:t>generated by additional national financing</w:t>
      </w:r>
      <w:r w:rsidR="0086539C">
        <w:rPr>
          <w:rFonts w:ascii="Times New Roman" w:hAnsi="Times New Roman" w:cs="Times New Roman"/>
        </w:rPr>
        <w:t xml:space="preserve"> is covered by two intervention unit amounts</w:t>
      </w:r>
      <w:r w:rsidR="006148FB">
        <w:rPr>
          <w:rFonts w:ascii="Times New Roman" w:hAnsi="Times New Roman" w:cs="Times New Roman"/>
        </w:rPr>
        <w:t xml:space="preserve"> belonging to</w:t>
      </w:r>
      <w:r w:rsidR="0086539C">
        <w:rPr>
          <w:rFonts w:ascii="Times New Roman" w:hAnsi="Times New Roman" w:cs="Times New Roman"/>
        </w:rPr>
        <w:t xml:space="preserve"> the same intervention, this output should be reported twice for that intervention in the total number of outputs </w:t>
      </w:r>
      <w:r w:rsidR="0086539C" w:rsidRPr="0086539C">
        <w:rPr>
          <w:rFonts w:ascii="Times New Roman" w:hAnsi="Times New Roman" w:cs="Times New Roman"/>
        </w:rPr>
        <w:t>exclusively generated by additional national financing</w:t>
      </w:r>
      <w:r w:rsidR="0086539C">
        <w:rPr>
          <w:rFonts w:ascii="Times New Roman" w:hAnsi="Times New Roman" w:cs="Times New Roman"/>
        </w:rPr>
        <w:t>.</w:t>
      </w:r>
    </w:p>
    <w:p w14:paraId="6AC1032C" w14:textId="0331864E" w:rsidR="008B59E1" w:rsidRDefault="0012062A" w:rsidP="00A82615">
      <w:pPr>
        <w:spacing w:before="120" w:after="240" w:line="264" w:lineRule="auto"/>
        <w:jc w:val="both"/>
        <w:rPr>
          <w:rFonts w:ascii="Times New Roman" w:hAnsi="Times New Roman" w:cs="Times New Roman"/>
        </w:rPr>
      </w:pPr>
      <w:r>
        <w:rPr>
          <w:rFonts w:ascii="Times New Roman" w:hAnsi="Times New Roman" w:cs="Times New Roman"/>
        </w:rPr>
        <w:t xml:space="preserve">An example of how to report partial outputs in case of non-IACS interventions </w:t>
      </w:r>
      <w:r w:rsidR="00C46EB0">
        <w:rPr>
          <w:rFonts w:ascii="Times New Roman" w:hAnsi="Times New Roman" w:cs="Times New Roman"/>
        </w:rPr>
        <w:t xml:space="preserve">when additional national financing is provided </w:t>
      </w:r>
      <w:r w:rsidR="00183B28">
        <w:rPr>
          <w:rFonts w:ascii="Times New Roman" w:hAnsi="Times New Roman" w:cs="Times New Roman"/>
        </w:rPr>
        <w:t>is shown in A</w:t>
      </w:r>
      <w:r>
        <w:rPr>
          <w:rFonts w:ascii="Times New Roman" w:hAnsi="Times New Roman" w:cs="Times New Roman"/>
        </w:rPr>
        <w:t xml:space="preserve">nnex </w:t>
      </w:r>
      <w:r w:rsidR="00183B28">
        <w:rPr>
          <w:rFonts w:ascii="Times New Roman" w:hAnsi="Times New Roman" w:cs="Times New Roman"/>
        </w:rPr>
        <w:t>V</w:t>
      </w:r>
      <w:r w:rsidR="008B59E1">
        <w:rPr>
          <w:rFonts w:ascii="Times New Roman" w:hAnsi="Times New Roman" w:cs="Times New Roman"/>
        </w:rPr>
        <w:t>.</w:t>
      </w:r>
    </w:p>
    <w:p w14:paraId="142FA87C" w14:textId="4D8E64E2" w:rsidR="0012062A" w:rsidRDefault="0012062A" w:rsidP="00A82615">
      <w:pPr>
        <w:spacing w:before="120" w:after="240" w:line="264" w:lineRule="auto"/>
        <w:jc w:val="both"/>
        <w:rPr>
          <w:rFonts w:ascii="Times New Roman" w:hAnsi="Times New Roman" w:cs="Times New Roman"/>
        </w:rPr>
      </w:pPr>
      <w:r>
        <w:rPr>
          <w:rFonts w:ascii="Times New Roman" w:hAnsi="Times New Roman" w:cs="Times New Roman"/>
        </w:rPr>
        <w:t>Aggregate values</w:t>
      </w:r>
    </w:p>
    <w:p w14:paraId="2476B96E" w14:textId="3E6232A8" w:rsidR="00744AFB" w:rsidRPr="006F2CA5" w:rsidRDefault="00744AFB" w:rsidP="00A82615">
      <w:pPr>
        <w:spacing w:before="120" w:after="240" w:line="264" w:lineRule="auto"/>
        <w:jc w:val="both"/>
        <w:rPr>
          <w:rFonts w:ascii="Times New Roman" w:hAnsi="Times New Roman" w:cs="Times New Roman"/>
        </w:rPr>
      </w:pPr>
      <w:r>
        <w:rPr>
          <w:rFonts w:ascii="Times New Roman" w:hAnsi="Times New Roman" w:cs="Times New Roman"/>
        </w:rPr>
        <w:t xml:space="preserve">There is no need to report separately outputs exclusively generated by additional national financing from </w:t>
      </w:r>
      <w:r w:rsidRPr="00744AFB">
        <w:rPr>
          <w:rFonts w:ascii="Times New Roman" w:hAnsi="Times New Roman" w:cs="Times New Roman"/>
        </w:rPr>
        <w:t xml:space="preserve">outputs generated by EU and public expenditure other than additional national financing </w:t>
      </w:r>
      <w:r>
        <w:rPr>
          <w:rFonts w:ascii="Times New Roman" w:hAnsi="Times New Roman" w:cs="Times New Roman"/>
        </w:rPr>
        <w:t xml:space="preserve">in the aggregate values. However, aggregates </w:t>
      </w:r>
      <w:r w:rsidR="0086539C">
        <w:rPr>
          <w:rFonts w:ascii="Times New Roman" w:hAnsi="Times New Roman" w:cs="Times New Roman"/>
        </w:rPr>
        <w:t>values and result indicators should include such contribution.</w:t>
      </w:r>
    </w:p>
    <w:p w14:paraId="7CB9587F" w14:textId="1DCF9597" w:rsidR="008A4ADA" w:rsidRPr="006F2CA5" w:rsidRDefault="00483B2D" w:rsidP="00A82615">
      <w:pPr>
        <w:spacing w:before="120" w:after="240" w:line="264" w:lineRule="auto"/>
        <w:jc w:val="both"/>
        <w:rPr>
          <w:rFonts w:ascii="Times New Roman" w:hAnsi="Times New Roman" w:cs="Times New Roman"/>
        </w:rPr>
      </w:pPr>
      <w:r w:rsidRPr="0EB928D1">
        <w:rPr>
          <w:rFonts w:ascii="Times New Roman" w:hAnsi="Times New Roman" w:cs="Times New Roman"/>
        </w:rPr>
        <w:t xml:space="preserve">Outputs generated by additional national financing </w:t>
      </w:r>
      <w:r w:rsidR="007753EC" w:rsidRPr="0EB928D1">
        <w:rPr>
          <w:rFonts w:ascii="Times New Roman" w:hAnsi="Times New Roman" w:cs="Times New Roman"/>
        </w:rPr>
        <w:t>should</w:t>
      </w:r>
      <w:r w:rsidRPr="0EB928D1">
        <w:rPr>
          <w:rFonts w:ascii="Times New Roman" w:hAnsi="Times New Roman" w:cs="Times New Roman"/>
        </w:rPr>
        <w:t xml:space="preserve"> not be taken into account for </w:t>
      </w:r>
      <w:r w:rsidR="3650BEEF" w:rsidRPr="0EB928D1">
        <w:rPr>
          <w:rFonts w:ascii="Times New Roman" w:hAnsi="Times New Roman" w:cs="Times New Roman"/>
        </w:rPr>
        <w:t>the annual reporting on outputs</w:t>
      </w:r>
      <w:r w:rsidR="2C7E83FC" w:rsidRPr="0EB928D1">
        <w:rPr>
          <w:rFonts w:ascii="Times New Roman" w:hAnsi="Times New Roman" w:cs="Times New Roman"/>
        </w:rPr>
        <w:t xml:space="preserve"> for the purposes of Article 37 HZR (Eligibility of expenditure), to be cleared in the </w:t>
      </w:r>
      <w:r w:rsidR="2C7E83FC" w:rsidRPr="0EB928D1">
        <w:rPr>
          <w:rFonts w:ascii="Times New Roman" w:hAnsi="Times New Roman" w:cs="Times New Roman"/>
        </w:rPr>
        <w:lastRenderedPageBreak/>
        <w:t>performance clearance</w:t>
      </w:r>
      <w:r w:rsidRPr="0EB928D1">
        <w:rPr>
          <w:rFonts w:ascii="Times New Roman" w:hAnsi="Times New Roman" w:cs="Times New Roman"/>
        </w:rPr>
        <w:t>, but they should be taken into account in the calculation of aggregated values of output indicators for the purpose of monitoring, communication and evaluation.</w:t>
      </w:r>
      <w:r w:rsidR="008B3184" w:rsidRPr="0EB928D1">
        <w:rPr>
          <w:rFonts w:ascii="Times New Roman" w:hAnsi="Times New Roman" w:cs="Times New Roman"/>
        </w:rPr>
        <w:t xml:space="preserve"> </w:t>
      </w:r>
    </w:p>
    <w:p w14:paraId="6D8501D6" w14:textId="36C12139" w:rsidR="00717503" w:rsidRPr="006F2CA5" w:rsidRDefault="00F8638D" w:rsidP="00A82615">
      <w:pPr>
        <w:pStyle w:val="Heading1"/>
        <w:spacing w:before="120" w:after="240" w:line="264" w:lineRule="auto"/>
        <w:jc w:val="both"/>
        <w:rPr>
          <w:rFonts w:ascii="Times New Roman" w:hAnsi="Times New Roman" w:cs="Times New Roman"/>
          <w:color w:val="C45911" w:themeColor="accent2" w:themeShade="BF"/>
        </w:rPr>
      </w:pPr>
      <w:bookmarkStart w:id="24" w:name="_Toc89902378"/>
      <w:bookmarkStart w:id="25" w:name="_Toc126762213"/>
      <w:r w:rsidRPr="006F2CA5">
        <w:rPr>
          <w:rFonts w:ascii="Times New Roman" w:hAnsi="Times New Roman" w:cs="Times New Roman"/>
          <w:color w:val="C45911" w:themeColor="accent2" w:themeShade="BF"/>
        </w:rPr>
        <w:t>Result indicators</w:t>
      </w:r>
      <w:bookmarkEnd w:id="24"/>
      <w:bookmarkEnd w:id="25"/>
    </w:p>
    <w:p w14:paraId="22A458C5" w14:textId="2468D405" w:rsidR="001923EC" w:rsidRPr="006F2CA5" w:rsidRDefault="001923EC" w:rsidP="00A82615">
      <w:pPr>
        <w:pStyle w:val="Heading2"/>
        <w:spacing w:before="120" w:after="240" w:line="264" w:lineRule="auto"/>
        <w:ind w:left="578" w:hanging="578"/>
        <w:jc w:val="both"/>
        <w:rPr>
          <w:rFonts w:ascii="Times New Roman" w:hAnsi="Times New Roman" w:cs="Times New Roman"/>
          <w:color w:val="C45911" w:themeColor="accent2" w:themeShade="BF"/>
        </w:rPr>
      </w:pPr>
      <w:bookmarkStart w:id="26" w:name="_Toc126762214"/>
      <w:r w:rsidRPr="006F2CA5">
        <w:rPr>
          <w:rFonts w:ascii="Times New Roman" w:hAnsi="Times New Roman" w:cs="Times New Roman"/>
          <w:color w:val="C45911" w:themeColor="accent2" w:themeShade="BF"/>
        </w:rPr>
        <w:t xml:space="preserve">General principles </w:t>
      </w:r>
      <w:r w:rsidR="00265A53">
        <w:rPr>
          <w:rFonts w:ascii="Times New Roman" w:hAnsi="Times New Roman" w:cs="Times New Roman"/>
          <w:color w:val="C45911" w:themeColor="accent2" w:themeShade="BF"/>
        </w:rPr>
        <w:t>for result indicators</w:t>
      </w:r>
      <w:bookmarkEnd w:id="26"/>
    </w:p>
    <w:p w14:paraId="15EE31F2" w14:textId="77777777" w:rsidR="00410959" w:rsidRDefault="00410959" w:rsidP="00261AA6">
      <w:pPr>
        <w:spacing w:before="120" w:after="240" w:line="264" w:lineRule="auto"/>
        <w:jc w:val="both"/>
        <w:rPr>
          <w:rFonts w:ascii="Times New Roman" w:hAnsi="Times New Roman" w:cs="Times New Roman"/>
        </w:rPr>
      </w:pPr>
      <w:r w:rsidRPr="004F6562">
        <w:rPr>
          <w:rFonts w:ascii="Times New Roman" w:hAnsi="Times New Roman" w:cs="Times New Roman"/>
          <w:b/>
        </w:rPr>
        <w:t>Result indicators establish the link between an intervention and its purpose</w:t>
      </w:r>
      <w:r>
        <w:rPr>
          <w:rFonts w:ascii="Times New Roman" w:hAnsi="Times New Roman" w:cs="Times New Roman"/>
        </w:rPr>
        <w:t xml:space="preserve">. </w:t>
      </w:r>
      <w:r w:rsidRPr="00410959">
        <w:rPr>
          <w:rFonts w:ascii="Times New Roman" w:hAnsi="Times New Roman" w:cs="Times New Roman"/>
          <w:bCs/>
        </w:rPr>
        <w:t>They</w:t>
      </w:r>
      <w:r w:rsidRPr="00410959">
        <w:rPr>
          <w:rFonts w:ascii="Times New Roman" w:hAnsi="Times New Roman" w:cs="Times New Roman"/>
          <w:b/>
          <w:bCs/>
        </w:rPr>
        <w:t xml:space="preserve"> </w:t>
      </w:r>
      <w:r w:rsidRPr="00410959">
        <w:rPr>
          <w:rFonts w:ascii="Times New Roman" w:hAnsi="Times New Roman" w:cs="Times New Roman"/>
        </w:rPr>
        <w:t xml:space="preserve">are used for </w:t>
      </w:r>
      <w:r w:rsidRPr="007D093E">
        <w:rPr>
          <w:rFonts w:ascii="Times New Roman" w:hAnsi="Times New Roman" w:cs="Times New Roman"/>
          <w:b/>
        </w:rPr>
        <w:t>target</w:t>
      </w:r>
      <w:r w:rsidR="00E65CCC" w:rsidRPr="007D093E">
        <w:rPr>
          <w:rFonts w:ascii="Times New Roman" w:hAnsi="Times New Roman" w:cs="Times New Roman"/>
          <w:b/>
        </w:rPr>
        <w:t xml:space="preserve"> </w:t>
      </w:r>
      <w:r w:rsidRPr="007D093E">
        <w:rPr>
          <w:rFonts w:ascii="Times New Roman" w:hAnsi="Times New Roman" w:cs="Times New Roman"/>
          <w:b/>
        </w:rPr>
        <w:t>setting</w:t>
      </w:r>
      <w:r w:rsidRPr="00410959">
        <w:rPr>
          <w:rFonts w:ascii="Times New Roman" w:hAnsi="Times New Roman" w:cs="Times New Roman"/>
        </w:rPr>
        <w:t xml:space="preserve"> and to measure progress towards those targets (performance review).</w:t>
      </w:r>
      <w:r>
        <w:rPr>
          <w:rFonts w:ascii="Times New Roman" w:hAnsi="Times New Roman" w:cs="Times New Roman"/>
        </w:rPr>
        <w:t xml:space="preserve"> </w:t>
      </w:r>
      <w:r w:rsidRPr="00410959">
        <w:rPr>
          <w:rFonts w:ascii="Times New Roman" w:hAnsi="Times New Roman" w:cs="Times New Roman"/>
        </w:rPr>
        <w:t>Provided a CAP action has proven to be effective in achieving its objective, following annual progress in its implementation will itself provide a good indication of whether or not the CAP is on track.</w:t>
      </w:r>
    </w:p>
    <w:p w14:paraId="6DFEC31D" w14:textId="6EDC4254" w:rsidR="00953CDD" w:rsidRPr="006F2CA5" w:rsidRDefault="00953CDD" w:rsidP="00261AA6">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 list of all the result indicators with full label </w:t>
      </w:r>
      <w:r w:rsidR="00532E32">
        <w:rPr>
          <w:rFonts w:ascii="Times New Roman" w:hAnsi="Times New Roman" w:cs="Times New Roman"/>
        </w:rPr>
        <w:t xml:space="preserve">and </w:t>
      </w:r>
      <w:r w:rsidR="00E813AE">
        <w:rPr>
          <w:rFonts w:ascii="Times New Roman" w:hAnsi="Times New Roman" w:cs="Times New Roman"/>
        </w:rPr>
        <w:t xml:space="preserve">associated </w:t>
      </w:r>
      <w:r w:rsidR="00532E32">
        <w:rPr>
          <w:rFonts w:ascii="Times New Roman" w:hAnsi="Times New Roman" w:cs="Times New Roman"/>
        </w:rPr>
        <w:t>specific objectives</w:t>
      </w:r>
      <w:r w:rsidRPr="006F2CA5">
        <w:rPr>
          <w:rFonts w:ascii="Times New Roman" w:hAnsi="Times New Roman" w:cs="Times New Roman"/>
        </w:rPr>
        <w:t xml:space="preserve"> </w:t>
      </w:r>
      <w:r w:rsidR="005D7DD3">
        <w:rPr>
          <w:rFonts w:ascii="Times New Roman" w:hAnsi="Times New Roman" w:cs="Times New Roman"/>
        </w:rPr>
        <w:t xml:space="preserve">as presented in the Annex I </w:t>
      </w:r>
      <w:r w:rsidR="0019419D">
        <w:rPr>
          <w:rFonts w:ascii="Times New Roman" w:hAnsi="Times New Roman" w:cs="Times New Roman"/>
        </w:rPr>
        <w:t>to</w:t>
      </w:r>
      <w:r w:rsidR="005D7DD3">
        <w:rPr>
          <w:rFonts w:ascii="Times New Roman" w:hAnsi="Times New Roman" w:cs="Times New Roman"/>
        </w:rPr>
        <w:t xml:space="preserve"> </w:t>
      </w:r>
      <w:r w:rsidR="00680593">
        <w:rPr>
          <w:rFonts w:ascii="Times New Roman" w:hAnsi="Times New Roman" w:cs="Times New Roman"/>
        </w:rPr>
        <w:t xml:space="preserve">the </w:t>
      </w:r>
      <w:r w:rsidR="005D7DD3">
        <w:rPr>
          <w:rFonts w:ascii="Times New Roman" w:hAnsi="Times New Roman" w:cs="Times New Roman"/>
        </w:rPr>
        <w:t xml:space="preserve">SPR </w:t>
      </w:r>
      <w:r w:rsidRPr="006F2CA5">
        <w:rPr>
          <w:rFonts w:ascii="Times New Roman" w:hAnsi="Times New Roman" w:cs="Times New Roman"/>
        </w:rPr>
        <w:t xml:space="preserve">is included </w:t>
      </w:r>
      <w:r w:rsidRPr="001D6A00">
        <w:rPr>
          <w:rFonts w:ascii="Times New Roman" w:hAnsi="Times New Roman" w:cs="Times New Roman"/>
        </w:rPr>
        <w:t xml:space="preserve">in </w:t>
      </w:r>
      <w:r w:rsidR="00886809" w:rsidRPr="001D6A00">
        <w:rPr>
          <w:rFonts w:ascii="Times New Roman" w:hAnsi="Times New Roman" w:cs="Times New Roman"/>
          <w:b/>
        </w:rPr>
        <w:t>Annex V</w:t>
      </w:r>
      <w:r w:rsidR="00F13E9D" w:rsidRPr="001D6A00">
        <w:rPr>
          <w:rFonts w:ascii="Times New Roman" w:hAnsi="Times New Roman" w:cs="Times New Roman"/>
          <w:b/>
        </w:rPr>
        <w:t>I</w:t>
      </w:r>
      <w:r w:rsidR="007B611E">
        <w:rPr>
          <w:rFonts w:ascii="Times New Roman" w:hAnsi="Times New Roman" w:cs="Times New Roman"/>
          <w:b/>
        </w:rPr>
        <w:t>I</w:t>
      </w:r>
      <w:r w:rsidRPr="001D6A00">
        <w:rPr>
          <w:rFonts w:ascii="Times New Roman" w:hAnsi="Times New Roman" w:cs="Times New Roman"/>
        </w:rPr>
        <w:t xml:space="preserve"> </w:t>
      </w:r>
      <w:r w:rsidR="0019419D">
        <w:rPr>
          <w:rFonts w:ascii="Times New Roman" w:hAnsi="Times New Roman" w:cs="Times New Roman"/>
        </w:rPr>
        <w:t xml:space="preserve">to </w:t>
      </w:r>
      <w:r w:rsidRPr="006F2CA5">
        <w:rPr>
          <w:rFonts w:ascii="Times New Roman" w:hAnsi="Times New Roman" w:cs="Times New Roman"/>
        </w:rPr>
        <w:t>this cover note.</w:t>
      </w:r>
    </w:p>
    <w:p w14:paraId="61902432" w14:textId="074085DC" w:rsidR="00953CDD" w:rsidRPr="006F2CA5" w:rsidRDefault="00953CDD" w:rsidP="00261AA6">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There are </w:t>
      </w:r>
      <w:r w:rsidR="00886809" w:rsidRPr="004F6562">
        <w:rPr>
          <w:rFonts w:ascii="Times New Roman" w:hAnsi="Times New Roman" w:cs="Times New Roman"/>
          <w:b/>
        </w:rPr>
        <w:t>44</w:t>
      </w:r>
      <w:r w:rsidRPr="004F6562">
        <w:rPr>
          <w:rFonts w:ascii="Times New Roman" w:hAnsi="Times New Roman" w:cs="Times New Roman"/>
          <w:b/>
        </w:rPr>
        <w:t xml:space="preserve"> </w:t>
      </w:r>
      <w:r w:rsidR="00886809" w:rsidRPr="004F6562">
        <w:rPr>
          <w:rFonts w:ascii="Times New Roman" w:hAnsi="Times New Roman" w:cs="Times New Roman"/>
          <w:b/>
        </w:rPr>
        <w:t>result</w:t>
      </w:r>
      <w:r w:rsidRPr="004F6562">
        <w:rPr>
          <w:rFonts w:ascii="Times New Roman" w:hAnsi="Times New Roman" w:cs="Times New Roman"/>
          <w:b/>
        </w:rPr>
        <w:t xml:space="preserve"> indicators</w:t>
      </w:r>
      <w:r w:rsidRPr="006F2CA5">
        <w:rPr>
          <w:rFonts w:ascii="Times New Roman" w:hAnsi="Times New Roman" w:cs="Times New Roman"/>
        </w:rPr>
        <w:t xml:space="preserve"> in total</w:t>
      </w:r>
      <w:r w:rsidR="00886809" w:rsidRPr="006F2CA5">
        <w:rPr>
          <w:rFonts w:ascii="Times New Roman" w:hAnsi="Times New Roman" w:cs="Times New Roman"/>
        </w:rPr>
        <w:t xml:space="preserve">, and </w:t>
      </w:r>
      <w:r w:rsidR="004313BC" w:rsidRPr="006F2CA5">
        <w:rPr>
          <w:rFonts w:ascii="Times New Roman" w:hAnsi="Times New Roman" w:cs="Times New Roman"/>
        </w:rPr>
        <w:t>MS</w:t>
      </w:r>
      <w:r w:rsidR="00886809" w:rsidRPr="006F2CA5">
        <w:rPr>
          <w:rFonts w:ascii="Times New Roman" w:hAnsi="Times New Roman" w:cs="Times New Roman"/>
        </w:rPr>
        <w:t xml:space="preserve"> are not allowed to use result indicators other than those in Annex V</w:t>
      </w:r>
      <w:r w:rsidR="00012C0B">
        <w:rPr>
          <w:rFonts w:ascii="Times New Roman" w:hAnsi="Times New Roman" w:cs="Times New Roman"/>
        </w:rPr>
        <w:t>I</w:t>
      </w:r>
      <w:r w:rsidR="007B611E">
        <w:rPr>
          <w:rFonts w:ascii="Times New Roman" w:hAnsi="Times New Roman" w:cs="Times New Roman"/>
        </w:rPr>
        <w:t>I</w:t>
      </w:r>
      <w:r w:rsidR="00886809" w:rsidRPr="006F2CA5">
        <w:rPr>
          <w:rFonts w:ascii="Times New Roman" w:hAnsi="Times New Roman" w:cs="Times New Roman"/>
        </w:rPr>
        <w:t xml:space="preserve">. This will </w:t>
      </w:r>
      <w:r w:rsidR="00261AA6">
        <w:rPr>
          <w:rFonts w:ascii="Times New Roman" w:hAnsi="Times New Roman" w:cs="Times New Roman"/>
        </w:rPr>
        <w:t>ensure</w:t>
      </w:r>
      <w:r w:rsidR="00886809" w:rsidRPr="006F2CA5">
        <w:rPr>
          <w:rFonts w:ascii="Times New Roman" w:hAnsi="Times New Roman" w:cs="Times New Roman"/>
        </w:rPr>
        <w:t xml:space="preserve"> comparability of results across </w:t>
      </w:r>
      <w:r w:rsidR="004313BC" w:rsidRPr="006F2CA5">
        <w:rPr>
          <w:rFonts w:ascii="Times New Roman" w:hAnsi="Times New Roman" w:cs="Times New Roman"/>
        </w:rPr>
        <w:t>MS</w:t>
      </w:r>
      <w:r w:rsidR="00886809" w:rsidRPr="006F2CA5">
        <w:rPr>
          <w:rFonts w:ascii="Times New Roman" w:hAnsi="Times New Roman" w:cs="Times New Roman"/>
        </w:rPr>
        <w:t xml:space="preserve"> and </w:t>
      </w:r>
      <w:r w:rsidR="00261AA6">
        <w:rPr>
          <w:rFonts w:ascii="Times New Roman" w:hAnsi="Times New Roman" w:cs="Times New Roman"/>
        </w:rPr>
        <w:t xml:space="preserve">allow the </w:t>
      </w:r>
      <w:r w:rsidR="00886809" w:rsidRPr="006F2CA5">
        <w:rPr>
          <w:rFonts w:ascii="Times New Roman" w:hAnsi="Times New Roman" w:cs="Times New Roman"/>
        </w:rPr>
        <w:t>aggregation of results at EU level.</w:t>
      </w:r>
    </w:p>
    <w:p w14:paraId="71C98B52" w14:textId="77777777" w:rsidR="00886809" w:rsidRPr="006F2CA5" w:rsidRDefault="00886809" w:rsidP="00261AA6">
      <w:pPr>
        <w:spacing w:before="120" w:after="240" w:line="264" w:lineRule="auto"/>
        <w:jc w:val="both"/>
        <w:rPr>
          <w:rFonts w:ascii="Times New Roman" w:hAnsi="Times New Roman" w:cs="Times New Roman"/>
        </w:rPr>
      </w:pPr>
      <w:r w:rsidRPr="006F2CA5">
        <w:rPr>
          <w:rFonts w:ascii="Times New Roman" w:hAnsi="Times New Roman" w:cs="Times New Roman"/>
        </w:rPr>
        <w:t xml:space="preserve">Most result indicators are </w:t>
      </w:r>
      <w:r w:rsidRPr="004F6562">
        <w:rPr>
          <w:rFonts w:ascii="Times New Roman" w:hAnsi="Times New Roman" w:cs="Times New Roman"/>
          <w:b/>
        </w:rPr>
        <w:t>type of intervention specific</w:t>
      </w:r>
      <w:r w:rsidRPr="006F2CA5">
        <w:rPr>
          <w:rFonts w:ascii="Times New Roman" w:hAnsi="Times New Roman" w:cs="Times New Roman"/>
        </w:rPr>
        <w:t>. For instance, even if both management commitments and investments can contribute to the same specific objective, management commitments and investments are counted in separate result indicators to ease the accounting and the follow-up of the implementation of the CAP strategic plan.</w:t>
      </w:r>
      <w:r w:rsidR="006B08FE">
        <w:rPr>
          <w:rFonts w:ascii="Times New Roman" w:hAnsi="Times New Roman" w:cs="Times New Roman"/>
        </w:rPr>
        <w:t xml:space="preserve"> By contrast, </w:t>
      </w:r>
      <w:r w:rsidR="006B08FE" w:rsidRPr="003D4685">
        <w:rPr>
          <w:rFonts w:ascii="Times New Roman" w:hAnsi="Times New Roman" w:cs="Times New Roman"/>
        </w:rPr>
        <w:t>R.43 (AMR) and R.44 (Animal welfare)</w:t>
      </w:r>
      <w:r w:rsidR="006B08FE">
        <w:rPr>
          <w:rFonts w:ascii="Times New Roman" w:hAnsi="Times New Roman" w:cs="Times New Roman"/>
        </w:rPr>
        <w:t xml:space="preserve"> mix investments and commitments.</w:t>
      </w:r>
    </w:p>
    <w:p w14:paraId="5BF2BDFA" w14:textId="39861CE4" w:rsidR="004631DF" w:rsidRDefault="004631DF" w:rsidP="00261AA6">
      <w:pPr>
        <w:spacing w:before="120" w:after="240" w:line="264" w:lineRule="auto"/>
        <w:jc w:val="both"/>
        <w:rPr>
          <w:rFonts w:ascii="Times New Roman" w:hAnsi="Times New Roman" w:cs="Times New Roman"/>
        </w:rPr>
      </w:pPr>
      <w:r w:rsidRPr="003D4685">
        <w:rPr>
          <w:rFonts w:ascii="Times New Roman" w:hAnsi="Times New Roman" w:cs="Times New Roman"/>
        </w:rPr>
        <w:t xml:space="preserve">In most cases </w:t>
      </w:r>
      <w:r w:rsidR="00F23FDA">
        <w:rPr>
          <w:rFonts w:ascii="Times New Roman" w:hAnsi="Times New Roman" w:cs="Times New Roman"/>
        </w:rPr>
        <w:t>result indicators</w:t>
      </w:r>
      <w:r w:rsidR="00F23FDA" w:rsidRPr="003D4685">
        <w:rPr>
          <w:rFonts w:ascii="Times New Roman" w:hAnsi="Times New Roman" w:cs="Times New Roman"/>
        </w:rPr>
        <w:t xml:space="preserve"> </w:t>
      </w:r>
      <w:r w:rsidRPr="003D4685">
        <w:rPr>
          <w:rFonts w:ascii="Times New Roman" w:hAnsi="Times New Roman" w:cs="Times New Roman"/>
        </w:rPr>
        <w:t>differentiate between the management commitments paid per hectares (R.12, R.14, R.19, R.20, R.21, R.22, R.23, R.24, R.29, R.30, R.31, R.33) and those paid per LU (R.</w:t>
      </w:r>
      <w:r w:rsidR="003D4685" w:rsidRPr="003D4685">
        <w:rPr>
          <w:rFonts w:ascii="Times New Roman" w:hAnsi="Times New Roman" w:cs="Times New Roman"/>
        </w:rPr>
        <w:t>13, R.</w:t>
      </w:r>
      <w:r w:rsidRPr="003D4685">
        <w:rPr>
          <w:rFonts w:ascii="Times New Roman" w:hAnsi="Times New Roman" w:cs="Times New Roman"/>
        </w:rPr>
        <w:t xml:space="preserve">25). By contrast, for the support paid per </w:t>
      </w:r>
      <w:r w:rsidR="00674DAD">
        <w:rPr>
          <w:rFonts w:ascii="Times New Roman" w:hAnsi="Times New Roman" w:cs="Times New Roman"/>
        </w:rPr>
        <w:t>hectare</w:t>
      </w:r>
      <w:r w:rsidRPr="003D4685">
        <w:rPr>
          <w:rFonts w:ascii="Times New Roman" w:hAnsi="Times New Roman" w:cs="Times New Roman"/>
        </w:rPr>
        <w:t xml:space="preserve"> beneficial for animal welfare</w:t>
      </w:r>
      <w:r w:rsidR="003D4685" w:rsidRPr="003D4685">
        <w:rPr>
          <w:rFonts w:ascii="Times New Roman" w:hAnsi="Times New Roman" w:cs="Times New Roman"/>
        </w:rPr>
        <w:t xml:space="preserve"> and AMR</w:t>
      </w:r>
      <w:r w:rsidR="005D23C1">
        <w:rPr>
          <w:rFonts w:ascii="Times New Roman" w:hAnsi="Times New Roman" w:cs="Times New Roman"/>
        </w:rPr>
        <w:t xml:space="preserve"> (organic farming)</w:t>
      </w:r>
      <w:r w:rsidRPr="003D4685">
        <w:rPr>
          <w:rFonts w:ascii="Times New Roman" w:hAnsi="Times New Roman" w:cs="Times New Roman"/>
        </w:rPr>
        <w:t xml:space="preserve">, MS need to count the relevant LU for </w:t>
      </w:r>
      <w:r w:rsidR="003D4685" w:rsidRPr="003D4685">
        <w:rPr>
          <w:rFonts w:ascii="Times New Roman" w:hAnsi="Times New Roman" w:cs="Times New Roman"/>
        </w:rPr>
        <w:t xml:space="preserve">R.43 (AMR) and </w:t>
      </w:r>
      <w:r w:rsidRPr="003D4685">
        <w:rPr>
          <w:rFonts w:ascii="Times New Roman" w:hAnsi="Times New Roman" w:cs="Times New Roman"/>
        </w:rPr>
        <w:t>R.44 (Animal welfare).</w:t>
      </w:r>
      <w:r w:rsidR="00C30C44">
        <w:rPr>
          <w:rFonts w:ascii="Times New Roman" w:hAnsi="Times New Roman" w:cs="Times New Roman"/>
        </w:rPr>
        <w:t xml:space="preserve"> In addition, the support </w:t>
      </w:r>
      <w:r w:rsidR="00F9646D">
        <w:rPr>
          <w:rFonts w:ascii="Times New Roman" w:hAnsi="Times New Roman" w:cs="Times New Roman"/>
        </w:rPr>
        <w:t xml:space="preserve">addressing reduction of GHG and ammonia emissions, </w:t>
      </w:r>
      <w:r w:rsidR="00C30C44">
        <w:rPr>
          <w:rFonts w:ascii="Times New Roman" w:hAnsi="Times New Roman" w:cs="Times New Roman"/>
        </w:rPr>
        <w:t xml:space="preserve">paid per hectare but targeted to livestock </w:t>
      </w:r>
      <w:r w:rsidR="00F9646D">
        <w:rPr>
          <w:rFonts w:ascii="Times New Roman" w:hAnsi="Times New Roman" w:cs="Times New Roman"/>
        </w:rPr>
        <w:t>(</w:t>
      </w:r>
      <w:r w:rsidR="00C30C44">
        <w:rPr>
          <w:rFonts w:ascii="Times New Roman" w:hAnsi="Times New Roman" w:cs="Times New Roman"/>
        </w:rPr>
        <w:t xml:space="preserve">and without </w:t>
      </w:r>
      <w:r w:rsidR="00F9646D">
        <w:rPr>
          <w:rFonts w:ascii="Times New Roman" w:hAnsi="Times New Roman" w:cs="Times New Roman"/>
        </w:rPr>
        <w:t>link to land) shall be linked to R.13 (e.g. measures supporting feed efficiency or feed additives).</w:t>
      </w:r>
    </w:p>
    <w:p w14:paraId="0A6EFCF6" w14:textId="04B439DA" w:rsidR="003D4685" w:rsidRDefault="003D4685" w:rsidP="00261AA6">
      <w:pPr>
        <w:spacing w:before="120" w:after="240" w:line="264" w:lineRule="auto"/>
        <w:jc w:val="both"/>
        <w:rPr>
          <w:rFonts w:ascii="Times New Roman" w:hAnsi="Times New Roman" w:cs="Times New Roman"/>
        </w:rPr>
      </w:pPr>
      <w:r w:rsidRPr="003D4685">
        <w:rPr>
          <w:rFonts w:ascii="Times New Roman" w:hAnsi="Times New Roman" w:cs="Times New Roman"/>
        </w:rPr>
        <w:t xml:space="preserve">In most cases, </w:t>
      </w:r>
      <w:r w:rsidRPr="006F2CA5">
        <w:rPr>
          <w:rFonts w:ascii="Times New Roman" w:hAnsi="Times New Roman" w:cs="Times New Roman"/>
        </w:rPr>
        <w:t xml:space="preserve">result indicators </w:t>
      </w:r>
      <w:r w:rsidRPr="003D4685">
        <w:rPr>
          <w:rFonts w:ascii="Times New Roman" w:hAnsi="Times New Roman" w:cs="Times New Roman"/>
        </w:rPr>
        <w:t xml:space="preserve">differentiate the support paid on agricultural </w:t>
      </w:r>
      <w:r>
        <w:rPr>
          <w:rFonts w:ascii="Times New Roman" w:hAnsi="Times New Roman" w:cs="Times New Roman"/>
        </w:rPr>
        <w:t>land</w:t>
      </w:r>
      <w:r w:rsidRPr="003D4685">
        <w:rPr>
          <w:rFonts w:ascii="Times New Roman" w:hAnsi="Times New Roman" w:cs="Times New Roman"/>
        </w:rPr>
        <w:t xml:space="preserve"> (e.g. R.12, </w:t>
      </w:r>
      <w:r>
        <w:rPr>
          <w:rFonts w:ascii="Times New Roman" w:hAnsi="Times New Roman" w:cs="Times New Roman"/>
        </w:rPr>
        <w:t>R.14</w:t>
      </w:r>
      <w:r w:rsidR="00F23FDA">
        <w:rPr>
          <w:rFonts w:ascii="Times New Roman" w:hAnsi="Times New Roman" w:cs="Times New Roman"/>
        </w:rPr>
        <w:t>, etc.</w:t>
      </w:r>
      <w:r w:rsidR="00F23FDA" w:rsidRPr="003D4685">
        <w:rPr>
          <w:rFonts w:ascii="Times New Roman" w:hAnsi="Times New Roman" w:cs="Times New Roman"/>
        </w:rPr>
        <w:t xml:space="preserve">) </w:t>
      </w:r>
      <w:r w:rsidRPr="003D4685">
        <w:rPr>
          <w:rFonts w:ascii="Times New Roman" w:hAnsi="Times New Roman" w:cs="Times New Roman"/>
        </w:rPr>
        <w:t xml:space="preserve">from the support paid on forest </w:t>
      </w:r>
      <w:r>
        <w:rPr>
          <w:rFonts w:ascii="Times New Roman" w:hAnsi="Times New Roman" w:cs="Times New Roman"/>
        </w:rPr>
        <w:t>land</w:t>
      </w:r>
      <w:r w:rsidRPr="003D4685">
        <w:rPr>
          <w:rFonts w:ascii="Times New Roman" w:hAnsi="Times New Roman" w:cs="Times New Roman"/>
        </w:rPr>
        <w:t xml:space="preserve"> (R.30). By contrast, the creation of woodland counts towards R.17 whether afforestation takes place on agricultural land or on forest land.</w:t>
      </w:r>
    </w:p>
    <w:p w14:paraId="5EEB1460" w14:textId="6205FDC2" w:rsidR="003D4685" w:rsidRPr="006F2CA5" w:rsidRDefault="003D4685" w:rsidP="00261AA6">
      <w:pPr>
        <w:spacing w:before="120" w:after="240" w:line="264" w:lineRule="auto"/>
        <w:jc w:val="both"/>
        <w:rPr>
          <w:rFonts w:ascii="Times New Roman" w:hAnsi="Times New Roman" w:cs="Times New Roman"/>
        </w:rPr>
      </w:pPr>
      <w:r w:rsidRPr="003D4685">
        <w:rPr>
          <w:rFonts w:ascii="Times New Roman" w:hAnsi="Times New Roman" w:cs="Times New Roman"/>
        </w:rPr>
        <w:t xml:space="preserve">In most cases, i.e. when feasible and relevant, </w:t>
      </w:r>
      <w:r w:rsidR="001C18D9">
        <w:rPr>
          <w:rFonts w:ascii="Times New Roman" w:hAnsi="Times New Roman" w:cs="Times New Roman"/>
        </w:rPr>
        <w:t>interventions are linked to different</w:t>
      </w:r>
      <w:r w:rsidR="00F32D8D">
        <w:rPr>
          <w:rFonts w:ascii="Times New Roman" w:hAnsi="Times New Roman" w:cs="Times New Roman"/>
        </w:rPr>
        <w:t xml:space="preserve"> </w:t>
      </w:r>
      <w:r w:rsidRPr="006F2CA5">
        <w:rPr>
          <w:rFonts w:ascii="Times New Roman" w:hAnsi="Times New Roman" w:cs="Times New Roman"/>
        </w:rPr>
        <w:t xml:space="preserve">result indicators </w:t>
      </w:r>
      <w:r w:rsidR="001C18D9">
        <w:rPr>
          <w:rFonts w:ascii="Times New Roman" w:hAnsi="Times New Roman" w:cs="Times New Roman"/>
        </w:rPr>
        <w:t xml:space="preserve">depending on whether </w:t>
      </w:r>
      <w:r w:rsidRPr="003D4685">
        <w:rPr>
          <w:rFonts w:ascii="Times New Roman" w:hAnsi="Times New Roman" w:cs="Times New Roman"/>
        </w:rPr>
        <w:t xml:space="preserve">the support </w:t>
      </w:r>
      <w:r w:rsidR="001C18D9">
        <w:rPr>
          <w:rFonts w:ascii="Times New Roman" w:hAnsi="Times New Roman" w:cs="Times New Roman"/>
        </w:rPr>
        <w:t xml:space="preserve">is granted </w:t>
      </w:r>
      <w:r w:rsidRPr="003D4685">
        <w:rPr>
          <w:rFonts w:ascii="Times New Roman" w:hAnsi="Times New Roman" w:cs="Times New Roman"/>
        </w:rPr>
        <w:t xml:space="preserve">to farming </w:t>
      </w:r>
      <w:r w:rsidR="00C55CA5">
        <w:rPr>
          <w:rFonts w:ascii="Times New Roman" w:hAnsi="Times New Roman" w:cs="Times New Roman"/>
        </w:rPr>
        <w:t xml:space="preserve">(primary agricultural production) </w:t>
      </w:r>
      <w:r w:rsidR="001C18D9">
        <w:rPr>
          <w:rFonts w:ascii="Times New Roman" w:hAnsi="Times New Roman" w:cs="Times New Roman"/>
        </w:rPr>
        <w:t>or</w:t>
      </w:r>
      <w:r w:rsidR="006B2FFC">
        <w:rPr>
          <w:rFonts w:ascii="Times New Roman" w:hAnsi="Times New Roman" w:cs="Times New Roman"/>
        </w:rPr>
        <w:t xml:space="preserve"> activities other than farming</w:t>
      </w:r>
      <w:r w:rsidRPr="003D4685">
        <w:rPr>
          <w:rFonts w:ascii="Times New Roman" w:hAnsi="Times New Roman" w:cs="Times New Roman"/>
        </w:rPr>
        <w:t>.</w:t>
      </w:r>
      <w:r w:rsidR="001C18D9">
        <w:rPr>
          <w:rFonts w:ascii="Times New Roman" w:hAnsi="Times New Roman" w:cs="Times New Roman"/>
        </w:rPr>
        <w:t xml:space="preserve"> F</w:t>
      </w:r>
      <w:r w:rsidR="00823F84">
        <w:rPr>
          <w:rFonts w:ascii="Times New Roman" w:hAnsi="Times New Roman" w:cs="Times New Roman"/>
        </w:rPr>
        <w:t>or instance, t</w:t>
      </w:r>
      <w:r w:rsidR="00823F84" w:rsidRPr="003D4685">
        <w:rPr>
          <w:rFonts w:ascii="Times New Roman" w:hAnsi="Times New Roman" w:cs="Times New Roman"/>
        </w:rPr>
        <w:t>he</w:t>
      </w:r>
      <w:r w:rsidRPr="003D4685">
        <w:rPr>
          <w:rFonts w:ascii="Times New Roman" w:hAnsi="Times New Roman" w:cs="Times New Roman"/>
        </w:rPr>
        <w:t xml:space="preserve"> support to businesses, </w:t>
      </w:r>
      <w:r w:rsidR="00BD41FA">
        <w:rPr>
          <w:rFonts w:ascii="Times New Roman" w:hAnsi="Times New Roman" w:cs="Times New Roman"/>
        </w:rPr>
        <w:t>including off-farm investments realised by farmers,</w:t>
      </w:r>
      <w:r w:rsidR="00BD41FA" w:rsidRPr="003D4685">
        <w:rPr>
          <w:rFonts w:ascii="Times New Roman" w:hAnsi="Times New Roman" w:cs="Times New Roman"/>
        </w:rPr>
        <w:t xml:space="preserve"> </w:t>
      </w:r>
      <w:r w:rsidRPr="003D4685">
        <w:rPr>
          <w:rFonts w:ascii="Times New Roman" w:hAnsi="Times New Roman" w:cs="Times New Roman"/>
        </w:rPr>
        <w:t xml:space="preserve">is recorded in R.39 (Developing the rural economy) and R.27 (Environment / climate-related performance through investment in rural areas). By contrast, there is no distinction between farmers and </w:t>
      </w:r>
      <w:r w:rsidR="001C18D9">
        <w:rPr>
          <w:rFonts w:ascii="Times New Roman" w:hAnsi="Times New Roman" w:cs="Times New Roman"/>
        </w:rPr>
        <w:t>beneficiaries</w:t>
      </w:r>
      <w:r w:rsidR="001C18D9" w:rsidRPr="003D4685">
        <w:rPr>
          <w:rFonts w:ascii="Times New Roman" w:hAnsi="Times New Roman" w:cs="Times New Roman"/>
        </w:rPr>
        <w:t xml:space="preserve"> </w:t>
      </w:r>
      <w:r w:rsidR="006B2FFC" w:rsidRPr="003D4685">
        <w:rPr>
          <w:rFonts w:ascii="Times New Roman" w:hAnsi="Times New Roman" w:cs="Times New Roman"/>
        </w:rPr>
        <w:t xml:space="preserve">other </w:t>
      </w:r>
      <w:r w:rsidR="006B2FFC">
        <w:rPr>
          <w:rFonts w:ascii="Times New Roman" w:hAnsi="Times New Roman" w:cs="Times New Roman"/>
        </w:rPr>
        <w:t xml:space="preserve">than farmers </w:t>
      </w:r>
      <w:r w:rsidR="00E56B1E">
        <w:rPr>
          <w:rFonts w:ascii="Times New Roman" w:hAnsi="Times New Roman" w:cs="Times New Roman"/>
        </w:rPr>
        <w:t>with regard to</w:t>
      </w:r>
      <w:r w:rsidR="00E56B1E" w:rsidRPr="003D4685">
        <w:rPr>
          <w:rFonts w:ascii="Times New Roman" w:hAnsi="Times New Roman" w:cs="Times New Roman"/>
        </w:rPr>
        <w:t xml:space="preserve"> </w:t>
      </w:r>
      <w:r w:rsidRPr="003D4685">
        <w:rPr>
          <w:rFonts w:ascii="Times New Roman" w:hAnsi="Times New Roman" w:cs="Times New Roman"/>
        </w:rPr>
        <w:t xml:space="preserve">knowledge exchange reported under R.1 because </w:t>
      </w:r>
      <w:r w:rsidR="006B2FFC" w:rsidRPr="006B2FFC">
        <w:rPr>
          <w:rFonts w:ascii="Times New Roman" w:hAnsi="Times New Roman" w:cs="Times New Roman"/>
        </w:rPr>
        <w:t xml:space="preserve">the benefit arising from the collection of </w:t>
      </w:r>
      <w:r w:rsidR="00C55CA5">
        <w:rPr>
          <w:rFonts w:ascii="Times New Roman" w:hAnsi="Times New Roman" w:cs="Times New Roman"/>
        </w:rPr>
        <w:t xml:space="preserve">this </w:t>
      </w:r>
      <w:r w:rsidR="006B2FFC">
        <w:rPr>
          <w:rFonts w:ascii="Times New Roman" w:hAnsi="Times New Roman" w:cs="Times New Roman"/>
        </w:rPr>
        <w:t xml:space="preserve">additional information </w:t>
      </w:r>
      <w:r w:rsidR="006B2FFC" w:rsidRPr="006B2FFC">
        <w:rPr>
          <w:rFonts w:ascii="Times New Roman" w:hAnsi="Times New Roman" w:cs="Times New Roman"/>
        </w:rPr>
        <w:t>would not be proportionate to the administrative burden to collect such information</w:t>
      </w:r>
      <w:r w:rsidRPr="003D4685">
        <w:rPr>
          <w:rFonts w:ascii="Times New Roman" w:hAnsi="Times New Roman" w:cs="Times New Roman"/>
        </w:rPr>
        <w:t>.</w:t>
      </w:r>
    </w:p>
    <w:p w14:paraId="7B798AC0" w14:textId="64300877" w:rsidR="0045510D" w:rsidRPr="006F2CA5" w:rsidRDefault="00584356" w:rsidP="00A82615">
      <w:pPr>
        <w:pStyle w:val="Heading2"/>
        <w:spacing w:before="120" w:after="240" w:line="264" w:lineRule="auto"/>
        <w:ind w:left="578" w:hanging="578"/>
        <w:jc w:val="both"/>
        <w:rPr>
          <w:rFonts w:ascii="Times New Roman" w:hAnsi="Times New Roman" w:cs="Times New Roman"/>
          <w:color w:val="C45911" w:themeColor="accent2" w:themeShade="BF"/>
        </w:rPr>
      </w:pPr>
      <w:bookmarkStart w:id="27" w:name="_Toc126762215"/>
      <w:r>
        <w:rPr>
          <w:rFonts w:ascii="Times New Roman" w:hAnsi="Times New Roman" w:cs="Times New Roman"/>
          <w:color w:val="C45911" w:themeColor="accent2" w:themeShade="BF"/>
        </w:rPr>
        <w:lastRenderedPageBreak/>
        <w:t>Linking result indicators and specific o</w:t>
      </w:r>
      <w:r w:rsidR="0045510D" w:rsidRPr="006F2CA5">
        <w:rPr>
          <w:rFonts w:ascii="Times New Roman" w:hAnsi="Times New Roman" w:cs="Times New Roman"/>
          <w:color w:val="C45911" w:themeColor="accent2" w:themeShade="BF"/>
        </w:rPr>
        <w:t>bjectives</w:t>
      </w:r>
      <w:bookmarkEnd w:id="27"/>
    </w:p>
    <w:p w14:paraId="00CCECD4" w14:textId="77777777" w:rsidR="006B1374" w:rsidRPr="006F2CA5" w:rsidRDefault="004313BC" w:rsidP="00410959">
      <w:pPr>
        <w:spacing w:before="120" w:after="240" w:line="264" w:lineRule="auto"/>
        <w:jc w:val="both"/>
        <w:rPr>
          <w:rFonts w:ascii="Times New Roman" w:hAnsi="Times New Roman" w:cs="Times New Roman"/>
        </w:rPr>
      </w:pPr>
      <w:r w:rsidRPr="006F2CA5">
        <w:rPr>
          <w:rFonts w:ascii="Times New Roman" w:hAnsi="Times New Roman" w:cs="Times New Roman"/>
        </w:rPr>
        <w:t>MS</w:t>
      </w:r>
      <w:r w:rsidR="00866CAD" w:rsidRPr="006F2CA5">
        <w:rPr>
          <w:rFonts w:ascii="Times New Roman" w:hAnsi="Times New Roman" w:cs="Times New Roman"/>
        </w:rPr>
        <w:t xml:space="preserve"> should </w:t>
      </w:r>
      <w:r w:rsidR="00410959">
        <w:rPr>
          <w:rFonts w:ascii="Times New Roman" w:hAnsi="Times New Roman" w:cs="Times New Roman"/>
        </w:rPr>
        <w:t xml:space="preserve">establish </w:t>
      </w:r>
      <w:r w:rsidR="00CA5CFB" w:rsidRPr="006F2CA5">
        <w:rPr>
          <w:rFonts w:ascii="Times New Roman" w:hAnsi="Times New Roman" w:cs="Times New Roman"/>
        </w:rPr>
        <w:t>a link between result indicators and specific objectives</w:t>
      </w:r>
      <w:r w:rsidR="00584356">
        <w:rPr>
          <w:rFonts w:ascii="Times New Roman" w:hAnsi="Times New Roman" w:cs="Times New Roman"/>
        </w:rPr>
        <w:t xml:space="preserve"> (SOs)</w:t>
      </w:r>
      <w:r w:rsidR="00410959">
        <w:rPr>
          <w:rFonts w:ascii="Times New Roman" w:hAnsi="Times New Roman" w:cs="Times New Roman"/>
        </w:rPr>
        <w:t xml:space="preserve">. </w:t>
      </w:r>
    </w:p>
    <w:p w14:paraId="50A624E8" w14:textId="15A224BE" w:rsidR="0045510D" w:rsidRPr="006F2CA5" w:rsidRDefault="0045510D" w:rsidP="00410959">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There is a direct link between result indicators and </w:t>
      </w:r>
      <w:r w:rsidR="00584356">
        <w:rPr>
          <w:rFonts w:ascii="Times New Roman" w:hAnsi="Times New Roman" w:cs="Times New Roman"/>
        </w:rPr>
        <w:t>SOs</w:t>
      </w:r>
      <w:r w:rsidR="00DB504E" w:rsidRPr="006F2CA5">
        <w:rPr>
          <w:rFonts w:ascii="Times New Roman" w:hAnsi="Times New Roman" w:cs="Times New Roman"/>
        </w:rPr>
        <w:t>, as suggested in A</w:t>
      </w:r>
      <w:r w:rsidRPr="006F2CA5">
        <w:rPr>
          <w:rFonts w:ascii="Times New Roman" w:hAnsi="Times New Roman" w:cs="Times New Roman"/>
        </w:rPr>
        <w:t xml:space="preserve">nnex I </w:t>
      </w:r>
      <w:r w:rsidR="0019419D">
        <w:rPr>
          <w:rFonts w:ascii="Times New Roman" w:hAnsi="Times New Roman" w:cs="Times New Roman"/>
        </w:rPr>
        <w:t>to</w:t>
      </w:r>
      <w:r w:rsidRPr="006F2CA5">
        <w:rPr>
          <w:rFonts w:ascii="Times New Roman" w:hAnsi="Times New Roman" w:cs="Times New Roman"/>
        </w:rPr>
        <w:t xml:space="preserve"> the </w:t>
      </w:r>
      <w:r w:rsidR="008A6A84">
        <w:rPr>
          <w:rFonts w:ascii="Times New Roman" w:hAnsi="Times New Roman" w:cs="Times New Roman"/>
        </w:rPr>
        <w:t>SPR</w:t>
      </w:r>
      <w:r w:rsidR="00E813AE">
        <w:rPr>
          <w:rFonts w:ascii="Times New Roman" w:hAnsi="Times New Roman" w:cs="Times New Roman"/>
        </w:rPr>
        <w:t xml:space="preserve"> and in Annex VI</w:t>
      </w:r>
      <w:r w:rsidR="007B611E">
        <w:rPr>
          <w:rFonts w:ascii="Times New Roman" w:hAnsi="Times New Roman" w:cs="Times New Roman"/>
        </w:rPr>
        <w:t>I</w:t>
      </w:r>
      <w:r w:rsidR="0019419D">
        <w:rPr>
          <w:rFonts w:ascii="Times New Roman" w:hAnsi="Times New Roman" w:cs="Times New Roman"/>
        </w:rPr>
        <w:t xml:space="preserve"> to</w:t>
      </w:r>
      <w:r w:rsidR="00E813AE">
        <w:rPr>
          <w:rFonts w:ascii="Times New Roman" w:hAnsi="Times New Roman" w:cs="Times New Roman"/>
        </w:rPr>
        <w:t xml:space="preserve"> this cover note</w:t>
      </w:r>
      <w:r w:rsidRPr="006F2CA5">
        <w:rPr>
          <w:rFonts w:ascii="Times New Roman" w:hAnsi="Times New Roman" w:cs="Times New Roman"/>
        </w:rPr>
        <w:t xml:space="preserve">. </w:t>
      </w:r>
      <w:r w:rsidR="00DB504E" w:rsidRPr="006F2CA5">
        <w:rPr>
          <w:rFonts w:ascii="Times New Roman" w:hAnsi="Times New Roman" w:cs="Times New Roman"/>
        </w:rPr>
        <w:t>However, the same</w:t>
      </w:r>
      <w:r w:rsidRPr="006F2CA5">
        <w:rPr>
          <w:rFonts w:ascii="Times New Roman" w:hAnsi="Times New Roman" w:cs="Times New Roman"/>
        </w:rPr>
        <w:t xml:space="preserve"> result indicator can be linked to more than one </w:t>
      </w:r>
      <w:r w:rsidR="00584356">
        <w:rPr>
          <w:rFonts w:ascii="Times New Roman" w:hAnsi="Times New Roman" w:cs="Times New Roman"/>
        </w:rPr>
        <w:t>SO</w:t>
      </w:r>
      <w:r w:rsidR="006B08FE">
        <w:rPr>
          <w:rFonts w:ascii="Times New Roman" w:hAnsi="Times New Roman" w:cs="Times New Roman"/>
        </w:rPr>
        <w:t>:</w:t>
      </w:r>
    </w:p>
    <w:p w14:paraId="10E2B259" w14:textId="77777777" w:rsidR="0045510D" w:rsidRPr="006B08FE" w:rsidRDefault="00DB504E" w:rsidP="006B08FE">
      <w:pPr>
        <w:pStyle w:val="ListParagraph"/>
        <w:numPr>
          <w:ilvl w:val="0"/>
          <w:numId w:val="23"/>
        </w:numPr>
        <w:spacing w:before="120" w:after="240" w:line="264" w:lineRule="auto"/>
        <w:jc w:val="both"/>
        <w:rPr>
          <w:rFonts w:ascii="Times New Roman" w:hAnsi="Times New Roman" w:cs="Times New Roman"/>
        </w:rPr>
      </w:pPr>
      <w:r w:rsidRPr="006B08FE">
        <w:rPr>
          <w:rFonts w:ascii="Times New Roman" w:hAnsi="Times New Roman" w:cs="Times New Roman"/>
        </w:rPr>
        <w:t>For instance,</w:t>
      </w:r>
      <w:r w:rsidR="0045510D" w:rsidRPr="006B08FE">
        <w:rPr>
          <w:rFonts w:ascii="Times New Roman" w:hAnsi="Times New Roman" w:cs="Times New Roman"/>
        </w:rPr>
        <w:t xml:space="preserve"> organic farming (R.29) </w:t>
      </w:r>
      <w:r w:rsidRPr="006B08FE">
        <w:rPr>
          <w:rFonts w:ascii="Times New Roman" w:hAnsi="Times New Roman" w:cs="Times New Roman"/>
        </w:rPr>
        <w:t>is</w:t>
      </w:r>
      <w:r w:rsidR="0045510D" w:rsidRPr="006B08FE">
        <w:rPr>
          <w:rFonts w:ascii="Times New Roman" w:hAnsi="Times New Roman" w:cs="Times New Roman"/>
        </w:rPr>
        <w:t xml:space="preserve"> linked to SO6 – Biodiversity</w:t>
      </w:r>
      <w:r w:rsidR="00967D02" w:rsidRPr="006B08FE">
        <w:rPr>
          <w:rFonts w:ascii="Times New Roman" w:hAnsi="Times New Roman" w:cs="Times New Roman"/>
        </w:rPr>
        <w:t xml:space="preserve"> in A</w:t>
      </w:r>
      <w:r w:rsidRPr="006B08FE">
        <w:rPr>
          <w:rFonts w:ascii="Times New Roman" w:hAnsi="Times New Roman" w:cs="Times New Roman"/>
        </w:rPr>
        <w:t xml:space="preserve">nnex I </w:t>
      </w:r>
      <w:r w:rsidR="0019419D">
        <w:rPr>
          <w:rFonts w:ascii="Times New Roman" w:hAnsi="Times New Roman" w:cs="Times New Roman"/>
        </w:rPr>
        <w:t>to</w:t>
      </w:r>
      <w:r w:rsidRPr="006B08FE">
        <w:rPr>
          <w:rFonts w:ascii="Times New Roman" w:hAnsi="Times New Roman" w:cs="Times New Roman"/>
        </w:rPr>
        <w:t xml:space="preserve"> the </w:t>
      </w:r>
      <w:r w:rsidR="008A6A84" w:rsidRPr="006B08FE">
        <w:rPr>
          <w:rFonts w:ascii="Times New Roman" w:hAnsi="Times New Roman" w:cs="Times New Roman"/>
        </w:rPr>
        <w:t>SPR</w:t>
      </w:r>
      <w:r w:rsidRPr="006B08FE">
        <w:rPr>
          <w:rFonts w:ascii="Times New Roman" w:hAnsi="Times New Roman" w:cs="Times New Roman"/>
        </w:rPr>
        <w:t>. H</w:t>
      </w:r>
      <w:r w:rsidR="0045510D" w:rsidRPr="006B08FE">
        <w:rPr>
          <w:rFonts w:ascii="Times New Roman" w:hAnsi="Times New Roman" w:cs="Times New Roman"/>
        </w:rPr>
        <w:t xml:space="preserve">owever it </w:t>
      </w:r>
      <w:r w:rsidR="000405A7" w:rsidRPr="006B08FE">
        <w:rPr>
          <w:rFonts w:ascii="Times New Roman" w:hAnsi="Times New Roman" w:cs="Times New Roman"/>
        </w:rPr>
        <w:t xml:space="preserve">may </w:t>
      </w:r>
      <w:r w:rsidR="0045510D" w:rsidRPr="006B08FE">
        <w:rPr>
          <w:rFonts w:ascii="Times New Roman" w:hAnsi="Times New Roman" w:cs="Times New Roman"/>
        </w:rPr>
        <w:t xml:space="preserve">also </w:t>
      </w:r>
      <w:r w:rsidR="000405A7" w:rsidRPr="006B08FE">
        <w:rPr>
          <w:rFonts w:ascii="Times New Roman" w:hAnsi="Times New Roman" w:cs="Times New Roman"/>
        </w:rPr>
        <w:t xml:space="preserve">be </w:t>
      </w:r>
      <w:r w:rsidR="0045510D" w:rsidRPr="006B08FE">
        <w:rPr>
          <w:rFonts w:ascii="Times New Roman" w:hAnsi="Times New Roman" w:cs="Times New Roman"/>
        </w:rPr>
        <w:t>linked to SO5 – Natural Resources due to the benefits to soil and water, to SO4 – Climate, given that organic farming contributes to carbon sequestration, and SO9 – Societal demands, given consumers` demand for organic food.</w:t>
      </w:r>
      <w:r w:rsidR="00410959" w:rsidRPr="006B08FE">
        <w:rPr>
          <w:rFonts w:ascii="Times New Roman" w:hAnsi="Times New Roman" w:cs="Times New Roman"/>
        </w:rPr>
        <w:t xml:space="preserve"> </w:t>
      </w:r>
    </w:p>
    <w:p w14:paraId="63E0CC02" w14:textId="77777777" w:rsidR="0045510D" w:rsidRPr="008A4AF0" w:rsidRDefault="000405A7" w:rsidP="0019419D">
      <w:pPr>
        <w:pStyle w:val="ListParagraph"/>
        <w:numPr>
          <w:ilvl w:val="0"/>
          <w:numId w:val="23"/>
        </w:numPr>
        <w:spacing w:before="120" w:after="240" w:line="264" w:lineRule="auto"/>
        <w:jc w:val="both"/>
        <w:rPr>
          <w:rFonts w:ascii="Times New Roman" w:hAnsi="Times New Roman" w:cs="Times New Roman"/>
        </w:rPr>
      </w:pPr>
      <w:r w:rsidRPr="006B08FE">
        <w:rPr>
          <w:rFonts w:ascii="Times New Roman" w:hAnsi="Times New Roman" w:cs="Times New Roman"/>
        </w:rPr>
        <w:t>In</w:t>
      </w:r>
      <w:r w:rsidR="0045510D" w:rsidRPr="006B08FE">
        <w:rPr>
          <w:rFonts w:ascii="Times New Roman" w:hAnsi="Times New Roman" w:cs="Times New Roman"/>
        </w:rPr>
        <w:t xml:space="preserve"> Annex I </w:t>
      </w:r>
      <w:r w:rsidR="0019419D">
        <w:rPr>
          <w:rFonts w:ascii="Times New Roman" w:hAnsi="Times New Roman" w:cs="Times New Roman"/>
        </w:rPr>
        <w:t>to</w:t>
      </w:r>
      <w:r w:rsidR="0045510D" w:rsidRPr="008A4AF0">
        <w:rPr>
          <w:rFonts w:ascii="Times New Roman" w:hAnsi="Times New Roman" w:cs="Times New Roman"/>
        </w:rPr>
        <w:t xml:space="preserve"> </w:t>
      </w:r>
      <w:r w:rsidRPr="008A4AF0">
        <w:rPr>
          <w:rFonts w:ascii="Times New Roman" w:hAnsi="Times New Roman" w:cs="Times New Roman"/>
        </w:rPr>
        <w:t xml:space="preserve">the </w:t>
      </w:r>
      <w:r w:rsidR="008A6A84" w:rsidRPr="008A4AF0">
        <w:rPr>
          <w:rFonts w:ascii="Times New Roman" w:hAnsi="Times New Roman" w:cs="Times New Roman"/>
        </w:rPr>
        <w:t>SPR</w:t>
      </w:r>
      <w:r w:rsidR="0045510D" w:rsidRPr="008A4AF0">
        <w:rPr>
          <w:rFonts w:ascii="Times New Roman" w:hAnsi="Times New Roman" w:cs="Times New Roman"/>
        </w:rPr>
        <w:t>, sustainable and reduced use of pesticides (R.24) is linked to S</w:t>
      </w:r>
      <w:r w:rsidRPr="008A4AF0">
        <w:rPr>
          <w:rFonts w:ascii="Times New Roman" w:hAnsi="Times New Roman" w:cs="Times New Roman"/>
        </w:rPr>
        <w:t xml:space="preserve">O5 – Natural Resources, </w:t>
      </w:r>
      <w:r w:rsidR="00584356" w:rsidRPr="008A4AF0">
        <w:rPr>
          <w:rFonts w:ascii="Times New Roman" w:hAnsi="Times New Roman" w:cs="Times New Roman"/>
        </w:rPr>
        <w:t xml:space="preserve">but it </w:t>
      </w:r>
      <w:r w:rsidRPr="008A4AF0">
        <w:rPr>
          <w:rFonts w:ascii="Times New Roman" w:hAnsi="Times New Roman" w:cs="Times New Roman"/>
        </w:rPr>
        <w:t>can also be</w:t>
      </w:r>
      <w:r w:rsidR="0045510D" w:rsidRPr="008A4AF0">
        <w:rPr>
          <w:rFonts w:ascii="Times New Roman" w:hAnsi="Times New Roman" w:cs="Times New Roman"/>
        </w:rPr>
        <w:t xml:space="preserve"> linked to SO9 – Societal demands.</w:t>
      </w:r>
    </w:p>
    <w:p w14:paraId="41FF5419" w14:textId="77777777" w:rsidR="0045510D" w:rsidRPr="006B08FE" w:rsidRDefault="0045510D" w:rsidP="006B08FE">
      <w:pPr>
        <w:pStyle w:val="ListParagraph"/>
        <w:numPr>
          <w:ilvl w:val="0"/>
          <w:numId w:val="23"/>
        </w:numPr>
        <w:spacing w:before="120" w:after="240" w:line="264" w:lineRule="auto"/>
        <w:jc w:val="both"/>
        <w:rPr>
          <w:rFonts w:ascii="Times New Roman" w:hAnsi="Times New Roman" w:cs="Times New Roman"/>
        </w:rPr>
      </w:pPr>
      <w:r w:rsidRPr="006B08FE">
        <w:rPr>
          <w:rFonts w:ascii="Times New Roman" w:hAnsi="Times New Roman" w:cs="Times New Roman"/>
        </w:rPr>
        <w:t>Training (R.1 and R.2) ultimately will</w:t>
      </w:r>
      <w:r w:rsidR="000405A7" w:rsidRPr="006B08FE">
        <w:rPr>
          <w:rFonts w:ascii="Times New Roman" w:hAnsi="Times New Roman" w:cs="Times New Roman"/>
        </w:rPr>
        <w:t xml:space="preserve"> benefit all </w:t>
      </w:r>
      <w:r w:rsidRPr="006B08FE">
        <w:rPr>
          <w:rFonts w:ascii="Times New Roman" w:hAnsi="Times New Roman" w:cs="Times New Roman"/>
        </w:rPr>
        <w:t>O</w:t>
      </w:r>
      <w:r w:rsidR="00410959" w:rsidRPr="006B08FE">
        <w:rPr>
          <w:rFonts w:ascii="Times New Roman" w:hAnsi="Times New Roman" w:cs="Times New Roman"/>
        </w:rPr>
        <w:t>bjectives</w:t>
      </w:r>
      <w:r w:rsidRPr="006B08FE">
        <w:rPr>
          <w:rFonts w:ascii="Times New Roman" w:hAnsi="Times New Roman" w:cs="Times New Roman"/>
        </w:rPr>
        <w:t xml:space="preserve">, thus it is enough to link it to </w:t>
      </w:r>
      <w:r w:rsidR="00584356" w:rsidRPr="006B08FE">
        <w:rPr>
          <w:rFonts w:ascii="Times New Roman" w:hAnsi="Times New Roman" w:cs="Times New Roman"/>
        </w:rPr>
        <w:t>SO10</w:t>
      </w:r>
      <w:r w:rsidR="00410959" w:rsidRPr="006B08FE">
        <w:rPr>
          <w:rFonts w:ascii="Times New Roman" w:hAnsi="Times New Roman" w:cs="Times New Roman"/>
        </w:rPr>
        <w:t xml:space="preserve">, which is </w:t>
      </w:r>
      <w:r w:rsidR="00584356" w:rsidRPr="006B08FE">
        <w:rPr>
          <w:rFonts w:ascii="Times New Roman" w:hAnsi="Times New Roman" w:cs="Times New Roman"/>
        </w:rPr>
        <w:t xml:space="preserve">the cross </w:t>
      </w:r>
      <w:r w:rsidRPr="006B08FE">
        <w:rPr>
          <w:rFonts w:ascii="Times New Roman" w:hAnsi="Times New Roman" w:cs="Times New Roman"/>
        </w:rPr>
        <w:t>cutting</w:t>
      </w:r>
      <w:r w:rsidR="00584356" w:rsidRPr="006B08FE">
        <w:rPr>
          <w:rFonts w:ascii="Times New Roman" w:hAnsi="Times New Roman" w:cs="Times New Roman"/>
        </w:rPr>
        <w:t xml:space="preserve"> objective - M</w:t>
      </w:r>
      <w:r w:rsidRPr="006B08FE">
        <w:rPr>
          <w:rFonts w:ascii="Times New Roman" w:hAnsi="Times New Roman" w:cs="Times New Roman"/>
        </w:rPr>
        <w:t>odernisation &amp; sharing knowledge</w:t>
      </w:r>
      <w:r w:rsidR="000405A7" w:rsidRPr="006B08FE">
        <w:rPr>
          <w:rFonts w:ascii="Times New Roman" w:hAnsi="Times New Roman" w:cs="Times New Roman"/>
        </w:rPr>
        <w:t xml:space="preserve"> in the CAP strategic plan.</w:t>
      </w:r>
    </w:p>
    <w:p w14:paraId="7B4A2815" w14:textId="4832EB1F" w:rsidR="0045510D" w:rsidRPr="006F2CA5" w:rsidRDefault="0045510D" w:rsidP="00410959">
      <w:pPr>
        <w:spacing w:before="120" w:after="240" w:line="264" w:lineRule="auto"/>
        <w:jc w:val="both"/>
        <w:rPr>
          <w:rFonts w:ascii="Times New Roman" w:hAnsi="Times New Roman" w:cs="Times New Roman"/>
        </w:rPr>
      </w:pPr>
      <w:r w:rsidRPr="006F2CA5">
        <w:rPr>
          <w:rFonts w:ascii="Times New Roman" w:hAnsi="Times New Roman" w:cs="Times New Roman"/>
        </w:rPr>
        <w:t>Th</w:t>
      </w:r>
      <w:r w:rsidR="00584356">
        <w:rPr>
          <w:rFonts w:ascii="Times New Roman" w:hAnsi="Times New Roman" w:cs="Times New Roman"/>
        </w:rPr>
        <w:t xml:space="preserve">e most evident links between </w:t>
      </w:r>
      <w:r w:rsidR="00584356" w:rsidRPr="003352F6">
        <w:rPr>
          <w:rFonts w:ascii="Times New Roman" w:hAnsi="Times New Roman" w:cs="Times New Roman"/>
          <w:b/>
        </w:rPr>
        <w:t>result indicators</w:t>
      </w:r>
      <w:r w:rsidRPr="003352F6">
        <w:rPr>
          <w:rFonts w:ascii="Times New Roman" w:hAnsi="Times New Roman" w:cs="Times New Roman"/>
          <w:b/>
        </w:rPr>
        <w:t xml:space="preserve"> and SOs</w:t>
      </w:r>
      <w:r w:rsidRPr="006F2CA5">
        <w:rPr>
          <w:rFonts w:ascii="Times New Roman" w:hAnsi="Times New Roman" w:cs="Times New Roman"/>
        </w:rPr>
        <w:t xml:space="preserve"> are displayed in </w:t>
      </w:r>
      <w:r w:rsidR="00680593">
        <w:rPr>
          <w:rFonts w:ascii="Times New Roman" w:hAnsi="Times New Roman" w:cs="Times New Roman"/>
        </w:rPr>
        <w:t>the matrix in</w:t>
      </w:r>
      <w:r w:rsidRPr="006F2CA5">
        <w:rPr>
          <w:rFonts w:ascii="Times New Roman" w:hAnsi="Times New Roman" w:cs="Times New Roman"/>
        </w:rPr>
        <w:t xml:space="preserve"> </w:t>
      </w:r>
      <w:r w:rsidRPr="00670BE1">
        <w:rPr>
          <w:rFonts w:ascii="Times New Roman" w:hAnsi="Times New Roman" w:cs="Times New Roman"/>
          <w:b/>
        </w:rPr>
        <w:t>Annex V</w:t>
      </w:r>
      <w:r w:rsidR="000405A7" w:rsidRPr="00670BE1">
        <w:rPr>
          <w:rFonts w:ascii="Times New Roman" w:hAnsi="Times New Roman" w:cs="Times New Roman"/>
          <w:b/>
        </w:rPr>
        <w:t>I</w:t>
      </w:r>
      <w:r w:rsidR="00E813AE">
        <w:rPr>
          <w:rFonts w:ascii="Times New Roman" w:hAnsi="Times New Roman" w:cs="Times New Roman"/>
          <w:b/>
        </w:rPr>
        <w:t>I</w:t>
      </w:r>
      <w:r w:rsidR="007B611E">
        <w:rPr>
          <w:rFonts w:ascii="Times New Roman" w:hAnsi="Times New Roman" w:cs="Times New Roman"/>
          <w:b/>
        </w:rPr>
        <w:t>I</w:t>
      </w:r>
      <w:r w:rsidRPr="006F2CA5">
        <w:rPr>
          <w:rFonts w:ascii="Times New Roman" w:hAnsi="Times New Roman" w:cs="Times New Roman"/>
        </w:rPr>
        <w:t xml:space="preserve"> </w:t>
      </w:r>
      <w:r w:rsidR="0019419D">
        <w:rPr>
          <w:rFonts w:ascii="Times New Roman" w:hAnsi="Times New Roman" w:cs="Times New Roman"/>
        </w:rPr>
        <w:t>to</w:t>
      </w:r>
      <w:r w:rsidRPr="006F2CA5">
        <w:rPr>
          <w:rFonts w:ascii="Times New Roman" w:hAnsi="Times New Roman" w:cs="Times New Roman"/>
        </w:rPr>
        <w:t xml:space="preserve"> this </w:t>
      </w:r>
      <w:r w:rsidR="000405A7" w:rsidRPr="006F2CA5">
        <w:rPr>
          <w:rFonts w:ascii="Times New Roman" w:hAnsi="Times New Roman" w:cs="Times New Roman"/>
        </w:rPr>
        <w:t>cover note</w:t>
      </w:r>
      <w:r w:rsidRPr="006F2CA5">
        <w:rPr>
          <w:rFonts w:ascii="Times New Roman" w:hAnsi="Times New Roman" w:cs="Times New Roman"/>
        </w:rPr>
        <w:t xml:space="preserve">. </w:t>
      </w:r>
      <w:r w:rsidR="000405A7" w:rsidRPr="006F2CA5">
        <w:rPr>
          <w:rFonts w:ascii="Times New Roman" w:hAnsi="Times New Roman" w:cs="Times New Roman"/>
        </w:rPr>
        <w:t>It is noteworthy that</w:t>
      </w:r>
      <w:r w:rsidRPr="006F2CA5">
        <w:rPr>
          <w:rFonts w:ascii="Times New Roman" w:hAnsi="Times New Roman" w:cs="Times New Roman"/>
        </w:rPr>
        <w:t xml:space="preserve"> MS can establish links</w:t>
      </w:r>
      <w:r w:rsidR="000405A7" w:rsidRPr="006F2CA5">
        <w:rPr>
          <w:rFonts w:ascii="Times New Roman" w:hAnsi="Times New Roman" w:cs="Times New Roman"/>
        </w:rPr>
        <w:t xml:space="preserve"> between result indicators and specific objectives </w:t>
      </w:r>
      <w:r w:rsidR="007257B4">
        <w:rPr>
          <w:rFonts w:ascii="Times New Roman" w:hAnsi="Times New Roman" w:cs="Times New Roman"/>
        </w:rPr>
        <w:t xml:space="preserve">in addition to those </w:t>
      </w:r>
      <w:r w:rsidR="002525BB">
        <w:rPr>
          <w:rFonts w:ascii="Times New Roman" w:hAnsi="Times New Roman" w:cs="Times New Roman"/>
        </w:rPr>
        <w:t xml:space="preserve">in the matrix </w:t>
      </w:r>
      <w:r w:rsidR="000405A7" w:rsidRPr="006F2CA5">
        <w:rPr>
          <w:rFonts w:ascii="Times New Roman" w:hAnsi="Times New Roman" w:cs="Times New Roman"/>
        </w:rPr>
        <w:t>depending on the design of the</w:t>
      </w:r>
      <w:r w:rsidR="00447B84">
        <w:rPr>
          <w:rFonts w:ascii="Times New Roman" w:hAnsi="Times New Roman" w:cs="Times New Roman"/>
        </w:rPr>
        <w:t>ir</w:t>
      </w:r>
      <w:r w:rsidR="000405A7" w:rsidRPr="006F2CA5">
        <w:rPr>
          <w:rFonts w:ascii="Times New Roman" w:hAnsi="Times New Roman" w:cs="Times New Roman"/>
        </w:rPr>
        <w:t xml:space="preserve"> interventions.</w:t>
      </w:r>
    </w:p>
    <w:p w14:paraId="66F0A822" w14:textId="5F3B509B" w:rsidR="000405A7" w:rsidRPr="006F2CA5" w:rsidRDefault="000405A7" w:rsidP="00A82615">
      <w:pPr>
        <w:pStyle w:val="Heading2"/>
        <w:spacing w:before="120" w:after="240" w:line="264" w:lineRule="auto"/>
        <w:ind w:left="578" w:hanging="578"/>
        <w:rPr>
          <w:rFonts w:ascii="Times New Roman" w:hAnsi="Times New Roman" w:cs="Times New Roman"/>
          <w:color w:val="C45911" w:themeColor="accent2" w:themeShade="BF"/>
        </w:rPr>
      </w:pPr>
      <w:bookmarkStart w:id="28" w:name="_Toc126762216"/>
      <w:r w:rsidRPr="006F2CA5">
        <w:rPr>
          <w:rFonts w:ascii="Times New Roman" w:hAnsi="Times New Roman" w:cs="Times New Roman"/>
          <w:color w:val="C45911" w:themeColor="accent2" w:themeShade="BF"/>
        </w:rPr>
        <w:t>Linking result indicators and types of interventions</w:t>
      </w:r>
      <w:bookmarkEnd w:id="28"/>
      <w:r w:rsidRPr="006F2CA5">
        <w:rPr>
          <w:rFonts w:ascii="Times New Roman" w:hAnsi="Times New Roman" w:cs="Times New Roman"/>
          <w:color w:val="C45911" w:themeColor="accent2" w:themeShade="BF"/>
        </w:rPr>
        <w:t xml:space="preserve"> </w:t>
      </w:r>
    </w:p>
    <w:p w14:paraId="396F1FF5" w14:textId="77777777" w:rsidR="00066629" w:rsidRPr="006F2CA5" w:rsidRDefault="004313BC" w:rsidP="00A75E6D">
      <w:pPr>
        <w:spacing w:before="120" w:after="240" w:line="264" w:lineRule="auto"/>
        <w:jc w:val="both"/>
        <w:rPr>
          <w:rFonts w:ascii="Times New Roman" w:hAnsi="Times New Roman" w:cs="Times New Roman"/>
        </w:rPr>
      </w:pPr>
      <w:r w:rsidRPr="006F2CA5">
        <w:rPr>
          <w:rFonts w:ascii="Times New Roman" w:hAnsi="Times New Roman" w:cs="Times New Roman"/>
        </w:rPr>
        <w:t>MS</w:t>
      </w:r>
      <w:r w:rsidR="00066629" w:rsidRPr="006F2CA5">
        <w:rPr>
          <w:rFonts w:ascii="Times New Roman" w:hAnsi="Times New Roman" w:cs="Times New Roman"/>
        </w:rPr>
        <w:t xml:space="preserve"> should take into account that:</w:t>
      </w:r>
    </w:p>
    <w:p w14:paraId="7729BA4A" w14:textId="77777777" w:rsidR="00066629" w:rsidRPr="006F2CA5" w:rsidRDefault="00066629" w:rsidP="005C5386">
      <w:pPr>
        <w:pStyle w:val="ListParagraph"/>
        <w:numPr>
          <w:ilvl w:val="0"/>
          <w:numId w:val="7"/>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 xml:space="preserve">interventions </w:t>
      </w:r>
      <w:r w:rsidR="007753EC">
        <w:rPr>
          <w:rFonts w:ascii="Times New Roman" w:hAnsi="Times New Roman" w:cs="Times New Roman"/>
        </w:rPr>
        <w:t>should</w:t>
      </w:r>
      <w:r w:rsidRPr="006F2CA5">
        <w:rPr>
          <w:rFonts w:ascii="Times New Roman" w:hAnsi="Times New Roman" w:cs="Times New Roman"/>
        </w:rPr>
        <w:t xml:space="preserve"> be linked to all result indicators to which they contribute directly and significantly;</w:t>
      </w:r>
    </w:p>
    <w:p w14:paraId="16DCA33E" w14:textId="77777777" w:rsidR="00A10207" w:rsidRPr="006F2CA5" w:rsidRDefault="00066629" w:rsidP="005C5386">
      <w:pPr>
        <w:pStyle w:val="ListParagraph"/>
        <w:numPr>
          <w:ilvl w:val="0"/>
          <w:numId w:val="7"/>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 xml:space="preserve">only operations within an intervention that contribute directly and significantly to a result indicator </w:t>
      </w:r>
      <w:r w:rsidR="007753EC">
        <w:rPr>
          <w:rFonts w:ascii="Times New Roman" w:hAnsi="Times New Roman" w:cs="Times New Roman"/>
        </w:rPr>
        <w:t>should</w:t>
      </w:r>
      <w:r w:rsidRPr="006F2CA5">
        <w:rPr>
          <w:rFonts w:ascii="Times New Roman" w:hAnsi="Times New Roman" w:cs="Times New Roman"/>
        </w:rPr>
        <w:t xml:space="preserve"> be attributed to this result i</w:t>
      </w:r>
      <w:r w:rsidR="00A10207" w:rsidRPr="006F2CA5">
        <w:rPr>
          <w:rFonts w:ascii="Times New Roman" w:hAnsi="Times New Roman" w:cs="Times New Roman"/>
        </w:rPr>
        <w:t>ndicator</w:t>
      </w:r>
      <w:r w:rsidR="003B01AB">
        <w:rPr>
          <w:rFonts w:ascii="Times New Roman" w:hAnsi="Times New Roman" w:cs="Times New Roman"/>
        </w:rPr>
        <w:t>.</w:t>
      </w:r>
      <w:r w:rsidR="009879AD">
        <w:rPr>
          <w:rFonts w:ascii="Times New Roman" w:hAnsi="Times New Roman" w:cs="Times New Roman"/>
        </w:rPr>
        <w:t xml:space="preserve"> </w:t>
      </w:r>
      <w:r w:rsidR="003B01AB">
        <w:rPr>
          <w:rFonts w:ascii="Times New Roman" w:hAnsi="Times New Roman" w:cs="Times New Roman"/>
        </w:rPr>
        <w:t>T</w:t>
      </w:r>
      <w:r w:rsidR="00637147">
        <w:rPr>
          <w:rFonts w:ascii="Times New Roman" w:hAnsi="Times New Roman" w:cs="Times New Roman"/>
        </w:rPr>
        <w:t>his is to acknowledge the fact that some interventions address several needs at a time (e.g. organic farming), while avoiding an overestimation of the effects of the policy</w:t>
      </w:r>
      <w:r w:rsidR="003B01AB">
        <w:rPr>
          <w:rFonts w:ascii="Times New Roman" w:hAnsi="Times New Roman" w:cs="Times New Roman"/>
        </w:rPr>
        <w:t>. F</w:t>
      </w:r>
      <w:r w:rsidR="00DC6CE2">
        <w:rPr>
          <w:rFonts w:ascii="Times New Roman" w:hAnsi="Times New Roman" w:cs="Times New Roman"/>
        </w:rPr>
        <w:t xml:space="preserve">or environmental </w:t>
      </w:r>
      <w:r w:rsidR="003B01AB">
        <w:rPr>
          <w:rFonts w:ascii="Times New Roman" w:hAnsi="Times New Roman" w:cs="Times New Roman"/>
        </w:rPr>
        <w:t xml:space="preserve">farming </w:t>
      </w:r>
      <w:r w:rsidR="00DC6CE2">
        <w:rPr>
          <w:rFonts w:ascii="Times New Roman" w:hAnsi="Times New Roman" w:cs="Times New Roman"/>
        </w:rPr>
        <w:t xml:space="preserve">practices, MS can refer to the matrix </w:t>
      </w:r>
      <w:r w:rsidR="003B01AB">
        <w:rPr>
          <w:rFonts w:ascii="Times New Roman" w:hAnsi="Times New Roman" w:cs="Times New Roman"/>
        </w:rPr>
        <w:t xml:space="preserve">between these practices and result indicators </w:t>
      </w:r>
      <w:r w:rsidR="00DC6CE2">
        <w:rPr>
          <w:rFonts w:ascii="Times New Roman" w:hAnsi="Times New Roman" w:cs="Times New Roman"/>
        </w:rPr>
        <w:t>developed by the JRC</w:t>
      </w:r>
      <w:r w:rsidR="003B01AB">
        <w:rPr>
          <w:rFonts w:ascii="Times New Roman" w:hAnsi="Times New Roman" w:cs="Times New Roman"/>
        </w:rPr>
        <w:t xml:space="preserve"> at this </w:t>
      </w:r>
      <w:hyperlink r:id="rId20" w:history="1">
        <w:r w:rsidR="003B01AB" w:rsidRPr="003B01AB">
          <w:rPr>
            <w:rStyle w:val="Hyperlink"/>
            <w:rFonts w:ascii="Times New Roman" w:hAnsi="Times New Roman" w:cs="Times New Roman"/>
          </w:rPr>
          <w:t>link</w:t>
        </w:r>
      </w:hyperlink>
      <w:r w:rsidR="003B01AB">
        <w:rPr>
          <w:rStyle w:val="FootnoteReference"/>
          <w:rFonts w:ascii="Times New Roman" w:hAnsi="Times New Roman" w:cs="Times New Roman"/>
        </w:rPr>
        <w:footnoteReference w:id="3"/>
      </w:r>
      <w:r w:rsidR="00DC6CE2">
        <w:rPr>
          <w:rFonts w:ascii="Times New Roman" w:hAnsi="Times New Roman" w:cs="Times New Roman"/>
        </w:rPr>
        <w:t>;</w:t>
      </w:r>
    </w:p>
    <w:p w14:paraId="296F4CD4" w14:textId="77777777" w:rsidR="006F2CD4" w:rsidRPr="006F2CA5" w:rsidRDefault="00066629" w:rsidP="005C5386">
      <w:pPr>
        <w:pStyle w:val="ListParagraph"/>
        <w:numPr>
          <w:ilvl w:val="0"/>
          <w:numId w:val="7"/>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 xml:space="preserve">a single intervention, or a single operation within one intervention, may contribute to </w:t>
      </w:r>
      <w:r w:rsidR="00A10207" w:rsidRPr="006F2CA5">
        <w:rPr>
          <w:rFonts w:ascii="Times New Roman" w:hAnsi="Times New Roman" w:cs="Times New Roman"/>
        </w:rPr>
        <w:t>more than one result indicator;</w:t>
      </w:r>
    </w:p>
    <w:p w14:paraId="2DE3298C" w14:textId="77777777" w:rsidR="003C212B" w:rsidRPr="003C212B" w:rsidRDefault="003C212B" w:rsidP="00C4347D">
      <w:pPr>
        <w:pStyle w:val="ListParagraph"/>
        <w:numPr>
          <w:ilvl w:val="0"/>
          <w:numId w:val="7"/>
        </w:numPr>
        <w:spacing w:before="120" w:after="240" w:line="264" w:lineRule="auto"/>
        <w:ind w:left="851" w:hanging="284"/>
        <w:contextualSpacing w:val="0"/>
        <w:jc w:val="both"/>
        <w:rPr>
          <w:rFonts w:ascii="Times New Roman" w:hAnsi="Times New Roman" w:cs="Times New Roman"/>
        </w:rPr>
      </w:pPr>
      <w:r w:rsidRPr="003C212B">
        <w:rPr>
          <w:rFonts w:ascii="Times New Roman" w:hAnsi="Times New Roman" w:cs="Times New Roman"/>
        </w:rPr>
        <w:t>all intervention</w:t>
      </w:r>
      <w:r w:rsidR="00DE3E50">
        <w:rPr>
          <w:rFonts w:ascii="Times New Roman" w:hAnsi="Times New Roman" w:cs="Times New Roman"/>
        </w:rPr>
        <w:t>s</w:t>
      </w:r>
      <w:r w:rsidRPr="003C212B">
        <w:rPr>
          <w:rFonts w:ascii="Times New Roman" w:hAnsi="Times New Roman" w:cs="Times New Roman"/>
        </w:rPr>
        <w:t xml:space="preserve"> must be linked to at least one result indicator</w:t>
      </w:r>
      <w:r>
        <w:rPr>
          <w:rFonts w:ascii="Times New Roman" w:hAnsi="Times New Roman" w:cs="Times New Roman"/>
        </w:rPr>
        <w:t>. There are 3</w:t>
      </w:r>
      <w:r w:rsidRPr="003C212B">
        <w:rPr>
          <w:rFonts w:ascii="Times New Roman" w:hAnsi="Times New Roman" w:cs="Times New Roman"/>
        </w:rPr>
        <w:t xml:space="preserve"> derogation</w:t>
      </w:r>
      <w:r>
        <w:rPr>
          <w:rFonts w:ascii="Times New Roman" w:hAnsi="Times New Roman" w:cs="Times New Roman"/>
        </w:rPr>
        <w:t xml:space="preserve">s to this rule in Article 111, point (e) of the SPR, according to which </w:t>
      </w:r>
      <w:r w:rsidRPr="003C212B">
        <w:rPr>
          <w:rFonts w:ascii="Times New Roman" w:hAnsi="Times New Roman" w:cs="Times New Roman"/>
        </w:rPr>
        <w:t xml:space="preserve">support to apiculture not directly </w:t>
      </w:r>
      <w:r w:rsidRPr="003C212B">
        <w:rPr>
          <w:rFonts w:ascii="Times New Roman" w:hAnsi="Times New Roman" w:cs="Times New Roman"/>
        </w:rPr>
        <w:lastRenderedPageBreak/>
        <w:t xml:space="preserve">granted to beekeepers, </w:t>
      </w:r>
      <w:r w:rsidR="002318AF">
        <w:rPr>
          <w:rFonts w:ascii="Times New Roman" w:hAnsi="Times New Roman" w:cs="Times New Roman"/>
        </w:rPr>
        <w:t>certain intervention</w:t>
      </w:r>
      <w:r w:rsidR="002179FB">
        <w:rPr>
          <w:rFonts w:ascii="Times New Roman" w:hAnsi="Times New Roman" w:cs="Times New Roman"/>
        </w:rPr>
        <w:t>s</w:t>
      </w:r>
      <w:r w:rsidR="002318AF">
        <w:rPr>
          <w:rFonts w:ascii="Times New Roman" w:hAnsi="Times New Roman" w:cs="Times New Roman"/>
        </w:rPr>
        <w:t xml:space="preserve"> in the wine </w:t>
      </w:r>
      <w:r w:rsidR="002179FB">
        <w:rPr>
          <w:rFonts w:ascii="Times New Roman" w:hAnsi="Times New Roman" w:cs="Times New Roman"/>
        </w:rPr>
        <w:t>sector</w:t>
      </w:r>
      <w:r w:rsidR="00C4347D">
        <w:rPr>
          <w:rFonts w:ascii="Times New Roman" w:hAnsi="Times New Roman" w:cs="Times New Roman"/>
        </w:rPr>
        <w:t>,</w:t>
      </w:r>
      <w:r w:rsidR="00DE3E50">
        <w:rPr>
          <w:rFonts w:ascii="Times New Roman" w:hAnsi="Times New Roman" w:cs="Times New Roman"/>
        </w:rPr>
        <w:t xml:space="preserve"> and</w:t>
      </w:r>
      <w:r w:rsidR="00DE3E50" w:rsidRPr="00DE3E50">
        <w:rPr>
          <w:rFonts w:ascii="Times New Roman" w:hAnsi="Times New Roman" w:cs="Times New Roman"/>
        </w:rPr>
        <w:t xml:space="preserve"> </w:t>
      </w:r>
      <w:r w:rsidRPr="003C212B">
        <w:rPr>
          <w:rFonts w:ascii="Times New Roman" w:hAnsi="Times New Roman" w:cs="Times New Roman"/>
        </w:rPr>
        <w:t xml:space="preserve">promotion and information </w:t>
      </w:r>
      <w:r w:rsidR="00C4347D" w:rsidRPr="00C4347D">
        <w:rPr>
          <w:rFonts w:ascii="Times New Roman" w:hAnsi="Times New Roman" w:cs="Times New Roman"/>
        </w:rPr>
        <w:t>for quality schemes</w:t>
      </w:r>
      <w:r w:rsidR="004F6562">
        <w:rPr>
          <w:rFonts w:ascii="Times New Roman" w:hAnsi="Times New Roman" w:cs="Times New Roman"/>
        </w:rPr>
        <w:t xml:space="preserve"> </w:t>
      </w:r>
      <w:r w:rsidR="0076384F">
        <w:rPr>
          <w:rFonts w:ascii="Times New Roman" w:hAnsi="Times New Roman" w:cs="Times New Roman"/>
        </w:rPr>
        <w:t xml:space="preserve">may </w:t>
      </w:r>
      <w:r w:rsidR="004F6562">
        <w:rPr>
          <w:rFonts w:ascii="Times New Roman" w:hAnsi="Times New Roman" w:cs="Times New Roman"/>
        </w:rPr>
        <w:t xml:space="preserve">not </w:t>
      </w:r>
      <w:r w:rsidR="0076384F">
        <w:rPr>
          <w:rFonts w:ascii="Times New Roman" w:hAnsi="Times New Roman" w:cs="Times New Roman"/>
        </w:rPr>
        <w:t xml:space="preserve">be </w:t>
      </w:r>
      <w:r w:rsidR="004F6562">
        <w:rPr>
          <w:rFonts w:ascii="Times New Roman" w:hAnsi="Times New Roman" w:cs="Times New Roman"/>
        </w:rPr>
        <w:t>linked to any result indicators</w:t>
      </w:r>
      <w:r w:rsidR="00C4347D">
        <w:rPr>
          <w:rFonts w:ascii="Times New Roman" w:hAnsi="Times New Roman" w:cs="Times New Roman"/>
        </w:rPr>
        <w:t>.</w:t>
      </w:r>
      <w:r w:rsidR="00C4347D" w:rsidRPr="003C212B">
        <w:rPr>
          <w:rFonts w:ascii="Times New Roman" w:hAnsi="Times New Roman" w:cs="Times New Roman"/>
        </w:rPr>
        <w:t xml:space="preserve"> </w:t>
      </w:r>
    </w:p>
    <w:p w14:paraId="7EBDB31A" w14:textId="77777777" w:rsidR="00A44595" w:rsidRDefault="003F3EF7" w:rsidP="003F3EF7">
      <w:pPr>
        <w:pStyle w:val="ListParagraph"/>
        <w:numPr>
          <w:ilvl w:val="0"/>
          <w:numId w:val="7"/>
        </w:numPr>
        <w:spacing w:before="120" w:after="120" w:line="264" w:lineRule="auto"/>
        <w:ind w:left="851" w:hanging="425"/>
        <w:contextualSpacing w:val="0"/>
        <w:jc w:val="both"/>
        <w:rPr>
          <w:rFonts w:ascii="Times New Roman" w:hAnsi="Times New Roman" w:cs="Times New Roman"/>
        </w:rPr>
      </w:pPr>
      <w:r>
        <w:rPr>
          <w:rFonts w:ascii="Times New Roman" w:hAnsi="Times New Roman" w:cs="Times New Roman"/>
        </w:rPr>
        <w:t>Regarding the t</w:t>
      </w:r>
      <w:r w:rsidRPr="003F3EF7">
        <w:rPr>
          <w:rFonts w:ascii="Times New Roman" w:hAnsi="Times New Roman" w:cs="Times New Roman"/>
        </w:rPr>
        <w:t>ypes of intervention in the apiculture sector and Union financial assistance</w:t>
      </w:r>
      <w:r>
        <w:rPr>
          <w:rFonts w:ascii="Times New Roman" w:hAnsi="Times New Roman" w:cs="Times New Roman"/>
        </w:rPr>
        <w:t xml:space="preserve"> (Article 55 of the SPR), only the </w:t>
      </w:r>
      <w:r w:rsidR="000439EF">
        <w:rPr>
          <w:rFonts w:ascii="Times New Roman" w:hAnsi="Times New Roman" w:cs="Times New Roman"/>
        </w:rPr>
        <w:t>f</w:t>
      </w:r>
      <w:r>
        <w:rPr>
          <w:rFonts w:ascii="Times New Roman" w:hAnsi="Times New Roman" w:cs="Times New Roman"/>
        </w:rPr>
        <w:t xml:space="preserve">ollowing </w:t>
      </w:r>
      <w:r w:rsidR="000439EF">
        <w:rPr>
          <w:rFonts w:ascii="Times New Roman" w:hAnsi="Times New Roman" w:cs="Times New Roman"/>
        </w:rPr>
        <w:t>i</w:t>
      </w:r>
      <w:r w:rsidR="006F2CD4" w:rsidRPr="006F2CA5">
        <w:rPr>
          <w:rFonts w:ascii="Times New Roman" w:hAnsi="Times New Roman" w:cs="Times New Roman"/>
        </w:rPr>
        <w:t xml:space="preserve">nterventions included in the type of intervention referred </w:t>
      </w:r>
      <w:r>
        <w:rPr>
          <w:rFonts w:ascii="Times New Roman" w:hAnsi="Times New Roman" w:cs="Times New Roman"/>
        </w:rPr>
        <w:t xml:space="preserve">to in Article 55(1), point (b) </w:t>
      </w:r>
      <w:r w:rsidR="00EB155B">
        <w:rPr>
          <w:rFonts w:ascii="Times New Roman" w:hAnsi="Times New Roman" w:cs="Times New Roman"/>
        </w:rPr>
        <w:t>should</w:t>
      </w:r>
      <w:r w:rsidR="00EB155B" w:rsidRPr="00C4347D">
        <w:rPr>
          <w:rFonts w:ascii="Times New Roman" w:hAnsi="Times New Roman" w:cs="Times New Roman"/>
        </w:rPr>
        <w:t xml:space="preserve"> </w:t>
      </w:r>
      <w:r w:rsidR="00EB155B" w:rsidRPr="006F2CA5">
        <w:rPr>
          <w:rFonts w:ascii="Times New Roman" w:hAnsi="Times New Roman" w:cs="Times New Roman"/>
        </w:rPr>
        <w:t xml:space="preserve">be linked to </w:t>
      </w:r>
      <w:r w:rsidR="00884EB8" w:rsidRPr="006F2CA5">
        <w:rPr>
          <w:rFonts w:ascii="Times New Roman" w:hAnsi="Times New Roman" w:cs="Times New Roman"/>
        </w:rPr>
        <w:t>result indicator R.</w:t>
      </w:r>
      <w:r w:rsidR="00884EB8">
        <w:rPr>
          <w:rFonts w:ascii="Times New Roman" w:hAnsi="Times New Roman" w:cs="Times New Roman"/>
        </w:rPr>
        <w:t>35 (preserving beehives)</w:t>
      </w:r>
      <w:r w:rsidR="000439EF">
        <w:rPr>
          <w:rFonts w:ascii="Times New Roman" w:hAnsi="Times New Roman" w:cs="Times New Roman"/>
        </w:rPr>
        <w:t>:</w:t>
      </w:r>
    </w:p>
    <w:p w14:paraId="4E8CE514" w14:textId="77777777" w:rsidR="00A44595" w:rsidRPr="00A44595" w:rsidRDefault="00A44595" w:rsidP="00A44595">
      <w:pPr>
        <w:pStyle w:val="ListParagraph"/>
        <w:numPr>
          <w:ilvl w:val="0"/>
          <w:numId w:val="22"/>
        </w:numPr>
        <w:spacing w:before="120" w:after="240" w:line="264" w:lineRule="auto"/>
        <w:jc w:val="both"/>
        <w:rPr>
          <w:rFonts w:ascii="Times New Roman" w:hAnsi="Times New Roman" w:cs="Times New Roman"/>
        </w:rPr>
      </w:pPr>
      <w:r w:rsidRPr="00A44595">
        <w:rPr>
          <w:rFonts w:ascii="Times New Roman" w:hAnsi="Times New Roman" w:cs="Times New Roman"/>
        </w:rPr>
        <w:t>combatting beehive invaders and diseases, in particular varroasis;</w:t>
      </w:r>
    </w:p>
    <w:p w14:paraId="0E3D1B31" w14:textId="77777777" w:rsidR="00A44595" w:rsidRPr="00A44595" w:rsidRDefault="00A44595" w:rsidP="00A44595">
      <w:pPr>
        <w:pStyle w:val="ListParagraph"/>
        <w:numPr>
          <w:ilvl w:val="0"/>
          <w:numId w:val="22"/>
        </w:numPr>
        <w:spacing w:before="120" w:after="240" w:line="264" w:lineRule="auto"/>
        <w:jc w:val="both"/>
        <w:rPr>
          <w:rFonts w:ascii="Times New Roman" w:hAnsi="Times New Roman" w:cs="Times New Roman"/>
        </w:rPr>
      </w:pPr>
      <w:r w:rsidRPr="00A44595">
        <w:rPr>
          <w:rFonts w:ascii="Times New Roman" w:hAnsi="Times New Roman" w:cs="Times New Roman"/>
        </w:rPr>
        <w:t>preventing damage caused by adverse climatic events and promoting the development and use of management practices adapted to changing climate conditions;</w:t>
      </w:r>
    </w:p>
    <w:p w14:paraId="5948E1FE" w14:textId="77777777" w:rsidR="00A44595" w:rsidRPr="00A44595" w:rsidRDefault="00A44595" w:rsidP="00A44595">
      <w:pPr>
        <w:pStyle w:val="ListParagraph"/>
        <w:numPr>
          <w:ilvl w:val="0"/>
          <w:numId w:val="22"/>
        </w:numPr>
        <w:spacing w:before="120" w:after="240" w:line="264" w:lineRule="auto"/>
        <w:jc w:val="both"/>
        <w:rPr>
          <w:rFonts w:ascii="Times New Roman" w:hAnsi="Times New Roman" w:cs="Times New Roman"/>
        </w:rPr>
      </w:pPr>
      <w:r w:rsidRPr="00A44595">
        <w:rPr>
          <w:rFonts w:ascii="Times New Roman" w:hAnsi="Times New Roman" w:cs="Times New Roman"/>
        </w:rPr>
        <w:t>restocking of beehives in the Union, including bee breeding;</w:t>
      </w:r>
    </w:p>
    <w:p w14:paraId="5C12BA25" w14:textId="77777777" w:rsidR="00A44595" w:rsidRDefault="000439EF" w:rsidP="00A44595">
      <w:pPr>
        <w:pStyle w:val="ListParagraph"/>
        <w:numPr>
          <w:ilvl w:val="0"/>
          <w:numId w:val="22"/>
        </w:numPr>
        <w:spacing w:before="120" w:after="240" w:line="264" w:lineRule="auto"/>
        <w:contextualSpacing w:val="0"/>
        <w:jc w:val="both"/>
        <w:rPr>
          <w:rFonts w:ascii="Times New Roman" w:hAnsi="Times New Roman" w:cs="Times New Roman"/>
        </w:rPr>
      </w:pPr>
      <w:r>
        <w:rPr>
          <w:rFonts w:ascii="Times New Roman" w:hAnsi="Times New Roman" w:cs="Times New Roman"/>
        </w:rPr>
        <w:t>rationalising transhumance.</w:t>
      </w:r>
    </w:p>
    <w:p w14:paraId="557BF45B" w14:textId="77777777" w:rsidR="006F2CD4" w:rsidRPr="00464C71" w:rsidRDefault="004F6562" w:rsidP="00464C71">
      <w:pPr>
        <w:pStyle w:val="ListParagraph"/>
        <w:spacing w:before="120" w:after="240" w:line="264" w:lineRule="auto"/>
        <w:ind w:left="851"/>
        <w:contextualSpacing w:val="0"/>
        <w:jc w:val="both"/>
        <w:rPr>
          <w:rFonts w:ascii="Times New Roman" w:hAnsi="Times New Roman" w:cs="Times New Roman"/>
        </w:rPr>
      </w:pPr>
      <w:r>
        <w:rPr>
          <w:rFonts w:ascii="Times New Roman" w:hAnsi="Times New Roman" w:cs="Times New Roman"/>
        </w:rPr>
        <w:t xml:space="preserve">As this support is granted directly to beekeepers, it is feasible to </w:t>
      </w:r>
      <w:r w:rsidR="00F2203B">
        <w:rPr>
          <w:rFonts w:ascii="Times New Roman" w:hAnsi="Times New Roman" w:cs="Times New Roman"/>
        </w:rPr>
        <w:t xml:space="preserve">count </w:t>
      </w:r>
      <w:r>
        <w:rPr>
          <w:rFonts w:ascii="Times New Roman" w:hAnsi="Times New Roman" w:cs="Times New Roman"/>
        </w:rPr>
        <w:t>the number of beehives benefitting from CAP support.</w:t>
      </w:r>
      <w:r w:rsidR="00A44595">
        <w:rPr>
          <w:rFonts w:ascii="Times New Roman" w:hAnsi="Times New Roman" w:cs="Times New Roman"/>
        </w:rPr>
        <w:t xml:space="preserve"> </w:t>
      </w:r>
      <w:r w:rsidR="00464C71">
        <w:rPr>
          <w:rFonts w:ascii="Times New Roman" w:hAnsi="Times New Roman" w:cs="Times New Roman"/>
        </w:rPr>
        <w:t>These</w:t>
      </w:r>
      <w:r w:rsidR="004B25CF">
        <w:rPr>
          <w:rFonts w:ascii="Times New Roman" w:hAnsi="Times New Roman" w:cs="Times New Roman"/>
        </w:rPr>
        <w:t xml:space="preserve"> </w:t>
      </w:r>
      <w:r>
        <w:rPr>
          <w:rFonts w:ascii="Times New Roman" w:hAnsi="Times New Roman" w:cs="Times New Roman"/>
        </w:rPr>
        <w:t xml:space="preserve">interventions </w:t>
      </w:r>
      <w:r w:rsidR="00A44595" w:rsidRPr="00464C71">
        <w:rPr>
          <w:rFonts w:ascii="Times New Roman" w:hAnsi="Times New Roman" w:cs="Times New Roman"/>
        </w:rPr>
        <w:t xml:space="preserve">are not counted in any </w:t>
      </w:r>
      <w:r w:rsidRPr="00464C71">
        <w:rPr>
          <w:rFonts w:ascii="Times New Roman" w:hAnsi="Times New Roman" w:cs="Times New Roman"/>
        </w:rPr>
        <w:t xml:space="preserve">other </w:t>
      </w:r>
      <w:r w:rsidR="00A44595" w:rsidRPr="00464C71">
        <w:rPr>
          <w:rFonts w:ascii="Times New Roman" w:hAnsi="Times New Roman" w:cs="Times New Roman"/>
        </w:rPr>
        <w:t>result indicator</w:t>
      </w:r>
      <w:r w:rsidR="00997784">
        <w:rPr>
          <w:rFonts w:ascii="Times New Roman" w:hAnsi="Times New Roman" w:cs="Times New Roman"/>
        </w:rPr>
        <w:t>s</w:t>
      </w:r>
      <w:r w:rsidRPr="00464C71">
        <w:rPr>
          <w:rFonts w:ascii="Times New Roman" w:hAnsi="Times New Roman" w:cs="Times New Roman"/>
        </w:rPr>
        <w:t>, because</w:t>
      </w:r>
      <w:r w:rsidR="00A44595" w:rsidRPr="00464C71">
        <w:rPr>
          <w:rFonts w:ascii="Times New Roman" w:hAnsi="Times New Roman" w:cs="Times New Roman"/>
        </w:rPr>
        <w:t xml:space="preserve"> </w:t>
      </w:r>
      <w:r w:rsidR="00BA4D20" w:rsidRPr="00464C71">
        <w:rPr>
          <w:rFonts w:ascii="Times New Roman" w:hAnsi="Times New Roman" w:cs="Times New Roman"/>
        </w:rPr>
        <w:t xml:space="preserve">the number of beekeepers can be very large and by </w:t>
      </w:r>
      <w:r w:rsidRPr="00464C71">
        <w:rPr>
          <w:rFonts w:ascii="Times New Roman" w:hAnsi="Times New Roman" w:cs="Times New Roman"/>
        </w:rPr>
        <w:t xml:space="preserve">adding </w:t>
      </w:r>
      <w:r w:rsidR="00BA4D20" w:rsidRPr="00464C71">
        <w:rPr>
          <w:rFonts w:ascii="Times New Roman" w:hAnsi="Times New Roman" w:cs="Times New Roman"/>
        </w:rPr>
        <w:t xml:space="preserve">them </w:t>
      </w:r>
      <w:r w:rsidRPr="00464C71">
        <w:rPr>
          <w:rFonts w:ascii="Times New Roman" w:hAnsi="Times New Roman" w:cs="Times New Roman"/>
        </w:rPr>
        <w:t>to farmers-</w:t>
      </w:r>
      <w:r w:rsidR="00BA4D20" w:rsidRPr="00464C71">
        <w:rPr>
          <w:rFonts w:ascii="Times New Roman" w:hAnsi="Times New Roman" w:cs="Times New Roman"/>
        </w:rPr>
        <w:t xml:space="preserve">beneficiaries, the CAP effect on farmers that are not beekeepers would be diluted. In addition, some types of interventions, such as technical assistance, provide broad support to beekeepers, and </w:t>
      </w:r>
      <w:r w:rsidR="00545994" w:rsidRPr="00464C71">
        <w:rPr>
          <w:rFonts w:ascii="Times New Roman" w:hAnsi="Times New Roman" w:cs="Times New Roman"/>
        </w:rPr>
        <w:t xml:space="preserve">the benefit arising from the collection of more precise </w:t>
      </w:r>
      <w:r w:rsidR="00BE3EA8" w:rsidRPr="00464C71">
        <w:rPr>
          <w:rFonts w:ascii="Times New Roman" w:hAnsi="Times New Roman" w:cs="Times New Roman"/>
        </w:rPr>
        <w:t xml:space="preserve">data </w:t>
      </w:r>
      <w:r w:rsidR="00545994" w:rsidRPr="00464C71">
        <w:rPr>
          <w:rFonts w:ascii="Times New Roman" w:hAnsi="Times New Roman" w:cs="Times New Roman"/>
        </w:rPr>
        <w:t xml:space="preserve">on the number of beehives of these beekeepers would not be proportionate to </w:t>
      </w:r>
      <w:r w:rsidR="00BA4D20" w:rsidRPr="00464C71">
        <w:rPr>
          <w:rFonts w:ascii="Times New Roman" w:hAnsi="Times New Roman" w:cs="Times New Roman"/>
        </w:rPr>
        <w:t xml:space="preserve">the administrative burden to collect </w:t>
      </w:r>
      <w:r w:rsidR="00545994" w:rsidRPr="00464C71">
        <w:rPr>
          <w:rFonts w:ascii="Times New Roman" w:hAnsi="Times New Roman" w:cs="Times New Roman"/>
        </w:rPr>
        <w:t xml:space="preserve">such </w:t>
      </w:r>
      <w:r w:rsidR="00BE3EA8" w:rsidRPr="00464C71">
        <w:rPr>
          <w:rFonts w:ascii="Times New Roman" w:hAnsi="Times New Roman" w:cs="Times New Roman"/>
        </w:rPr>
        <w:t>information.</w:t>
      </w:r>
    </w:p>
    <w:p w14:paraId="0F5A3BE0" w14:textId="77777777" w:rsidR="006F2CD4" w:rsidRPr="006F2CA5" w:rsidRDefault="006F2CD4" w:rsidP="005C5386">
      <w:pPr>
        <w:pStyle w:val="ListParagraph"/>
        <w:numPr>
          <w:ilvl w:val="0"/>
          <w:numId w:val="7"/>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 xml:space="preserve">areas that are only subject to SMR and GAEC </w:t>
      </w:r>
      <w:r w:rsidR="007753EC">
        <w:rPr>
          <w:rFonts w:ascii="Times New Roman" w:hAnsi="Times New Roman" w:cs="Times New Roman"/>
        </w:rPr>
        <w:t>should</w:t>
      </w:r>
      <w:r w:rsidRPr="006F2CA5">
        <w:rPr>
          <w:rFonts w:ascii="Times New Roman" w:hAnsi="Times New Roman" w:cs="Times New Roman"/>
        </w:rPr>
        <w:t xml:space="preserve"> not be included in the calculation of result indicators, except for result indicator R.4, which is specifically designed to capture the share of agricultural area receiving CAP income support and subject to conditionality.</w:t>
      </w:r>
    </w:p>
    <w:p w14:paraId="13B7BAAC" w14:textId="77777777" w:rsidR="003F6DBB" w:rsidRDefault="00240623" w:rsidP="000439EF">
      <w:pPr>
        <w:pStyle w:val="ListParagraph"/>
        <w:numPr>
          <w:ilvl w:val="0"/>
          <w:numId w:val="7"/>
        </w:numPr>
        <w:spacing w:before="120" w:after="120" w:line="264" w:lineRule="auto"/>
        <w:ind w:left="851" w:hanging="284"/>
        <w:contextualSpacing w:val="0"/>
        <w:jc w:val="both"/>
        <w:rPr>
          <w:rFonts w:ascii="Times New Roman" w:hAnsi="Times New Roman" w:cs="Times New Roman"/>
        </w:rPr>
      </w:pPr>
      <w:r>
        <w:rPr>
          <w:rFonts w:ascii="Times New Roman" w:hAnsi="Times New Roman" w:cs="Times New Roman"/>
        </w:rPr>
        <w:t>i</w:t>
      </w:r>
      <w:r w:rsidR="002B1AF5">
        <w:rPr>
          <w:rFonts w:ascii="Times New Roman" w:hAnsi="Times New Roman" w:cs="Times New Roman"/>
        </w:rPr>
        <w:t xml:space="preserve">nvestments in irrigation </w:t>
      </w:r>
      <w:r w:rsidR="007753EC">
        <w:rPr>
          <w:rFonts w:ascii="Times New Roman" w:hAnsi="Times New Roman" w:cs="Times New Roman"/>
        </w:rPr>
        <w:t>should</w:t>
      </w:r>
      <w:r w:rsidR="002B1AF5">
        <w:rPr>
          <w:rFonts w:ascii="Times New Roman" w:hAnsi="Times New Roman" w:cs="Times New Roman"/>
        </w:rPr>
        <w:t xml:space="preserve"> be linked to the following result indicators: </w:t>
      </w:r>
    </w:p>
    <w:p w14:paraId="0A81181A" w14:textId="77777777" w:rsidR="002B1AF5" w:rsidRDefault="002B1AF5" w:rsidP="002B1AF5">
      <w:pPr>
        <w:pStyle w:val="ListParagraph"/>
        <w:numPr>
          <w:ilvl w:val="0"/>
          <w:numId w:val="22"/>
        </w:numPr>
        <w:spacing w:before="120" w:after="240" w:line="264" w:lineRule="auto"/>
        <w:jc w:val="both"/>
        <w:rPr>
          <w:rFonts w:ascii="Times New Roman" w:hAnsi="Times New Roman" w:cs="Times New Roman"/>
        </w:rPr>
      </w:pPr>
      <w:r w:rsidRPr="002B1AF5">
        <w:rPr>
          <w:rFonts w:ascii="Times New Roman" w:hAnsi="Times New Roman" w:cs="Times New Roman"/>
        </w:rPr>
        <w:t>Modernisation of existing irrigation installations on farm: R</w:t>
      </w:r>
      <w:r w:rsidR="00372766">
        <w:rPr>
          <w:rFonts w:ascii="Times New Roman" w:hAnsi="Times New Roman" w:cs="Times New Roman"/>
        </w:rPr>
        <w:t>.</w:t>
      </w:r>
      <w:r w:rsidRPr="002B1AF5">
        <w:rPr>
          <w:rFonts w:ascii="Times New Roman" w:hAnsi="Times New Roman" w:cs="Times New Roman"/>
        </w:rPr>
        <w:t>26 (investments related to natural resources)</w:t>
      </w:r>
    </w:p>
    <w:p w14:paraId="15865917" w14:textId="77777777" w:rsidR="002B1AF5" w:rsidRDefault="002B1AF5" w:rsidP="0018340F">
      <w:pPr>
        <w:pStyle w:val="ListParagraph"/>
        <w:numPr>
          <w:ilvl w:val="0"/>
          <w:numId w:val="22"/>
        </w:numPr>
        <w:spacing w:before="120" w:after="240" w:line="264" w:lineRule="auto"/>
        <w:jc w:val="both"/>
        <w:rPr>
          <w:rFonts w:ascii="Times New Roman" w:hAnsi="Times New Roman" w:cs="Times New Roman"/>
        </w:rPr>
      </w:pPr>
      <w:r w:rsidRPr="002B1AF5">
        <w:rPr>
          <w:rFonts w:ascii="Times New Roman" w:hAnsi="Times New Roman" w:cs="Times New Roman"/>
        </w:rPr>
        <w:t>“New irrigation ” installations</w:t>
      </w:r>
      <w:r>
        <w:rPr>
          <w:rStyle w:val="FootnoteReference"/>
          <w:rFonts w:ascii="Times New Roman" w:hAnsi="Times New Roman" w:cs="Times New Roman"/>
        </w:rPr>
        <w:footnoteReference w:id="4"/>
      </w:r>
      <w:r w:rsidRPr="002B1AF5">
        <w:rPr>
          <w:rFonts w:ascii="Times New Roman" w:hAnsi="Times New Roman" w:cs="Times New Roman"/>
        </w:rPr>
        <w:t xml:space="preserve"> on farm: R</w:t>
      </w:r>
      <w:r w:rsidR="00372766">
        <w:rPr>
          <w:rFonts w:ascii="Times New Roman" w:hAnsi="Times New Roman" w:cs="Times New Roman"/>
        </w:rPr>
        <w:t>.</w:t>
      </w:r>
      <w:r w:rsidRPr="002B1AF5">
        <w:rPr>
          <w:rFonts w:ascii="Times New Roman" w:hAnsi="Times New Roman" w:cs="Times New Roman"/>
        </w:rPr>
        <w:t>9 (farm modernisation)</w:t>
      </w:r>
      <w:r w:rsidR="00372766">
        <w:rPr>
          <w:rFonts w:ascii="Times New Roman" w:hAnsi="Times New Roman" w:cs="Times New Roman"/>
        </w:rPr>
        <w:t xml:space="preserve"> </w:t>
      </w:r>
    </w:p>
    <w:p w14:paraId="5E14914F" w14:textId="77777777" w:rsidR="000439EF" w:rsidRDefault="002B1AF5" w:rsidP="00A75E6D">
      <w:pPr>
        <w:pStyle w:val="ListParagraph"/>
        <w:numPr>
          <w:ilvl w:val="0"/>
          <w:numId w:val="22"/>
        </w:numPr>
        <w:spacing w:before="120" w:after="240" w:line="264" w:lineRule="auto"/>
        <w:jc w:val="both"/>
        <w:rPr>
          <w:rFonts w:ascii="Times New Roman" w:hAnsi="Times New Roman" w:cs="Times New Roman"/>
        </w:rPr>
      </w:pPr>
      <w:r w:rsidRPr="002B1AF5">
        <w:rPr>
          <w:rFonts w:ascii="Times New Roman" w:hAnsi="Times New Roman" w:cs="Times New Roman"/>
        </w:rPr>
        <w:t>Modernisation of existing public irrigation infrastructure: R27</w:t>
      </w:r>
      <w:r>
        <w:rPr>
          <w:rFonts w:ascii="Times New Roman" w:hAnsi="Times New Roman" w:cs="Times New Roman"/>
        </w:rPr>
        <w:t xml:space="preserve"> </w:t>
      </w:r>
      <w:r w:rsidRPr="002B1AF5">
        <w:rPr>
          <w:rFonts w:ascii="Times New Roman" w:hAnsi="Times New Roman" w:cs="Times New Roman"/>
        </w:rPr>
        <w:t>(Environmental or climate-related performance through investment in rural areas)</w:t>
      </w:r>
    </w:p>
    <w:p w14:paraId="56176841" w14:textId="77777777" w:rsidR="000439EF" w:rsidRPr="000439EF" w:rsidRDefault="002B1AF5" w:rsidP="00A75E6D">
      <w:pPr>
        <w:pStyle w:val="ListParagraph"/>
        <w:numPr>
          <w:ilvl w:val="0"/>
          <w:numId w:val="22"/>
        </w:numPr>
        <w:spacing w:before="120" w:after="240" w:line="264" w:lineRule="auto"/>
        <w:jc w:val="both"/>
        <w:rPr>
          <w:rFonts w:ascii="Times New Roman" w:hAnsi="Times New Roman" w:cs="Times New Roman"/>
        </w:rPr>
      </w:pPr>
      <w:r w:rsidRPr="000439EF">
        <w:rPr>
          <w:rFonts w:ascii="Times New Roman" w:hAnsi="Times New Roman" w:cs="Times New Roman"/>
        </w:rPr>
        <w:t>New public irrigation infrastructure</w:t>
      </w:r>
      <w:r>
        <w:rPr>
          <w:rStyle w:val="FootnoteReference"/>
          <w:rFonts w:ascii="Times New Roman" w:hAnsi="Times New Roman" w:cs="Times New Roman"/>
        </w:rPr>
        <w:footnoteReference w:id="5"/>
      </w:r>
      <w:r w:rsidRPr="000439EF">
        <w:rPr>
          <w:rFonts w:ascii="Times New Roman" w:hAnsi="Times New Roman" w:cs="Times New Roman"/>
        </w:rPr>
        <w:t>: R.39 (Developing the rural economy)</w:t>
      </w:r>
    </w:p>
    <w:p w14:paraId="5B07564F" w14:textId="77777777" w:rsidR="00066629" w:rsidRPr="006F2CA5" w:rsidRDefault="00066629" w:rsidP="00A75E6D">
      <w:pPr>
        <w:spacing w:before="120" w:after="240" w:line="264" w:lineRule="auto"/>
        <w:jc w:val="both"/>
        <w:rPr>
          <w:rFonts w:ascii="Times New Roman" w:hAnsi="Times New Roman" w:cs="Times New Roman"/>
        </w:rPr>
      </w:pPr>
      <w:r w:rsidRPr="006F2CA5">
        <w:rPr>
          <w:rFonts w:ascii="Times New Roman" w:hAnsi="Times New Roman" w:cs="Times New Roman"/>
        </w:rPr>
        <w:t xml:space="preserve">Some positive and negative examples on how interventions can, or cannot, be linked to result indicators are provided </w:t>
      </w:r>
      <w:r w:rsidR="00FB046D">
        <w:rPr>
          <w:rFonts w:ascii="Times New Roman" w:hAnsi="Times New Roman" w:cs="Times New Roman"/>
        </w:rPr>
        <w:t>as follows:</w:t>
      </w:r>
    </w:p>
    <w:p w14:paraId="43870697" w14:textId="77777777" w:rsidR="00066629" w:rsidRPr="006F2CA5" w:rsidRDefault="00066629" w:rsidP="005C5386">
      <w:pPr>
        <w:pStyle w:val="ListParagraph"/>
        <w:numPr>
          <w:ilvl w:val="0"/>
          <w:numId w:val="6"/>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 xml:space="preserve">Projects of building renovation should include clear and significant components that will lead to a significant improvement of animal welfare to count towards R.44 (animal welfare). </w:t>
      </w:r>
    </w:p>
    <w:p w14:paraId="2E14AC4B" w14:textId="5A7648D5" w:rsidR="00066629" w:rsidRPr="006F2CA5" w:rsidRDefault="00066629" w:rsidP="005C5386">
      <w:pPr>
        <w:pStyle w:val="ListParagraph"/>
        <w:numPr>
          <w:ilvl w:val="0"/>
          <w:numId w:val="6"/>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A building renovation</w:t>
      </w:r>
      <w:r w:rsidR="004541D4">
        <w:rPr>
          <w:rFonts w:ascii="Times New Roman" w:hAnsi="Times New Roman" w:cs="Times New Roman"/>
        </w:rPr>
        <w:t xml:space="preserve"> that</w:t>
      </w:r>
      <w:r w:rsidRPr="006F2CA5">
        <w:rPr>
          <w:rFonts w:ascii="Times New Roman" w:hAnsi="Times New Roman" w:cs="Times New Roman"/>
        </w:rPr>
        <w:t xml:space="preserve"> </w:t>
      </w:r>
      <w:r w:rsidR="004541D4">
        <w:rPr>
          <w:rFonts w:ascii="Times New Roman" w:hAnsi="Times New Roman" w:cs="Times New Roman"/>
        </w:rPr>
        <w:t xml:space="preserve">only </w:t>
      </w:r>
      <w:r w:rsidRPr="006F2CA5">
        <w:rPr>
          <w:rFonts w:ascii="Times New Roman" w:hAnsi="Times New Roman" w:cs="Times New Roman"/>
        </w:rPr>
        <w:t>adopt</w:t>
      </w:r>
      <w:r w:rsidR="004541D4">
        <w:rPr>
          <w:rFonts w:ascii="Times New Roman" w:hAnsi="Times New Roman" w:cs="Times New Roman"/>
        </w:rPr>
        <w:t>s</w:t>
      </w:r>
      <w:r w:rsidR="002F5CCD">
        <w:rPr>
          <w:rFonts w:ascii="Times New Roman" w:hAnsi="Times New Roman" w:cs="Times New Roman"/>
        </w:rPr>
        <w:t xml:space="preserve"> </w:t>
      </w:r>
      <w:r w:rsidRPr="006F2CA5">
        <w:rPr>
          <w:rFonts w:ascii="Times New Roman" w:hAnsi="Times New Roman" w:cs="Times New Roman"/>
        </w:rPr>
        <w:t xml:space="preserve">the latest standards in terms of energy savings is not enough to justify </w:t>
      </w:r>
      <w:r w:rsidR="004541D4">
        <w:rPr>
          <w:rFonts w:ascii="Times New Roman" w:hAnsi="Times New Roman" w:cs="Times New Roman"/>
        </w:rPr>
        <w:t>a</w:t>
      </w:r>
      <w:r w:rsidRPr="006F2CA5">
        <w:rPr>
          <w:rFonts w:ascii="Times New Roman" w:hAnsi="Times New Roman" w:cs="Times New Roman"/>
        </w:rPr>
        <w:t xml:space="preserve"> link </w:t>
      </w:r>
      <w:r w:rsidR="004541D4">
        <w:rPr>
          <w:rFonts w:ascii="Times New Roman" w:hAnsi="Times New Roman" w:cs="Times New Roman"/>
        </w:rPr>
        <w:t>to</w:t>
      </w:r>
      <w:r w:rsidR="004541D4" w:rsidRPr="006F2CA5">
        <w:rPr>
          <w:rFonts w:ascii="Times New Roman" w:hAnsi="Times New Roman" w:cs="Times New Roman"/>
        </w:rPr>
        <w:t xml:space="preserve"> </w:t>
      </w:r>
      <w:r w:rsidRPr="006F2CA5">
        <w:rPr>
          <w:rFonts w:ascii="Times New Roman" w:hAnsi="Times New Roman" w:cs="Times New Roman"/>
        </w:rPr>
        <w:t>R.16 (</w:t>
      </w:r>
      <w:r w:rsidR="002820DF">
        <w:rPr>
          <w:rFonts w:ascii="Times New Roman" w:hAnsi="Times New Roman" w:cs="Times New Roman"/>
        </w:rPr>
        <w:t>i</w:t>
      </w:r>
      <w:r w:rsidRPr="006F2CA5">
        <w:rPr>
          <w:rFonts w:ascii="Times New Roman" w:hAnsi="Times New Roman" w:cs="Times New Roman"/>
        </w:rPr>
        <w:t xml:space="preserve">nvestments for </w:t>
      </w:r>
      <w:r w:rsidR="002820DF">
        <w:rPr>
          <w:rFonts w:ascii="Times New Roman" w:hAnsi="Times New Roman" w:cs="Times New Roman"/>
        </w:rPr>
        <w:t>c</w:t>
      </w:r>
      <w:r w:rsidRPr="006F2CA5">
        <w:rPr>
          <w:rFonts w:ascii="Times New Roman" w:hAnsi="Times New Roman" w:cs="Times New Roman"/>
        </w:rPr>
        <w:t xml:space="preserve">limate). </w:t>
      </w:r>
    </w:p>
    <w:p w14:paraId="6A228020" w14:textId="4F61F4F1" w:rsidR="00066629" w:rsidRPr="004541D4" w:rsidRDefault="00066629" w:rsidP="004541D4">
      <w:pPr>
        <w:pStyle w:val="ListParagraph"/>
        <w:numPr>
          <w:ilvl w:val="0"/>
          <w:numId w:val="6"/>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lastRenderedPageBreak/>
        <w:t>By contrast, even if the production of renewable energy</w:t>
      </w:r>
      <w:r w:rsidR="00BA2050">
        <w:rPr>
          <w:rFonts w:ascii="Times New Roman" w:hAnsi="Times New Roman" w:cs="Times New Roman"/>
        </w:rPr>
        <w:t>, although on a small-scale,</w:t>
      </w:r>
      <w:r w:rsidRPr="006F2CA5">
        <w:rPr>
          <w:rFonts w:ascii="Times New Roman" w:hAnsi="Times New Roman" w:cs="Times New Roman"/>
        </w:rPr>
        <w:t xml:space="preserve"> </w:t>
      </w:r>
      <w:r w:rsidR="002F5D76">
        <w:rPr>
          <w:rFonts w:ascii="Times New Roman" w:hAnsi="Times New Roman" w:cs="Times New Roman"/>
        </w:rPr>
        <w:t>or</w:t>
      </w:r>
      <w:r w:rsidR="003C47AA">
        <w:rPr>
          <w:rFonts w:ascii="Times New Roman" w:hAnsi="Times New Roman" w:cs="Times New Roman"/>
        </w:rPr>
        <w:t xml:space="preserve"> the </w:t>
      </w:r>
      <w:r w:rsidR="003C47AA" w:rsidRPr="003C47AA">
        <w:rPr>
          <w:rFonts w:ascii="Times New Roman" w:hAnsi="Times New Roman" w:cs="Times New Roman"/>
        </w:rPr>
        <w:t>prom</w:t>
      </w:r>
      <w:r w:rsidR="003C47AA">
        <w:rPr>
          <w:rFonts w:ascii="Times New Roman" w:hAnsi="Times New Roman" w:cs="Times New Roman"/>
        </w:rPr>
        <w:t xml:space="preserve">otion of digital farming technologies </w:t>
      </w:r>
      <w:r w:rsidR="004541D4">
        <w:rPr>
          <w:rFonts w:ascii="Times New Roman" w:hAnsi="Times New Roman" w:cs="Times New Roman"/>
        </w:rPr>
        <w:t xml:space="preserve">represent </w:t>
      </w:r>
      <w:r w:rsidR="004D2528">
        <w:rPr>
          <w:rFonts w:ascii="Times New Roman" w:hAnsi="Times New Roman" w:cs="Times New Roman"/>
        </w:rPr>
        <w:t>are</w:t>
      </w:r>
      <w:r w:rsidRPr="004541D4">
        <w:rPr>
          <w:rFonts w:ascii="Times New Roman" w:hAnsi="Times New Roman" w:cs="Times New Roman"/>
        </w:rPr>
        <w:t xml:space="preserve"> a small part of a </w:t>
      </w:r>
      <w:r w:rsidR="00AF358E">
        <w:rPr>
          <w:rFonts w:ascii="Times New Roman" w:hAnsi="Times New Roman" w:cs="Times New Roman"/>
        </w:rPr>
        <w:t xml:space="preserve">single </w:t>
      </w:r>
      <w:r w:rsidR="004541D4">
        <w:rPr>
          <w:rFonts w:ascii="Times New Roman" w:hAnsi="Times New Roman" w:cs="Times New Roman"/>
        </w:rPr>
        <w:t>large on-farm</w:t>
      </w:r>
      <w:r w:rsidR="004541D4" w:rsidRPr="004541D4">
        <w:rPr>
          <w:rFonts w:ascii="Times New Roman" w:hAnsi="Times New Roman" w:cs="Times New Roman"/>
        </w:rPr>
        <w:t xml:space="preserve"> </w:t>
      </w:r>
      <w:r w:rsidRPr="004541D4">
        <w:rPr>
          <w:rFonts w:ascii="Times New Roman" w:hAnsi="Times New Roman" w:cs="Times New Roman"/>
        </w:rPr>
        <w:t xml:space="preserve">modernisation investment, </w:t>
      </w:r>
      <w:r w:rsidR="00AF358E">
        <w:rPr>
          <w:rFonts w:ascii="Times New Roman" w:hAnsi="Times New Roman" w:cs="Times New Roman"/>
        </w:rPr>
        <w:t xml:space="preserve">this intervention should </w:t>
      </w:r>
      <w:r w:rsidR="00BA2050">
        <w:rPr>
          <w:rFonts w:ascii="Times New Roman" w:hAnsi="Times New Roman" w:cs="Times New Roman"/>
        </w:rPr>
        <w:t xml:space="preserve">nevertheless </w:t>
      </w:r>
      <w:r w:rsidR="00AF358E">
        <w:rPr>
          <w:rFonts w:ascii="Times New Roman" w:hAnsi="Times New Roman" w:cs="Times New Roman"/>
        </w:rPr>
        <w:t>be linked to R.3 (digitalising agriculture) and</w:t>
      </w:r>
      <w:r w:rsidR="00A802ED">
        <w:rPr>
          <w:rFonts w:ascii="Times New Roman" w:hAnsi="Times New Roman" w:cs="Times New Roman"/>
        </w:rPr>
        <w:t xml:space="preserve"> </w:t>
      </w:r>
      <w:r w:rsidRPr="004541D4">
        <w:rPr>
          <w:rFonts w:ascii="Times New Roman" w:hAnsi="Times New Roman" w:cs="Times New Roman"/>
        </w:rPr>
        <w:t xml:space="preserve">the installed capacity be reported under R.15 </w:t>
      </w:r>
      <w:r w:rsidR="002820DF" w:rsidRPr="004541D4">
        <w:rPr>
          <w:rFonts w:ascii="Times New Roman" w:hAnsi="Times New Roman" w:cs="Times New Roman"/>
        </w:rPr>
        <w:t>(r</w:t>
      </w:r>
      <w:r w:rsidRPr="004541D4">
        <w:rPr>
          <w:rFonts w:ascii="Times New Roman" w:hAnsi="Times New Roman" w:cs="Times New Roman"/>
        </w:rPr>
        <w:t xml:space="preserve">enewable </w:t>
      </w:r>
      <w:r w:rsidR="002820DF" w:rsidRPr="004541D4">
        <w:rPr>
          <w:rFonts w:ascii="Times New Roman" w:hAnsi="Times New Roman" w:cs="Times New Roman"/>
        </w:rPr>
        <w:t>e</w:t>
      </w:r>
      <w:r w:rsidRPr="004541D4">
        <w:rPr>
          <w:rFonts w:ascii="Times New Roman" w:hAnsi="Times New Roman" w:cs="Times New Roman"/>
        </w:rPr>
        <w:t>nergy</w:t>
      </w:r>
      <w:r w:rsidR="002820DF" w:rsidRPr="004541D4">
        <w:rPr>
          <w:rFonts w:ascii="Times New Roman" w:hAnsi="Times New Roman" w:cs="Times New Roman"/>
        </w:rPr>
        <w:t>)</w:t>
      </w:r>
      <w:r w:rsidR="00FB7C30" w:rsidRPr="004541D4">
        <w:rPr>
          <w:rFonts w:ascii="Times New Roman" w:hAnsi="Times New Roman" w:cs="Times New Roman"/>
        </w:rPr>
        <w:t>.</w:t>
      </w:r>
    </w:p>
    <w:p w14:paraId="489A4562" w14:textId="77777777" w:rsidR="00DC6CE2" w:rsidRDefault="00DC6CE2" w:rsidP="005C5386">
      <w:pPr>
        <w:pStyle w:val="ListParagraph"/>
        <w:numPr>
          <w:ilvl w:val="0"/>
          <w:numId w:val="6"/>
        </w:numPr>
        <w:spacing w:before="120" w:after="240" w:line="264" w:lineRule="auto"/>
        <w:ind w:left="851" w:hanging="284"/>
        <w:contextualSpacing w:val="0"/>
        <w:jc w:val="both"/>
        <w:rPr>
          <w:rFonts w:ascii="Times New Roman" w:hAnsi="Times New Roman" w:cs="Times New Roman"/>
        </w:rPr>
      </w:pPr>
      <w:r>
        <w:rPr>
          <w:rFonts w:ascii="Times New Roman" w:hAnsi="Times New Roman" w:cs="Times New Roman"/>
        </w:rPr>
        <w:t>S</w:t>
      </w:r>
      <w:r w:rsidRPr="006F2CA5">
        <w:rPr>
          <w:rFonts w:ascii="Times New Roman" w:hAnsi="Times New Roman" w:cs="Times New Roman"/>
        </w:rPr>
        <w:t>ome farming practices reducing ammonia emissions, such as ‘specific amendments with sorbents’ and ‘no-urea fertilizers’</w:t>
      </w:r>
      <w:r w:rsidR="000E0E3B">
        <w:rPr>
          <w:rFonts w:ascii="Times New Roman" w:hAnsi="Times New Roman" w:cs="Times New Roman"/>
        </w:rPr>
        <w:t>,</w:t>
      </w:r>
      <w:r w:rsidRPr="006F2CA5">
        <w:rPr>
          <w:rFonts w:ascii="Times New Roman" w:hAnsi="Times New Roman" w:cs="Times New Roman"/>
        </w:rPr>
        <w:t xml:space="preserve"> should only be linked to R.20 (air quality)</w:t>
      </w:r>
      <w:r>
        <w:rPr>
          <w:rFonts w:ascii="Times New Roman" w:hAnsi="Times New Roman" w:cs="Times New Roman"/>
        </w:rPr>
        <w:t>.</w:t>
      </w:r>
    </w:p>
    <w:p w14:paraId="6164A0CF" w14:textId="7712D3A7" w:rsidR="003540E7" w:rsidRPr="006F2CA5" w:rsidRDefault="00DC6CE2" w:rsidP="005C5386">
      <w:pPr>
        <w:pStyle w:val="ListParagraph"/>
        <w:numPr>
          <w:ilvl w:val="0"/>
          <w:numId w:val="6"/>
        </w:numPr>
        <w:spacing w:before="120" w:after="240" w:line="264" w:lineRule="auto"/>
        <w:ind w:left="851" w:hanging="284"/>
        <w:contextualSpacing w:val="0"/>
        <w:jc w:val="both"/>
        <w:rPr>
          <w:rFonts w:ascii="Times New Roman" w:hAnsi="Times New Roman" w:cs="Times New Roman"/>
        </w:rPr>
      </w:pPr>
      <w:r>
        <w:rPr>
          <w:rFonts w:ascii="Times New Roman" w:hAnsi="Times New Roman" w:cs="Times New Roman"/>
        </w:rPr>
        <w:t xml:space="preserve">By contrast, </w:t>
      </w:r>
      <w:r w:rsidR="00066629" w:rsidRPr="006F2CA5">
        <w:rPr>
          <w:rFonts w:ascii="Times New Roman" w:hAnsi="Times New Roman" w:cs="Times New Roman"/>
        </w:rPr>
        <w:t>interventions supporting organic farming should be linked to: R.14 (carbon sequestration), R.19 (soil), R.21 (water quality)</w:t>
      </w:r>
      <w:r w:rsidR="005A102B">
        <w:rPr>
          <w:rFonts w:ascii="Times New Roman" w:hAnsi="Times New Roman" w:cs="Times New Roman"/>
        </w:rPr>
        <w:t xml:space="preserve">, </w:t>
      </w:r>
      <w:r w:rsidR="00066629" w:rsidRPr="006F2CA5">
        <w:rPr>
          <w:rFonts w:ascii="Times New Roman" w:hAnsi="Times New Roman" w:cs="Times New Roman"/>
        </w:rPr>
        <w:t>R.24 (pesti</w:t>
      </w:r>
      <w:r w:rsidR="0064687E" w:rsidRPr="006F2CA5">
        <w:rPr>
          <w:rFonts w:ascii="Times New Roman" w:hAnsi="Times New Roman" w:cs="Times New Roman"/>
        </w:rPr>
        <w:t>cides), R.29 (organic farming</w:t>
      </w:r>
      <w:r w:rsidR="00A75E6D">
        <w:rPr>
          <w:rFonts w:ascii="Times New Roman" w:hAnsi="Times New Roman" w:cs="Times New Roman"/>
        </w:rPr>
        <w:t>),</w:t>
      </w:r>
      <w:r w:rsidR="0064687E" w:rsidRPr="006F2CA5">
        <w:rPr>
          <w:rFonts w:ascii="Times New Roman" w:hAnsi="Times New Roman" w:cs="Times New Roman"/>
        </w:rPr>
        <w:t xml:space="preserve"> </w:t>
      </w:r>
      <w:r w:rsidR="00066629" w:rsidRPr="006F2CA5">
        <w:rPr>
          <w:rFonts w:ascii="Times New Roman" w:hAnsi="Times New Roman" w:cs="Times New Roman"/>
        </w:rPr>
        <w:t xml:space="preserve">R.31 (habitat and species), R.43 (AMR), and R.44 (animal welfare). </w:t>
      </w:r>
      <w:r w:rsidR="004313BC" w:rsidRPr="006F2CA5">
        <w:rPr>
          <w:rFonts w:ascii="Times New Roman" w:hAnsi="Times New Roman" w:cs="Times New Roman"/>
        </w:rPr>
        <w:t>MS</w:t>
      </w:r>
      <w:r w:rsidR="00066629" w:rsidRPr="006F2CA5">
        <w:rPr>
          <w:rFonts w:ascii="Times New Roman" w:hAnsi="Times New Roman" w:cs="Times New Roman"/>
        </w:rPr>
        <w:t xml:space="preserve"> may also attribute organic farming to other result indicators when specific requirements or conditions of the intervention justify it</w:t>
      </w:r>
      <w:r>
        <w:rPr>
          <w:rFonts w:ascii="Times New Roman" w:hAnsi="Times New Roman" w:cs="Times New Roman"/>
        </w:rPr>
        <w:t>.</w:t>
      </w:r>
    </w:p>
    <w:p w14:paraId="6C7A07BA" w14:textId="77777777" w:rsidR="00CE307A" w:rsidRDefault="0078580C" w:rsidP="00CE307A">
      <w:pPr>
        <w:spacing w:before="120" w:after="240" w:line="264" w:lineRule="auto"/>
        <w:jc w:val="both"/>
        <w:rPr>
          <w:rFonts w:ascii="Times New Roman" w:hAnsi="Times New Roman" w:cs="Times New Roman"/>
        </w:rPr>
      </w:pPr>
      <w:r w:rsidRPr="0078580C">
        <w:rPr>
          <w:rFonts w:ascii="Times New Roman" w:hAnsi="Times New Roman" w:cs="Times New Roman"/>
        </w:rPr>
        <w:t>Where different</w:t>
      </w:r>
      <w:r w:rsidR="00FF03EA">
        <w:rPr>
          <w:rFonts w:ascii="Times New Roman" w:hAnsi="Times New Roman" w:cs="Times New Roman"/>
        </w:rPr>
        <w:t>/</w:t>
      </w:r>
      <w:r>
        <w:rPr>
          <w:rFonts w:ascii="Times New Roman" w:hAnsi="Times New Roman" w:cs="Times New Roman"/>
        </w:rPr>
        <w:t xml:space="preserve">a broad range of </w:t>
      </w:r>
      <w:r w:rsidR="00FF03EA">
        <w:rPr>
          <w:rFonts w:ascii="Times New Roman" w:hAnsi="Times New Roman" w:cs="Times New Roman"/>
        </w:rPr>
        <w:t>operations/</w:t>
      </w:r>
      <w:r w:rsidRPr="0078580C">
        <w:rPr>
          <w:rFonts w:ascii="Times New Roman" w:hAnsi="Times New Roman" w:cs="Times New Roman"/>
        </w:rPr>
        <w:t>commitments are included in a single intervention, the individual operations</w:t>
      </w:r>
      <w:r>
        <w:rPr>
          <w:rFonts w:ascii="Times New Roman" w:hAnsi="Times New Roman" w:cs="Times New Roman"/>
        </w:rPr>
        <w:t>/commitments of the</w:t>
      </w:r>
      <w:r w:rsidRPr="0078580C">
        <w:rPr>
          <w:rFonts w:ascii="Times New Roman" w:hAnsi="Times New Roman" w:cs="Times New Roman"/>
        </w:rPr>
        <w:t xml:space="preserve"> intervention may be attributed to different </w:t>
      </w:r>
      <w:r w:rsidR="00557908">
        <w:rPr>
          <w:rFonts w:ascii="Times New Roman" w:hAnsi="Times New Roman" w:cs="Times New Roman"/>
        </w:rPr>
        <w:t>result indicators</w:t>
      </w:r>
      <w:r w:rsidRPr="0078580C">
        <w:rPr>
          <w:rFonts w:ascii="Times New Roman" w:hAnsi="Times New Roman" w:cs="Times New Roman"/>
        </w:rPr>
        <w:t xml:space="preserve">, depending on their specific conditions. All supported </w:t>
      </w:r>
      <w:r w:rsidR="00CE307A">
        <w:rPr>
          <w:rFonts w:ascii="Times New Roman" w:hAnsi="Times New Roman" w:cs="Times New Roman"/>
        </w:rPr>
        <w:t>commitments/</w:t>
      </w:r>
      <w:r w:rsidRPr="0078580C">
        <w:rPr>
          <w:rFonts w:ascii="Times New Roman" w:hAnsi="Times New Roman" w:cs="Times New Roman"/>
        </w:rPr>
        <w:t xml:space="preserve">operations must however be attributed to at least one </w:t>
      </w:r>
      <w:r w:rsidR="00557908">
        <w:rPr>
          <w:rFonts w:ascii="Times New Roman" w:hAnsi="Times New Roman" w:cs="Times New Roman"/>
        </w:rPr>
        <w:t>result indicator</w:t>
      </w:r>
      <w:r w:rsidRPr="0078580C">
        <w:rPr>
          <w:rFonts w:ascii="Times New Roman" w:hAnsi="Times New Roman" w:cs="Times New Roman"/>
        </w:rPr>
        <w:t xml:space="preserve">. </w:t>
      </w:r>
      <w:r w:rsidR="00CE307A" w:rsidRPr="00ED4C5C">
        <w:rPr>
          <w:rFonts w:ascii="Times New Roman" w:hAnsi="Times New Roman" w:cs="Times New Roman"/>
        </w:rPr>
        <w:t xml:space="preserve">In </w:t>
      </w:r>
      <w:r w:rsidR="00CE307A" w:rsidRPr="00FB7193">
        <w:rPr>
          <w:rFonts w:ascii="Times New Roman" w:hAnsi="Times New Roman" w:cs="Times New Roman"/>
        </w:rPr>
        <w:t>th</w:t>
      </w:r>
      <w:r w:rsidR="00FB7193">
        <w:rPr>
          <w:rFonts w:ascii="Times New Roman" w:hAnsi="Times New Roman" w:cs="Times New Roman"/>
        </w:rPr>
        <w:t>ese</w:t>
      </w:r>
      <w:r w:rsidRPr="00ED4C5C">
        <w:rPr>
          <w:rFonts w:ascii="Times New Roman" w:hAnsi="Times New Roman" w:cs="Times New Roman"/>
        </w:rPr>
        <w:t xml:space="preserve"> cases, when dr</w:t>
      </w:r>
      <w:r w:rsidR="00F01452">
        <w:rPr>
          <w:rFonts w:ascii="Times New Roman" w:hAnsi="Times New Roman" w:cs="Times New Roman"/>
        </w:rPr>
        <w:t>afting the CAP s</w:t>
      </w:r>
      <w:r w:rsidRPr="00637147">
        <w:rPr>
          <w:rFonts w:ascii="Times New Roman" w:hAnsi="Times New Roman" w:cs="Times New Roman"/>
        </w:rPr>
        <w:t>trategic plan, the intervention as a whole (or the intervention/unit amount) sh</w:t>
      </w:r>
      <w:r w:rsidR="00CE307A">
        <w:rPr>
          <w:rFonts w:ascii="Times New Roman" w:hAnsi="Times New Roman" w:cs="Times New Roman"/>
        </w:rPr>
        <w:t>ould</w:t>
      </w:r>
      <w:r w:rsidRPr="00ED4C5C">
        <w:rPr>
          <w:rFonts w:ascii="Times New Roman" w:hAnsi="Times New Roman" w:cs="Times New Roman"/>
        </w:rPr>
        <w:t xml:space="preserve"> be attributed to the relevant </w:t>
      </w:r>
      <w:r w:rsidR="00557908">
        <w:rPr>
          <w:rFonts w:ascii="Times New Roman" w:hAnsi="Times New Roman" w:cs="Times New Roman"/>
        </w:rPr>
        <w:t>result indicator</w:t>
      </w:r>
      <w:r w:rsidRPr="00ED4C5C">
        <w:rPr>
          <w:rFonts w:ascii="Times New Roman" w:hAnsi="Times New Roman" w:cs="Times New Roman"/>
        </w:rPr>
        <w:t xml:space="preserve">, although not all operations/commitments might contribute to each of the selected </w:t>
      </w:r>
      <w:r w:rsidR="00557908">
        <w:rPr>
          <w:rFonts w:ascii="Times New Roman" w:hAnsi="Times New Roman" w:cs="Times New Roman"/>
        </w:rPr>
        <w:t xml:space="preserve">result </w:t>
      </w:r>
      <w:r w:rsidR="005A102B">
        <w:rPr>
          <w:rFonts w:ascii="Times New Roman" w:hAnsi="Times New Roman" w:cs="Times New Roman"/>
        </w:rPr>
        <w:t>indicators</w:t>
      </w:r>
      <w:r w:rsidRPr="00ED4C5C">
        <w:rPr>
          <w:rFonts w:ascii="Times New Roman" w:hAnsi="Times New Roman" w:cs="Times New Roman"/>
        </w:rPr>
        <w:t xml:space="preserve">. </w:t>
      </w:r>
    </w:p>
    <w:p w14:paraId="2087654E" w14:textId="77777777" w:rsidR="00CE307A" w:rsidRDefault="0078580C" w:rsidP="00ED4C5C">
      <w:pPr>
        <w:pStyle w:val="ListParagraph"/>
        <w:numPr>
          <w:ilvl w:val="0"/>
          <w:numId w:val="6"/>
        </w:numPr>
        <w:spacing w:before="120" w:after="240" w:line="264" w:lineRule="auto"/>
        <w:ind w:left="851" w:hanging="284"/>
        <w:contextualSpacing w:val="0"/>
        <w:jc w:val="both"/>
        <w:rPr>
          <w:rFonts w:ascii="Times New Roman" w:hAnsi="Times New Roman" w:cs="Times New Roman"/>
        </w:rPr>
      </w:pPr>
      <w:r w:rsidRPr="00ED4C5C">
        <w:rPr>
          <w:rFonts w:ascii="Times New Roman" w:hAnsi="Times New Roman" w:cs="Times New Roman"/>
        </w:rPr>
        <w:t>This is for instance the case for in</w:t>
      </w:r>
      <w:r w:rsidRPr="00637147">
        <w:rPr>
          <w:rFonts w:ascii="Times New Roman" w:hAnsi="Times New Roman" w:cs="Times New Roman"/>
        </w:rPr>
        <w:t xml:space="preserve">vestments and cooperation. When reporting for investment and cooperation in this case, operations should be assessed individually and attributed (ex-post) to the relevant </w:t>
      </w:r>
      <w:r w:rsidR="002820DF">
        <w:rPr>
          <w:rFonts w:ascii="Times New Roman" w:hAnsi="Times New Roman" w:cs="Times New Roman"/>
        </w:rPr>
        <w:t>result indicator</w:t>
      </w:r>
      <w:r w:rsidRPr="00637147">
        <w:rPr>
          <w:rFonts w:ascii="Times New Roman" w:hAnsi="Times New Roman" w:cs="Times New Roman"/>
        </w:rPr>
        <w:t xml:space="preserve"> as appropriate. </w:t>
      </w:r>
    </w:p>
    <w:p w14:paraId="05462932" w14:textId="77777777" w:rsidR="0078580C" w:rsidRPr="00637147" w:rsidRDefault="0078580C" w:rsidP="00637147">
      <w:pPr>
        <w:pStyle w:val="ListParagraph"/>
        <w:numPr>
          <w:ilvl w:val="0"/>
          <w:numId w:val="6"/>
        </w:numPr>
        <w:spacing w:before="120" w:after="240" w:line="264" w:lineRule="auto"/>
        <w:ind w:left="851" w:hanging="284"/>
        <w:contextualSpacing w:val="0"/>
        <w:jc w:val="both"/>
        <w:rPr>
          <w:rFonts w:ascii="Times New Roman" w:hAnsi="Times New Roman" w:cs="Times New Roman"/>
        </w:rPr>
      </w:pPr>
      <w:r w:rsidRPr="00ED4C5C">
        <w:rPr>
          <w:rFonts w:ascii="Times New Roman" w:hAnsi="Times New Roman" w:cs="Times New Roman"/>
        </w:rPr>
        <w:t>It could also be the case that a</w:t>
      </w:r>
      <w:r w:rsidR="009B5288">
        <w:rPr>
          <w:rFonts w:ascii="Times New Roman" w:hAnsi="Times New Roman" w:cs="Times New Roman"/>
        </w:rPr>
        <w:t>n eco-scheme, mostly when it is a</w:t>
      </w:r>
      <w:r w:rsidRPr="00ED4C5C">
        <w:rPr>
          <w:rFonts w:ascii="Times New Roman" w:hAnsi="Times New Roman" w:cs="Times New Roman"/>
        </w:rPr>
        <w:t xml:space="preserve"> “whole farm eco-scheme”</w:t>
      </w:r>
      <w:r w:rsidR="002E1F58">
        <w:rPr>
          <w:rFonts w:ascii="Times New Roman" w:hAnsi="Times New Roman" w:cs="Times New Roman"/>
        </w:rPr>
        <w:t>,</w:t>
      </w:r>
      <w:r w:rsidRPr="00ED4C5C">
        <w:rPr>
          <w:rFonts w:ascii="Times New Roman" w:hAnsi="Times New Roman" w:cs="Times New Roman"/>
        </w:rPr>
        <w:t xml:space="preserve"> contain</w:t>
      </w:r>
      <w:r w:rsidR="00FF03EA">
        <w:rPr>
          <w:rFonts w:ascii="Times New Roman" w:hAnsi="Times New Roman" w:cs="Times New Roman"/>
        </w:rPr>
        <w:t>s</w:t>
      </w:r>
      <w:r w:rsidRPr="00ED4C5C">
        <w:rPr>
          <w:rFonts w:ascii="Times New Roman" w:hAnsi="Times New Roman" w:cs="Times New Roman"/>
        </w:rPr>
        <w:t xml:space="preserve"> different commitments</w:t>
      </w:r>
      <w:r w:rsidR="006471A0">
        <w:rPr>
          <w:rFonts w:ascii="Times New Roman" w:hAnsi="Times New Roman" w:cs="Times New Roman"/>
        </w:rPr>
        <w:t>,</w:t>
      </w:r>
      <w:r w:rsidRPr="00ED4C5C">
        <w:rPr>
          <w:rFonts w:ascii="Times New Roman" w:hAnsi="Times New Roman" w:cs="Times New Roman"/>
        </w:rPr>
        <w:t xml:space="preserve"> which sh</w:t>
      </w:r>
      <w:r w:rsidR="00CE307A">
        <w:rPr>
          <w:rFonts w:ascii="Times New Roman" w:hAnsi="Times New Roman" w:cs="Times New Roman"/>
        </w:rPr>
        <w:t>ould be</w:t>
      </w:r>
      <w:r w:rsidRPr="00ED4C5C">
        <w:rPr>
          <w:rFonts w:ascii="Times New Roman" w:hAnsi="Times New Roman" w:cs="Times New Roman"/>
        </w:rPr>
        <w:t xml:space="preserve"> linked to different </w:t>
      </w:r>
      <w:r w:rsidR="007D21B2">
        <w:rPr>
          <w:rFonts w:ascii="Times New Roman" w:hAnsi="Times New Roman" w:cs="Times New Roman"/>
        </w:rPr>
        <w:t>result indicators</w:t>
      </w:r>
      <w:r w:rsidR="00CE307A" w:rsidRPr="00637147">
        <w:rPr>
          <w:rFonts w:ascii="Times New Roman" w:hAnsi="Times New Roman" w:cs="Times New Roman"/>
        </w:rPr>
        <w:t xml:space="preserve">. In this situation, only the hectares (outputs) planned for the “commitments/operations” linked to a specific </w:t>
      </w:r>
      <w:r w:rsidR="002820DF">
        <w:rPr>
          <w:rFonts w:ascii="Times New Roman" w:hAnsi="Times New Roman" w:cs="Times New Roman"/>
        </w:rPr>
        <w:t xml:space="preserve">result </w:t>
      </w:r>
      <w:r w:rsidR="00D21287">
        <w:rPr>
          <w:rFonts w:ascii="Times New Roman" w:hAnsi="Times New Roman" w:cs="Times New Roman"/>
        </w:rPr>
        <w:t>indicator</w:t>
      </w:r>
      <w:r w:rsidR="00CE307A" w:rsidRPr="00637147">
        <w:rPr>
          <w:rFonts w:ascii="Times New Roman" w:hAnsi="Times New Roman" w:cs="Times New Roman"/>
        </w:rPr>
        <w:t xml:space="preserve"> sh</w:t>
      </w:r>
      <w:r w:rsidR="00CE307A">
        <w:rPr>
          <w:rFonts w:ascii="Times New Roman" w:hAnsi="Times New Roman" w:cs="Times New Roman"/>
        </w:rPr>
        <w:t>o</w:t>
      </w:r>
      <w:r w:rsidR="00CE307A" w:rsidRPr="00637147">
        <w:rPr>
          <w:rFonts w:ascii="Times New Roman" w:hAnsi="Times New Roman" w:cs="Times New Roman"/>
        </w:rPr>
        <w:t xml:space="preserve">uld be taken into account when setting the milestone/target for that specific </w:t>
      </w:r>
      <w:r w:rsidR="002820DF">
        <w:rPr>
          <w:rFonts w:ascii="Times New Roman" w:hAnsi="Times New Roman" w:cs="Times New Roman"/>
        </w:rPr>
        <w:t>result indicator</w:t>
      </w:r>
      <w:r w:rsidR="00CE307A" w:rsidRPr="00637147">
        <w:rPr>
          <w:rFonts w:ascii="Times New Roman" w:hAnsi="Times New Roman" w:cs="Times New Roman"/>
        </w:rPr>
        <w:t xml:space="preserve">. </w:t>
      </w:r>
      <w:r w:rsidR="00CE307A" w:rsidRPr="00637147">
        <w:rPr>
          <w:rFonts w:ascii="Times New Roman" w:hAnsi="Times New Roman" w:cs="Times New Roman"/>
          <w:lang w:val="en-IE"/>
        </w:rPr>
        <w:t>Similarly, for the reporting, onl</w:t>
      </w:r>
      <w:r w:rsidR="00CE307A" w:rsidRPr="00CE307A">
        <w:rPr>
          <w:rFonts w:ascii="Times New Roman" w:hAnsi="Times New Roman" w:cs="Times New Roman"/>
          <w:lang w:val="en-IE"/>
        </w:rPr>
        <w:t>y the hectares under the “</w:t>
      </w:r>
      <w:r w:rsidR="00CE307A">
        <w:rPr>
          <w:rFonts w:ascii="Times New Roman" w:hAnsi="Times New Roman" w:cs="Times New Roman"/>
          <w:lang w:val="en-IE"/>
        </w:rPr>
        <w:t>commitment</w:t>
      </w:r>
      <w:r w:rsidR="00CE307A" w:rsidRPr="00637147">
        <w:rPr>
          <w:rFonts w:ascii="Times New Roman" w:hAnsi="Times New Roman" w:cs="Times New Roman"/>
          <w:lang w:val="en-IE"/>
        </w:rPr>
        <w:t xml:space="preserve">/operation” linked to a specific </w:t>
      </w:r>
      <w:r w:rsidR="002820DF">
        <w:rPr>
          <w:rFonts w:ascii="Times New Roman" w:hAnsi="Times New Roman" w:cs="Times New Roman"/>
          <w:lang w:val="en-IE"/>
        </w:rPr>
        <w:t>result indicator</w:t>
      </w:r>
      <w:r w:rsidR="00CE307A" w:rsidRPr="00637147">
        <w:rPr>
          <w:rFonts w:ascii="Times New Roman" w:hAnsi="Times New Roman" w:cs="Times New Roman"/>
          <w:lang w:val="en-IE"/>
        </w:rPr>
        <w:t xml:space="preserve">, should be included in the reporting for the specific </w:t>
      </w:r>
      <w:r w:rsidR="00D21287">
        <w:rPr>
          <w:rFonts w:ascii="Times New Roman" w:hAnsi="Times New Roman" w:cs="Times New Roman"/>
          <w:lang w:val="en-IE"/>
        </w:rPr>
        <w:t>result indicator</w:t>
      </w:r>
      <w:r w:rsidR="00CE307A" w:rsidRPr="00637147">
        <w:rPr>
          <w:rFonts w:ascii="Times New Roman" w:hAnsi="Times New Roman" w:cs="Times New Roman"/>
          <w:lang w:val="en-IE"/>
        </w:rPr>
        <w:t>.</w:t>
      </w:r>
      <w:r w:rsidR="00CE307A">
        <w:rPr>
          <w:rFonts w:ascii="Times New Roman" w:hAnsi="Times New Roman" w:cs="Times New Roman"/>
          <w:lang w:val="en-IE"/>
        </w:rPr>
        <w:t xml:space="preserve"> In the case of such a “whole farm eco-scheme” it could in certain cases</w:t>
      </w:r>
      <w:r w:rsidR="00C5340A">
        <w:rPr>
          <w:rFonts w:ascii="Times New Roman" w:hAnsi="Times New Roman" w:cs="Times New Roman"/>
          <w:lang w:val="en-IE"/>
        </w:rPr>
        <w:t>,</w:t>
      </w:r>
      <w:r w:rsidR="00CE307A">
        <w:rPr>
          <w:rFonts w:ascii="Times New Roman" w:hAnsi="Times New Roman" w:cs="Times New Roman"/>
          <w:lang w:val="en-IE"/>
        </w:rPr>
        <w:t xml:space="preserve"> and depending on the design of the eco-scheme</w:t>
      </w:r>
      <w:r w:rsidR="00C5340A">
        <w:rPr>
          <w:rFonts w:ascii="Times New Roman" w:hAnsi="Times New Roman" w:cs="Times New Roman"/>
          <w:lang w:val="en-IE"/>
        </w:rPr>
        <w:t>,</w:t>
      </w:r>
      <w:r w:rsidR="00CE307A">
        <w:rPr>
          <w:rFonts w:ascii="Times New Roman" w:hAnsi="Times New Roman" w:cs="Times New Roman"/>
          <w:lang w:val="en-IE"/>
        </w:rPr>
        <w:t xml:space="preserve"> facilitate the attribution of the individual commitments to </w:t>
      </w:r>
      <w:r w:rsidR="002820DF">
        <w:rPr>
          <w:rFonts w:ascii="Times New Roman" w:hAnsi="Times New Roman" w:cs="Times New Roman"/>
          <w:lang w:val="en-IE"/>
        </w:rPr>
        <w:t>result indicator</w:t>
      </w:r>
      <w:r w:rsidR="00D21287">
        <w:rPr>
          <w:rFonts w:ascii="Times New Roman" w:hAnsi="Times New Roman" w:cs="Times New Roman"/>
          <w:lang w:val="en-IE"/>
        </w:rPr>
        <w:t>s</w:t>
      </w:r>
      <w:r w:rsidR="00CE307A">
        <w:rPr>
          <w:rFonts w:ascii="Times New Roman" w:hAnsi="Times New Roman" w:cs="Times New Roman"/>
          <w:lang w:val="en-IE"/>
        </w:rPr>
        <w:t xml:space="preserve"> in SFC</w:t>
      </w:r>
      <w:r w:rsidR="002820DF">
        <w:rPr>
          <w:rStyle w:val="FootnoteReference"/>
          <w:rFonts w:ascii="Times New Roman" w:hAnsi="Times New Roman" w:cs="Times New Roman"/>
          <w:lang w:val="en-IE"/>
        </w:rPr>
        <w:footnoteReference w:id="6"/>
      </w:r>
      <w:r w:rsidR="00FF03EA">
        <w:rPr>
          <w:rFonts w:ascii="Times New Roman" w:hAnsi="Times New Roman" w:cs="Times New Roman"/>
          <w:lang w:val="en-IE"/>
        </w:rPr>
        <w:t xml:space="preserve"> to</w:t>
      </w:r>
      <w:r w:rsidR="00CE307A">
        <w:rPr>
          <w:rFonts w:ascii="Times New Roman" w:hAnsi="Times New Roman" w:cs="Times New Roman"/>
          <w:lang w:val="en-IE"/>
        </w:rPr>
        <w:t xml:space="preserve"> plan separate unit amounts for each commitment, even if given the same “value”. Where this is not relevant or possible due to the design of the </w:t>
      </w:r>
      <w:r w:rsidR="00BF2A68">
        <w:rPr>
          <w:rFonts w:ascii="Times New Roman" w:hAnsi="Times New Roman" w:cs="Times New Roman"/>
          <w:lang w:val="en-IE"/>
        </w:rPr>
        <w:t xml:space="preserve">“whole farm </w:t>
      </w:r>
      <w:r w:rsidR="00CE307A">
        <w:rPr>
          <w:rFonts w:ascii="Times New Roman" w:hAnsi="Times New Roman" w:cs="Times New Roman"/>
          <w:lang w:val="en-IE"/>
        </w:rPr>
        <w:t>eco-scheme</w:t>
      </w:r>
      <w:r w:rsidR="00BF2A68">
        <w:rPr>
          <w:rFonts w:ascii="Times New Roman" w:hAnsi="Times New Roman" w:cs="Times New Roman"/>
          <w:lang w:val="en-IE"/>
        </w:rPr>
        <w:t>”</w:t>
      </w:r>
      <w:r w:rsidR="00CE307A">
        <w:rPr>
          <w:rFonts w:ascii="Times New Roman" w:hAnsi="Times New Roman" w:cs="Times New Roman"/>
          <w:lang w:val="en-IE"/>
        </w:rPr>
        <w:t xml:space="preserve">, it would increase transparency to nevertheless indicate clearly, which commitments justify the attribution of the intervention to which </w:t>
      </w:r>
      <w:r w:rsidR="00D21287">
        <w:rPr>
          <w:rFonts w:ascii="Times New Roman" w:hAnsi="Times New Roman" w:cs="Times New Roman"/>
          <w:lang w:val="en-IE"/>
        </w:rPr>
        <w:t>result indicator</w:t>
      </w:r>
      <w:r w:rsidR="00CE307A">
        <w:rPr>
          <w:rFonts w:ascii="Times New Roman" w:hAnsi="Times New Roman" w:cs="Times New Roman"/>
          <w:lang w:val="en-IE"/>
        </w:rPr>
        <w:t>. It remains that only the</w:t>
      </w:r>
      <w:r w:rsidR="00BF2A68">
        <w:rPr>
          <w:rFonts w:ascii="Times New Roman" w:hAnsi="Times New Roman" w:cs="Times New Roman"/>
          <w:lang w:val="en-IE"/>
        </w:rPr>
        <w:t xml:space="preserve"> </w:t>
      </w:r>
      <w:r w:rsidR="00BF2A68" w:rsidRPr="00637147">
        <w:rPr>
          <w:rFonts w:ascii="Times New Roman" w:hAnsi="Times New Roman" w:cs="Times New Roman"/>
          <w:lang w:val="en-IE"/>
        </w:rPr>
        <w:t>hectares under the “</w:t>
      </w:r>
      <w:r w:rsidR="00BF2A68">
        <w:rPr>
          <w:rFonts w:ascii="Times New Roman" w:hAnsi="Times New Roman" w:cs="Times New Roman"/>
          <w:lang w:val="en-IE"/>
        </w:rPr>
        <w:t>commitment</w:t>
      </w:r>
      <w:r w:rsidR="00BF2A68" w:rsidRPr="00637147">
        <w:rPr>
          <w:rFonts w:ascii="Times New Roman" w:hAnsi="Times New Roman" w:cs="Times New Roman"/>
          <w:lang w:val="en-IE"/>
        </w:rPr>
        <w:t xml:space="preserve">/operation” </w:t>
      </w:r>
      <w:r w:rsidR="00BF2A68">
        <w:rPr>
          <w:rFonts w:ascii="Times New Roman" w:hAnsi="Times New Roman" w:cs="Times New Roman"/>
          <w:lang w:val="en-IE"/>
        </w:rPr>
        <w:t xml:space="preserve">justifying the attribution of the intervention </w:t>
      </w:r>
      <w:r w:rsidR="00BF2A68" w:rsidRPr="00637147">
        <w:rPr>
          <w:rFonts w:ascii="Times New Roman" w:hAnsi="Times New Roman" w:cs="Times New Roman"/>
          <w:lang w:val="en-IE"/>
        </w:rPr>
        <w:t xml:space="preserve">to a specific </w:t>
      </w:r>
      <w:r w:rsidR="00D21287">
        <w:rPr>
          <w:rFonts w:ascii="Times New Roman" w:hAnsi="Times New Roman" w:cs="Times New Roman"/>
          <w:lang w:val="en-IE"/>
        </w:rPr>
        <w:t>result indic</w:t>
      </w:r>
      <w:r w:rsidR="001A319C">
        <w:rPr>
          <w:rFonts w:ascii="Times New Roman" w:hAnsi="Times New Roman" w:cs="Times New Roman"/>
          <w:lang w:val="en-IE"/>
        </w:rPr>
        <w:t>a</w:t>
      </w:r>
      <w:r w:rsidR="00D21287">
        <w:rPr>
          <w:rFonts w:ascii="Times New Roman" w:hAnsi="Times New Roman" w:cs="Times New Roman"/>
          <w:lang w:val="en-IE"/>
        </w:rPr>
        <w:t>tor</w:t>
      </w:r>
      <w:r w:rsidR="00BF2A68" w:rsidRPr="00637147">
        <w:rPr>
          <w:rFonts w:ascii="Times New Roman" w:hAnsi="Times New Roman" w:cs="Times New Roman"/>
          <w:lang w:val="en-IE"/>
        </w:rPr>
        <w:t xml:space="preserve">, should be included in the </w:t>
      </w:r>
      <w:r w:rsidR="00BF2A68">
        <w:rPr>
          <w:rFonts w:ascii="Times New Roman" w:hAnsi="Times New Roman" w:cs="Times New Roman"/>
          <w:lang w:val="en-IE"/>
        </w:rPr>
        <w:t xml:space="preserve">planning and </w:t>
      </w:r>
      <w:r w:rsidR="00BF2A68" w:rsidRPr="00637147">
        <w:rPr>
          <w:rFonts w:ascii="Times New Roman" w:hAnsi="Times New Roman" w:cs="Times New Roman"/>
          <w:lang w:val="en-IE"/>
        </w:rPr>
        <w:t xml:space="preserve">reporting for the specific </w:t>
      </w:r>
      <w:r w:rsidR="00D21287">
        <w:rPr>
          <w:rFonts w:ascii="Times New Roman" w:hAnsi="Times New Roman" w:cs="Times New Roman"/>
          <w:lang w:val="en-IE"/>
        </w:rPr>
        <w:t>result indicator</w:t>
      </w:r>
      <w:r w:rsidR="00BF2A68">
        <w:rPr>
          <w:rFonts w:ascii="Times New Roman" w:hAnsi="Times New Roman" w:cs="Times New Roman"/>
          <w:lang w:val="en-IE"/>
        </w:rPr>
        <w:t>.</w:t>
      </w:r>
      <w:r w:rsidR="00BF2A68" w:rsidRPr="00637147">
        <w:rPr>
          <w:rFonts w:ascii="Times New Roman" w:hAnsi="Times New Roman" w:cs="Times New Roman"/>
          <w:lang w:val="en-IE"/>
        </w:rPr>
        <w:t xml:space="preserve"> </w:t>
      </w:r>
      <w:r w:rsidR="00CE307A">
        <w:rPr>
          <w:rFonts w:ascii="Times New Roman" w:hAnsi="Times New Roman" w:cs="Times New Roman"/>
          <w:lang w:val="en-IE"/>
        </w:rPr>
        <w:t xml:space="preserve"> </w:t>
      </w:r>
    </w:p>
    <w:p w14:paraId="6FA71E0E" w14:textId="77777777" w:rsidR="00FB3F74" w:rsidRPr="006F2CA5" w:rsidRDefault="002E2381" w:rsidP="00A75E6D">
      <w:pPr>
        <w:spacing w:before="120" w:after="240" w:line="264" w:lineRule="auto"/>
        <w:jc w:val="both"/>
        <w:rPr>
          <w:rFonts w:ascii="Times New Roman" w:hAnsi="Times New Roman" w:cs="Times New Roman"/>
        </w:rPr>
      </w:pPr>
      <w:r w:rsidRPr="006F2CA5">
        <w:rPr>
          <w:rFonts w:ascii="Times New Roman" w:hAnsi="Times New Roman" w:cs="Times New Roman"/>
        </w:rPr>
        <w:t>MS could also link result indicators to types of intervention other than those indicated in the indicator fiche of the result indicator</w:t>
      </w:r>
      <w:r w:rsidR="00631372" w:rsidRPr="006F2CA5">
        <w:rPr>
          <w:rFonts w:ascii="Times New Roman" w:hAnsi="Times New Roman" w:cs="Times New Roman"/>
        </w:rPr>
        <w:t>s as long as</w:t>
      </w:r>
      <w:r w:rsidRPr="006F2CA5">
        <w:rPr>
          <w:rFonts w:ascii="Times New Roman" w:hAnsi="Times New Roman" w:cs="Times New Roman"/>
        </w:rPr>
        <w:t xml:space="preserve"> </w:t>
      </w:r>
      <w:r w:rsidR="00631372" w:rsidRPr="006F2CA5">
        <w:rPr>
          <w:rFonts w:ascii="Times New Roman" w:hAnsi="Times New Roman" w:cs="Times New Roman"/>
        </w:rPr>
        <w:t>the link</w:t>
      </w:r>
      <w:r w:rsidRPr="006F2CA5">
        <w:rPr>
          <w:rFonts w:ascii="Times New Roman" w:hAnsi="Times New Roman" w:cs="Times New Roman"/>
        </w:rPr>
        <w:t xml:space="preserve"> is justified by the intervention logic. Therefore, the types </w:t>
      </w:r>
      <w:r w:rsidRPr="006F2CA5">
        <w:rPr>
          <w:rFonts w:ascii="Times New Roman" w:hAnsi="Times New Roman" w:cs="Times New Roman"/>
        </w:rPr>
        <w:lastRenderedPageBreak/>
        <w:t xml:space="preserve">of interventions listed in the indicator fiches are neither compulsory nor exhaustive, but are considered the most relevant in a typical situation. </w:t>
      </w:r>
    </w:p>
    <w:p w14:paraId="7938F672" w14:textId="77777777" w:rsidR="00D47222" w:rsidRPr="00D47222" w:rsidRDefault="00D47222" w:rsidP="00FB7C30">
      <w:pPr>
        <w:pStyle w:val="ListParagraph"/>
        <w:numPr>
          <w:ilvl w:val="0"/>
          <w:numId w:val="21"/>
        </w:numPr>
        <w:spacing w:before="120" w:after="240" w:line="264" w:lineRule="auto"/>
        <w:ind w:left="851" w:hanging="284"/>
        <w:jc w:val="both"/>
        <w:rPr>
          <w:rFonts w:ascii="Times New Roman" w:hAnsi="Times New Roman" w:cs="Times New Roman"/>
        </w:rPr>
      </w:pPr>
      <w:r w:rsidRPr="00D47222">
        <w:rPr>
          <w:rFonts w:ascii="Times New Roman" w:hAnsi="Times New Roman" w:cs="Times New Roman"/>
        </w:rPr>
        <w:t>For example,</w:t>
      </w:r>
      <w:r>
        <w:t xml:space="preserve"> </w:t>
      </w:r>
      <w:r w:rsidRPr="00D47222">
        <w:rPr>
          <w:rFonts w:ascii="Times New Roman" w:hAnsi="Times New Roman" w:cs="Times New Roman"/>
        </w:rPr>
        <w:t xml:space="preserve">MS can define coupled payments to address environmental issues where coupled payments have been specifically designed to address this need and would reward farmers for practices going beyond </w:t>
      </w:r>
      <w:r>
        <w:rPr>
          <w:rFonts w:ascii="Times New Roman" w:hAnsi="Times New Roman" w:cs="Times New Roman"/>
        </w:rPr>
        <w:t>mandatory</w:t>
      </w:r>
      <w:r w:rsidRPr="00D47222">
        <w:rPr>
          <w:rFonts w:ascii="Times New Roman" w:hAnsi="Times New Roman" w:cs="Times New Roman"/>
        </w:rPr>
        <w:t xml:space="preserve"> requirements. In such cases, the area covered by this coupled payment could be included in the result indicators to which </w:t>
      </w:r>
      <w:r>
        <w:rPr>
          <w:rFonts w:ascii="Times New Roman" w:hAnsi="Times New Roman" w:cs="Times New Roman"/>
        </w:rPr>
        <w:t>MS can demonstrate that it</w:t>
      </w:r>
      <w:r w:rsidRPr="00D47222">
        <w:rPr>
          <w:rFonts w:ascii="Times New Roman" w:hAnsi="Times New Roman" w:cs="Times New Roman"/>
        </w:rPr>
        <w:t xml:space="preserve"> contributes</w:t>
      </w:r>
      <w:r>
        <w:rPr>
          <w:rFonts w:ascii="Times New Roman" w:hAnsi="Times New Roman" w:cs="Times New Roman"/>
        </w:rPr>
        <w:t xml:space="preserve"> directly and significantly</w:t>
      </w:r>
      <w:r w:rsidRPr="00D47222">
        <w:rPr>
          <w:rFonts w:ascii="Times New Roman" w:hAnsi="Times New Roman" w:cs="Times New Roman"/>
        </w:rPr>
        <w:t>.</w:t>
      </w:r>
    </w:p>
    <w:p w14:paraId="19535AE5" w14:textId="77777777" w:rsidR="000405A7" w:rsidRPr="006F2CA5" w:rsidRDefault="000405A7" w:rsidP="00A75E6D">
      <w:pPr>
        <w:spacing w:before="120" w:after="240" w:line="264" w:lineRule="auto"/>
        <w:jc w:val="both"/>
        <w:rPr>
          <w:rFonts w:ascii="Times New Roman" w:hAnsi="Times New Roman" w:cs="Times New Roman"/>
        </w:rPr>
      </w:pPr>
      <w:r w:rsidRPr="006F2CA5">
        <w:rPr>
          <w:rFonts w:ascii="Times New Roman" w:hAnsi="Times New Roman" w:cs="Times New Roman"/>
        </w:rPr>
        <w:t xml:space="preserve">The concept of primary and secondary contributions (or primary and secondary effects), which applied in the Annual Implementation Report for Rural Development measures under the CAP 2014-2020, does not exist any longer. One intervention may contribute to several result indicators at the same time, without hierarchy between the effects (provided the link is direct and significant). </w:t>
      </w:r>
    </w:p>
    <w:p w14:paraId="2DD2B0D3" w14:textId="77777777" w:rsidR="00CB77E8" w:rsidRPr="006F2CA5" w:rsidRDefault="00777270" w:rsidP="00A75E6D">
      <w:pPr>
        <w:spacing w:before="120" w:after="240" w:line="264" w:lineRule="auto"/>
        <w:jc w:val="both"/>
        <w:rPr>
          <w:rFonts w:ascii="Times New Roman" w:hAnsi="Times New Roman" w:cs="Times New Roman"/>
        </w:rPr>
      </w:pPr>
      <w:r w:rsidRPr="006F2CA5">
        <w:rPr>
          <w:rFonts w:ascii="Times New Roman" w:hAnsi="Times New Roman" w:cs="Times New Roman"/>
        </w:rPr>
        <w:t xml:space="preserve">It is noteworthy that, although </w:t>
      </w:r>
      <w:r w:rsidR="0064687E" w:rsidRPr="006F2CA5">
        <w:rPr>
          <w:rFonts w:ascii="Times New Roman" w:hAnsi="Times New Roman" w:cs="Times New Roman"/>
        </w:rPr>
        <w:t xml:space="preserve">the </w:t>
      </w:r>
      <w:r w:rsidRPr="006F2CA5">
        <w:rPr>
          <w:rFonts w:ascii="Times New Roman" w:hAnsi="Times New Roman" w:cs="Times New Roman"/>
        </w:rPr>
        <w:t xml:space="preserve">output indicators </w:t>
      </w:r>
      <w:r w:rsidR="0064687E" w:rsidRPr="006F2CA5">
        <w:rPr>
          <w:rFonts w:ascii="Times New Roman" w:hAnsi="Times New Roman" w:cs="Times New Roman"/>
        </w:rPr>
        <w:t xml:space="preserve">(which are associated to interventions) </w:t>
      </w:r>
      <w:r w:rsidRPr="006F2CA5">
        <w:rPr>
          <w:rFonts w:ascii="Times New Roman" w:hAnsi="Times New Roman" w:cs="Times New Roman"/>
        </w:rPr>
        <w:t xml:space="preserve">and result indicators can account for the same intervention, they are not necessarily based on the same unit of measurement due to their different </w:t>
      </w:r>
      <w:r w:rsidR="002E2381" w:rsidRPr="006F2CA5">
        <w:rPr>
          <w:rFonts w:ascii="Times New Roman" w:hAnsi="Times New Roman" w:cs="Times New Roman"/>
        </w:rPr>
        <w:t xml:space="preserve">purpose. For instance, </w:t>
      </w:r>
      <w:r w:rsidRPr="006F2CA5">
        <w:rPr>
          <w:rFonts w:ascii="Times New Roman" w:hAnsi="Times New Roman" w:cs="Times New Roman"/>
        </w:rPr>
        <w:t xml:space="preserve">the </w:t>
      </w:r>
      <w:r w:rsidR="00A75E6D">
        <w:rPr>
          <w:rFonts w:ascii="Times New Roman" w:hAnsi="Times New Roman" w:cs="Times New Roman"/>
        </w:rPr>
        <w:t>output indicators</w:t>
      </w:r>
      <w:r w:rsidRPr="006F2CA5">
        <w:rPr>
          <w:rFonts w:ascii="Times New Roman" w:hAnsi="Times New Roman" w:cs="Times New Roman"/>
        </w:rPr>
        <w:t xml:space="preserve"> for the type of intervention ‘</w:t>
      </w:r>
      <w:r w:rsidR="00A75E6D">
        <w:rPr>
          <w:rFonts w:ascii="Times New Roman" w:hAnsi="Times New Roman" w:cs="Times New Roman"/>
        </w:rPr>
        <w:t>training</w:t>
      </w:r>
      <w:r w:rsidRPr="006F2CA5">
        <w:rPr>
          <w:rFonts w:ascii="Times New Roman" w:hAnsi="Times New Roman" w:cs="Times New Roman"/>
        </w:rPr>
        <w:t xml:space="preserve"> is the number of </w:t>
      </w:r>
      <w:r w:rsidR="00A75E6D">
        <w:rPr>
          <w:rFonts w:ascii="Times New Roman" w:hAnsi="Times New Roman" w:cs="Times New Roman"/>
        </w:rPr>
        <w:t>training</w:t>
      </w:r>
      <w:r w:rsidRPr="006F2CA5">
        <w:rPr>
          <w:rFonts w:ascii="Times New Roman" w:hAnsi="Times New Roman" w:cs="Times New Roman"/>
        </w:rPr>
        <w:t xml:space="preserve"> operations (</w:t>
      </w:r>
      <w:r w:rsidR="00A75E6D">
        <w:rPr>
          <w:rFonts w:ascii="Times New Roman" w:hAnsi="Times New Roman" w:cs="Times New Roman"/>
        </w:rPr>
        <w:t>training promotors</w:t>
      </w:r>
      <w:r w:rsidRPr="006F2CA5">
        <w:rPr>
          <w:rFonts w:ascii="Times New Roman" w:hAnsi="Times New Roman" w:cs="Times New Roman"/>
        </w:rPr>
        <w:t xml:space="preserve"> are paid for each </w:t>
      </w:r>
      <w:r w:rsidR="00A75E6D">
        <w:rPr>
          <w:rFonts w:ascii="Times New Roman" w:hAnsi="Times New Roman" w:cs="Times New Roman"/>
        </w:rPr>
        <w:t>training</w:t>
      </w:r>
      <w:r w:rsidRPr="006F2CA5">
        <w:rPr>
          <w:rFonts w:ascii="Times New Roman" w:hAnsi="Times New Roman" w:cs="Times New Roman"/>
        </w:rPr>
        <w:t xml:space="preserve"> operation they carry out, e.g. O.</w:t>
      </w:r>
      <w:r w:rsidR="00A75E6D">
        <w:rPr>
          <w:rFonts w:ascii="Times New Roman" w:hAnsi="Times New Roman" w:cs="Times New Roman"/>
        </w:rPr>
        <w:t>33</w:t>
      </w:r>
      <w:r w:rsidRPr="006F2CA5">
        <w:rPr>
          <w:rFonts w:ascii="Times New Roman" w:hAnsi="Times New Roman" w:cs="Times New Roman"/>
        </w:rPr>
        <w:t xml:space="preserve">) whereas the </w:t>
      </w:r>
      <w:r w:rsidR="00A75E6D">
        <w:rPr>
          <w:rFonts w:ascii="Times New Roman" w:hAnsi="Times New Roman" w:cs="Times New Roman"/>
        </w:rPr>
        <w:t>result indicator</w:t>
      </w:r>
      <w:r w:rsidRPr="006F2CA5">
        <w:rPr>
          <w:rFonts w:ascii="Times New Roman" w:hAnsi="Times New Roman" w:cs="Times New Roman"/>
        </w:rPr>
        <w:t xml:space="preserve"> R.</w:t>
      </w:r>
      <w:r w:rsidR="00A75E6D">
        <w:rPr>
          <w:rFonts w:ascii="Times New Roman" w:hAnsi="Times New Roman" w:cs="Times New Roman"/>
        </w:rPr>
        <w:t>1</w:t>
      </w:r>
      <w:r w:rsidRPr="006F2CA5">
        <w:rPr>
          <w:rFonts w:ascii="Times New Roman" w:hAnsi="Times New Roman" w:cs="Times New Roman"/>
        </w:rPr>
        <w:t xml:space="preserve"> captures the effects of </w:t>
      </w:r>
      <w:r w:rsidR="00A75E6D">
        <w:rPr>
          <w:rFonts w:ascii="Times New Roman" w:hAnsi="Times New Roman" w:cs="Times New Roman"/>
        </w:rPr>
        <w:t>the</w:t>
      </w:r>
      <w:r w:rsidRPr="006F2CA5">
        <w:rPr>
          <w:rFonts w:ascii="Times New Roman" w:hAnsi="Times New Roman" w:cs="Times New Roman"/>
        </w:rPr>
        <w:t>se interventions in a way to reflect their intended policy purpose</w:t>
      </w:r>
      <w:r w:rsidR="00A75E6D">
        <w:rPr>
          <w:rFonts w:ascii="Times New Roman" w:hAnsi="Times New Roman" w:cs="Times New Roman"/>
        </w:rPr>
        <w:t>, i.e. the number of persons trained</w:t>
      </w:r>
      <w:r w:rsidRPr="006F2CA5">
        <w:rPr>
          <w:rFonts w:ascii="Times New Roman" w:hAnsi="Times New Roman" w:cs="Times New Roman"/>
        </w:rPr>
        <w:t>.</w:t>
      </w:r>
    </w:p>
    <w:p w14:paraId="06D659E2" w14:textId="319A2B83" w:rsidR="00717503" w:rsidRPr="006F2CA5" w:rsidRDefault="001923EC" w:rsidP="00A82615">
      <w:pPr>
        <w:pStyle w:val="Heading2"/>
        <w:spacing w:before="120" w:after="240" w:line="264" w:lineRule="auto"/>
        <w:ind w:left="578" w:hanging="578"/>
        <w:jc w:val="both"/>
        <w:rPr>
          <w:rFonts w:ascii="Times New Roman" w:hAnsi="Times New Roman" w:cs="Times New Roman"/>
          <w:color w:val="C45911" w:themeColor="accent2" w:themeShade="BF"/>
        </w:rPr>
      </w:pPr>
      <w:bookmarkStart w:id="29" w:name="_Toc126762217"/>
      <w:r w:rsidRPr="006F2CA5">
        <w:rPr>
          <w:rFonts w:ascii="Times New Roman" w:hAnsi="Times New Roman" w:cs="Times New Roman"/>
          <w:color w:val="C45911" w:themeColor="accent2" w:themeShade="BF"/>
        </w:rPr>
        <w:t>Planning</w:t>
      </w:r>
      <w:r w:rsidR="00F32718" w:rsidRPr="006F2CA5">
        <w:rPr>
          <w:rFonts w:ascii="Times New Roman" w:hAnsi="Times New Roman" w:cs="Times New Roman"/>
          <w:color w:val="C45911" w:themeColor="accent2" w:themeShade="BF"/>
        </w:rPr>
        <w:t xml:space="preserve"> of result indicators</w:t>
      </w:r>
      <w:bookmarkEnd w:id="29"/>
    </w:p>
    <w:p w14:paraId="6842F4A9" w14:textId="77777777" w:rsidR="00BA78D6" w:rsidRPr="006F2CA5" w:rsidRDefault="00BA78D6" w:rsidP="004423BB">
      <w:pPr>
        <w:spacing w:before="120" w:after="240" w:line="264" w:lineRule="auto"/>
        <w:jc w:val="both"/>
        <w:rPr>
          <w:rFonts w:ascii="Times New Roman" w:hAnsi="Times New Roman" w:cs="Times New Roman"/>
        </w:rPr>
      </w:pPr>
      <w:r w:rsidRPr="006F2CA5">
        <w:rPr>
          <w:rFonts w:ascii="Times New Roman" w:hAnsi="Times New Roman" w:cs="Times New Roman"/>
        </w:rPr>
        <w:t xml:space="preserve">Quantified targets and milestones </w:t>
      </w:r>
      <w:r w:rsidR="007753EC">
        <w:rPr>
          <w:rFonts w:ascii="Times New Roman" w:hAnsi="Times New Roman" w:cs="Times New Roman"/>
        </w:rPr>
        <w:t>should</w:t>
      </w:r>
      <w:r w:rsidRPr="006F2CA5">
        <w:rPr>
          <w:rFonts w:ascii="Times New Roman" w:hAnsi="Times New Roman" w:cs="Times New Roman"/>
        </w:rPr>
        <w:t xml:space="preserve"> be established for each result indicator that are relevant for the specific objectives and interventions described in the CAP strategic plan.</w:t>
      </w:r>
      <w:r w:rsidR="00AC7E32" w:rsidRPr="006F2CA5">
        <w:rPr>
          <w:rFonts w:ascii="Times New Roman" w:hAnsi="Times New Roman" w:cs="Times New Roman"/>
        </w:rPr>
        <w:t xml:space="preserve"> </w:t>
      </w:r>
    </w:p>
    <w:p w14:paraId="6BB0F51F" w14:textId="77777777" w:rsidR="00BA78D6" w:rsidRDefault="004313BC" w:rsidP="004423BB">
      <w:pPr>
        <w:spacing w:before="120" w:after="240" w:line="264" w:lineRule="auto"/>
        <w:jc w:val="both"/>
        <w:rPr>
          <w:rFonts w:ascii="Times New Roman" w:hAnsi="Times New Roman" w:cs="Times New Roman"/>
        </w:rPr>
      </w:pPr>
      <w:r w:rsidRPr="006F2CA5">
        <w:rPr>
          <w:rFonts w:ascii="Times New Roman" w:hAnsi="Times New Roman" w:cs="Times New Roman"/>
        </w:rPr>
        <w:t>MS</w:t>
      </w:r>
      <w:r w:rsidR="00BA78D6" w:rsidRPr="006F2CA5">
        <w:rPr>
          <w:rFonts w:ascii="Times New Roman" w:hAnsi="Times New Roman" w:cs="Times New Roman"/>
        </w:rPr>
        <w:t xml:space="preserve"> </w:t>
      </w:r>
      <w:r w:rsidR="007753EC">
        <w:rPr>
          <w:rFonts w:ascii="Times New Roman" w:hAnsi="Times New Roman" w:cs="Times New Roman"/>
        </w:rPr>
        <w:t>should</w:t>
      </w:r>
      <w:r w:rsidR="00BA78D6" w:rsidRPr="006F2CA5">
        <w:rPr>
          <w:rFonts w:ascii="Times New Roman" w:hAnsi="Times New Roman" w:cs="Times New Roman"/>
        </w:rPr>
        <w:t xml:space="preserve"> </w:t>
      </w:r>
      <w:r w:rsidR="00FA4822" w:rsidRPr="006F2CA5">
        <w:rPr>
          <w:rFonts w:ascii="Times New Roman" w:hAnsi="Times New Roman" w:cs="Times New Roman"/>
        </w:rPr>
        <w:t>plan</w:t>
      </w:r>
      <w:r w:rsidR="00BA78D6" w:rsidRPr="006F2CA5">
        <w:rPr>
          <w:rFonts w:ascii="Times New Roman" w:hAnsi="Times New Roman" w:cs="Times New Roman"/>
        </w:rPr>
        <w:t xml:space="preserve"> </w:t>
      </w:r>
      <w:r w:rsidR="006C39E8">
        <w:rPr>
          <w:rFonts w:ascii="Times New Roman" w:hAnsi="Times New Roman" w:cs="Times New Roman"/>
        </w:rPr>
        <w:t xml:space="preserve">only </w:t>
      </w:r>
      <w:r w:rsidR="00BA78D6" w:rsidRPr="006F2CA5">
        <w:rPr>
          <w:rFonts w:ascii="Times New Roman" w:hAnsi="Times New Roman" w:cs="Times New Roman"/>
        </w:rPr>
        <w:t>one target per result indicator</w:t>
      </w:r>
      <w:r w:rsidR="00FA4822" w:rsidRPr="006F2CA5">
        <w:rPr>
          <w:rFonts w:ascii="Times New Roman" w:hAnsi="Times New Roman" w:cs="Times New Roman"/>
        </w:rPr>
        <w:t xml:space="preserve">, including </w:t>
      </w:r>
      <w:r w:rsidR="006C39E8">
        <w:rPr>
          <w:rFonts w:ascii="Times New Roman" w:hAnsi="Times New Roman" w:cs="Times New Roman"/>
        </w:rPr>
        <w:t xml:space="preserve">for the </w:t>
      </w:r>
      <w:r w:rsidR="006D22EB" w:rsidRPr="006F2CA5">
        <w:rPr>
          <w:rFonts w:ascii="Times New Roman" w:hAnsi="Times New Roman" w:cs="Times New Roman"/>
        </w:rPr>
        <w:t xml:space="preserve">result indicators </w:t>
      </w:r>
      <w:r w:rsidR="006C39E8">
        <w:rPr>
          <w:rFonts w:ascii="Times New Roman" w:hAnsi="Times New Roman" w:cs="Times New Roman"/>
        </w:rPr>
        <w:t>with a</w:t>
      </w:r>
      <w:r w:rsidR="00FA4822" w:rsidRPr="006F2CA5">
        <w:rPr>
          <w:rFonts w:ascii="Times New Roman" w:hAnsi="Times New Roman" w:cs="Times New Roman"/>
        </w:rPr>
        <w:t xml:space="preserve"> breakdown.</w:t>
      </w:r>
      <w:r w:rsidR="006C39E8">
        <w:rPr>
          <w:rFonts w:ascii="Times New Roman" w:hAnsi="Times New Roman" w:cs="Times New Roman"/>
        </w:rPr>
        <w:t xml:space="preserve"> </w:t>
      </w:r>
      <w:r w:rsidR="006D22EB" w:rsidRPr="006F2CA5">
        <w:rPr>
          <w:rFonts w:ascii="Times New Roman" w:hAnsi="Times New Roman" w:cs="Times New Roman"/>
        </w:rPr>
        <w:t>The only exception is R.11 (concentration of supply)</w:t>
      </w:r>
      <w:r w:rsidR="00BA78D6" w:rsidRPr="006F2CA5">
        <w:rPr>
          <w:rFonts w:ascii="Times New Roman" w:hAnsi="Times New Roman" w:cs="Times New Roman"/>
        </w:rPr>
        <w:t xml:space="preserve"> for which </w:t>
      </w:r>
      <w:r w:rsidRPr="006F2CA5">
        <w:rPr>
          <w:rFonts w:ascii="Times New Roman" w:hAnsi="Times New Roman" w:cs="Times New Roman"/>
        </w:rPr>
        <w:t>MS</w:t>
      </w:r>
      <w:r w:rsidR="00BA78D6" w:rsidRPr="006F2CA5">
        <w:rPr>
          <w:rFonts w:ascii="Times New Roman" w:hAnsi="Times New Roman" w:cs="Times New Roman"/>
        </w:rPr>
        <w:t xml:space="preserve"> </w:t>
      </w:r>
      <w:r w:rsidR="007753EC">
        <w:rPr>
          <w:rFonts w:ascii="Times New Roman" w:hAnsi="Times New Roman" w:cs="Times New Roman"/>
        </w:rPr>
        <w:t>should</w:t>
      </w:r>
      <w:r w:rsidR="00BA78D6" w:rsidRPr="006F2CA5">
        <w:rPr>
          <w:rFonts w:ascii="Times New Roman" w:hAnsi="Times New Roman" w:cs="Times New Roman"/>
        </w:rPr>
        <w:t xml:space="preserve"> </w:t>
      </w:r>
      <w:r w:rsidR="006D22EB" w:rsidRPr="006F2CA5">
        <w:rPr>
          <w:rFonts w:ascii="Times New Roman" w:hAnsi="Times New Roman" w:cs="Times New Roman"/>
        </w:rPr>
        <w:t>plan and report</w:t>
      </w:r>
      <w:r w:rsidR="00BA78D6" w:rsidRPr="006F2CA5">
        <w:rPr>
          <w:rFonts w:ascii="Times New Roman" w:hAnsi="Times New Roman" w:cs="Times New Roman"/>
        </w:rPr>
        <w:t xml:space="preserve"> target</w:t>
      </w:r>
      <w:r w:rsidR="006C39E8">
        <w:rPr>
          <w:rFonts w:ascii="Times New Roman" w:hAnsi="Times New Roman" w:cs="Times New Roman"/>
        </w:rPr>
        <w:t>s</w:t>
      </w:r>
      <w:r w:rsidR="00BA78D6" w:rsidRPr="006F2CA5">
        <w:rPr>
          <w:rFonts w:ascii="Times New Roman" w:hAnsi="Times New Roman" w:cs="Times New Roman"/>
        </w:rPr>
        <w:t xml:space="preserve"> and milestones for each sector covered by operational programmes.</w:t>
      </w:r>
    </w:p>
    <w:p w14:paraId="7EB89E85" w14:textId="36EC202B" w:rsidR="003D72EE" w:rsidRPr="006F2CA5" w:rsidRDefault="003D72EE" w:rsidP="00A82615">
      <w:pPr>
        <w:pStyle w:val="Heading3"/>
        <w:spacing w:before="120" w:after="240" w:line="264" w:lineRule="auto"/>
        <w:rPr>
          <w:rFonts w:ascii="Times New Roman" w:hAnsi="Times New Roman" w:cs="Times New Roman"/>
          <w:color w:val="C45911" w:themeColor="accent2" w:themeShade="BF"/>
        </w:rPr>
      </w:pPr>
      <w:bookmarkStart w:id="30" w:name="_Toc126762218"/>
      <w:r w:rsidRPr="006F2CA5">
        <w:rPr>
          <w:rStyle w:val="Heading3Char"/>
          <w:rFonts w:ascii="Times New Roman" w:hAnsi="Times New Roman" w:cs="Times New Roman"/>
          <w:color w:val="C45911" w:themeColor="accent2" w:themeShade="BF"/>
        </w:rPr>
        <w:t>Carry-over</w:t>
      </w:r>
      <w:r w:rsidRPr="006F2CA5">
        <w:rPr>
          <w:rFonts w:ascii="Times New Roman" w:hAnsi="Times New Roman" w:cs="Times New Roman"/>
          <w:color w:val="C45911" w:themeColor="accent2" w:themeShade="BF"/>
        </w:rPr>
        <w:t xml:space="preserve"> of expenditure from previous </w:t>
      </w:r>
      <w:r w:rsidR="00EF2F2E">
        <w:rPr>
          <w:rFonts w:ascii="Times New Roman" w:hAnsi="Times New Roman" w:cs="Times New Roman"/>
          <w:color w:val="C45911" w:themeColor="accent2" w:themeShade="BF"/>
        </w:rPr>
        <w:t>programming periods</w:t>
      </w:r>
      <w:bookmarkEnd w:id="30"/>
    </w:p>
    <w:p w14:paraId="0BA642B0" w14:textId="77777777" w:rsidR="003D72EE" w:rsidRPr="006F2CA5" w:rsidRDefault="003D72EE" w:rsidP="006C39E8">
      <w:pPr>
        <w:spacing w:before="120" w:after="240" w:line="264" w:lineRule="auto"/>
        <w:jc w:val="both"/>
        <w:rPr>
          <w:rFonts w:ascii="Times New Roman" w:hAnsi="Times New Roman" w:cs="Times New Roman"/>
        </w:rPr>
      </w:pPr>
      <w:r w:rsidRPr="006F2CA5">
        <w:rPr>
          <w:rFonts w:ascii="Times New Roman" w:hAnsi="Times New Roman" w:cs="Times New Roman"/>
        </w:rPr>
        <w:t>Expenditure related to interventions that are carried over from previous programming periods and are funded in the CAP strategic plan should be also taken into account in the intervention strategy and for the target setting of result indicators.</w:t>
      </w:r>
    </w:p>
    <w:p w14:paraId="045922D9" w14:textId="1AF8DA96" w:rsidR="0025791B" w:rsidRPr="006F2CA5" w:rsidRDefault="0025791B" w:rsidP="00A82615">
      <w:pPr>
        <w:pStyle w:val="Heading2"/>
        <w:spacing w:before="120" w:after="240" w:line="264" w:lineRule="auto"/>
        <w:jc w:val="both"/>
        <w:rPr>
          <w:rFonts w:ascii="Times New Roman" w:hAnsi="Times New Roman" w:cs="Times New Roman"/>
          <w:color w:val="C45911" w:themeColor="accent2" w:themeShade="BF"/>
        </w:rPr>
      </w:pPr>
      <w:bookmarkStart w:id="31" w:name="_Toc126762219"/>
      <w:r w:rsidRPr="006F2CA5">
        <w:rPr>
          <w:rFonts w:ascii="Times New Roman" w:hAnsi="Times New Roman" w:cs="Times New Roman"/>
          <w:color w:val="C45911" w:themeColor="accent2" w:themeShade="BF"/>
        </w:rPr>
        <w:t xml:space="preserve">Reporting </w:t>
      </w:r>
      <w:r w:rsidR="00F32718" w:rsidRPr="006F2CA5">
        <w:rPr>
          <w:rFonts w:ascii="Times New Roman" w:hAnsi="Times New Roman" w:cs="Times New Roman"/>
          <w:color w:val="C45911" w:themeColor="accent2" w:themeShade="BF"/>
        </w:rPr>
        <w:t>of result indicators</w:t>
      </w:r>
      <w:bookmarkEnd w:id="31"/>
    </w:p>
    <w:p w14:paraId="6A9A8831" w14:textId="77777777" w:rsidR="00717503" w:rsidRPr="006F2CA5" w:rsidRDefault="005A0499" w:rsidP="00A82615">
      <w:pPr>
        <w:spacing w:before="120" w:after="240" w:line="264" w:lineRule="auto"/>
        <w:jc w:val="both"/>
        <w:rPr>
          <w:rFonts w:ascii="Times New Roman" w:hAnsi="Times New Roman" w:cs="Times New Roman"/>
        </w:rPr>
      </w:pPr>
      <w:r>
        <w:rPr>
          <w:rFonts w:ascii="Times New Roman" w:hAnsi="Times New Roman" w:cs="Times New Roman"/>
        </w:rPr>
        <w:t>The</w:t>
      </w:r>
      <w:r w:rsidR="0025791B" w:rsidRPr="006F2CA5">
        <w:rPr>
          <w:rFonts w:ascii="Times New Roman" w:hAnsi="Times New Roman" w:cs="Times New Roman"/>
        </w:rPr>
        <w:t xml:space="preserve"> result indicators </w:t>
      </w:r>
      <w:r>
        <w:rPr>
          <w:rFonts w:ascii="Times New Roman" w:hAnsi="Times New Roman" w:cs="Times New Roman"/>
        </w:rPr>
        <w:t>are reported annually in</w:t>
      </w:r>
      <w:r w:rsidR="0025791B" w:rsidRPr="006F2CA5">
        <w:rPr>
          <w:rFonts w:ascii="Times New Roman" w:hAnsi="Times New Roman" w:cs="Times New Roman"/>
        </w:rPr>
        <w:t xml:space="preserve"> the </w:t>
      </w:r>
      <w:r w:rsidR="004313BC" w:rsidRPr="006F2CA5">
        <w:rPr>
          <w:rFonts w:ascii="Times New Roman" w:hAnsi="Times New Roman" w:cs="Times New Roman"/>
        </w:rPr>
        <w:t>APR</w:t>
      </w:r>
      <w:r w:rsidR="0025791B" w:rsidRPr="006F2CA5">
        <w:rPr>
          <w:rFonts w:ascii="Times New Roman" w:hAnsi="Times New Roman" w:cs="Times New Roman"/>
        </w:rPr>
        <w:t xml:space="preserve">, which is submitted by </w:t>
      </w:r>
      <w:r w:rsidR="0025791B" w:rsidRPr="00FB7C30">
        <w:rPr>
          <w:rFonts w:ascii="Times New Roman" w:hAnsi="Times New Roman" w:cs="Times New Roman"/>
          <w:b/>
        </w:rPr>
        <w:t>15 February</w:t>
      </w:r>
      <w:r w:rsidR="0025791B" w:rsidRPr="006F2CA5">
        <w:rPr>
          <w:rFonts w:ascii="Times New Roman" w:hAnsi="Times New Roman" w:cs="Times New Roman"/>
        </w:rPr>
        <w:t xml:space="preserve"> of </w:t>
      </w:r>
      <w:r>
        <w:rPr>
          <w:rFonts w:ascii="Times New Roman" w:hAnsi="Times New Roman" w:cs="Times New Roman"/>
        </w:rPr>
        <w:t>each</w:t>
      </w:r>
      <w:r w:rsidR="0025791B" w:rsidRPr="006F2CA5">
        <w:rPr>
          <w:rFonts w:ascii="Times New Roman" w:hAnsi="Times New Roman" w:cs="Times New Roman"/>
        </w:rPr>
        <w:t xml:space="preserve"> year.</w:t>
      </w:r>
    </w:p>
    <w:p w14:paraId="4567A3D4" w14:textId="77777777" w:rsidR="006D22EB" w:rsidRPr="006F2CA5" w:rsidRDefault="004313BC" w:rsidP="00A82615">
      <w:pPr>
        <w:spacing w:before="120" w:after="240" w:line="264" w:lineRule="auto"/>
        <w:jc w:val="both"/>
        <w:rPr>
          <w:rFonts w:ascii="Times New Roman" w:hAnsi="Times New Roman" w:cs="Times New Roman"/>
        </w:rPr>
      </w:pPr>
      <w:r w:rsidRPr="006F2CA5">
        <w:rPr>
          <w:rFonts w:ascii="Times New Roman" w:hAnsi="Times New Roman" w:cs="Times New Roman"/>
        </w:rPr>
        <w:t>When result indicators are expressed as a share</w:t>
      </w:r>
      <w:r w:rsidR="006D22EB" w:rsidRPr="006F2CA5">
        <w:rPr>
          <w:rFonts w:ascii="Times New Roman" w:hAnsi="Times New Roman" w:cs="Times New Roman"/>
        </w:rPr>
        <w:t xml:space="preserve">, </w:t>
      </w:r>
      <w:r w:rsidRPr="006F2CA5">
        <w:rPr>
          <w:rFonts w:ascii="Times New Roman" w:hAnsi="Times New Roman" w:cs="Times New Roman"/>
        </w:rPr>
        <w:t>MS</w:t>
      </w:r>
      <w:r w:rsidR="006D22EB" w:rsidRPr="006F2CA5">
        <w:rPr>
          <w:rFonts w:ascii="Times New Roman" w:hAnsi="Times New Roman" w:cs="Times New Roman"/>
        </w:rPr>
        <w:t xml:space="preserve"> </w:t>
      </w:r>
      <w:r w:rsidR="007753EC">
        <w:rPr>
          <w:rFonts w:ascii="Times New Roman" w:hAnsi="Times New Roman" w:cs="Times New Roman"/>
        </w:rPr>
        <w:t>should</w:t>
      </w:r>
      <w:r w:rsidR="006D22EB" w:rsidRPr="006F2CA5">
        <w:rPr>
          <w:rFonts w:ascii="Times New Roman" w:hAnsi="Times New Roman" w:cs="Times New Roman"/>
        </w:rPr>
        <w:t xml:space="preserve"> report the numerator and the denominator (and not only the </w:t>
      </w:r>
      <w:r w:rsidR="00801232" w:rsidRPr="006F2CA5">
        <w:rPr>
          <w:rFonts w:ascii="Times New Roman" w:hAnsi="Times New Roman" w:cs="Times New Roman"/>
        </w:rPr>
        <w:t xml:space="preserve">result </w:t>
      </w:r>
      <w:r w:rsidR="00FB7C30" w:rsidRPr="006F2CA5">
        <w:rPr>
          <w:rFonts w:ascii="Times New Roman" w:hAnsi="Times New Roman" w:cs="Times New Roman"/>
        </w:rPr>
        <w:t>indicator</w:t>
      </w:r>
      <w:r w:rsidR="006D22EB" w:rsidRPr="006F2CA5">
        <w:rPr>
          <w:rFonts w:ascii="Times New Roman" w:hAnsi="Times New Roman" w:cs="Times New Roman"/>
        </w:rPr>
        <w:t xml:space="preserve"> value) </w:t>
      </w:r>
      <w:r w:rsidR="00FB7C30" w:rsidRPr="006F2CA5">
        <w:rPr>
          <w:rFonts w:ascii="Times New Roman" w:hAnsi="Times New Roman" w:cs="Times New Roman"/>
        </w:rPr>
        <w:t xml:space="preserve">in the APR </w:t>
      </w:r>
      <w:r w:rsidR="00FB7C30">
        <w:rPr>
          <w:rFonts w:ascii="Times New Roman" w:hAnsi="Times New Roman" w:cs="Times New Roman"/>
        </w:rPr>
        <w:t xml:space="preserve">in order </w:t>
      </w:r>
      <w:r w:rsidR="006D22EB" w:rsidRPr="006F2CA5">
        <w:rPr>
          <w:rFonts w:ascii="Times New Roman" w:hAnsi="Times New Roman" w:cs="Times New Roman"/>
        </w:rPr>
        <w:t>to allow aggregation at EU level.</w:t>
      </w:r>
    </w:p>
    <w:p w14:paraId="3404E8AA" w14:textId="62C8B11C" w:rsidR="00801232" w:rsidRPr="006F2CA5" w:rsidRDefault="00801232" w:rsidP="00A82615">
      <w:pPr>
        <w:pStyle w:val="Heading3"/>
        <w:spacing w:before="120" w:after="240" w:line="264" w:lineRule="auto"/>
        <w:rPr>
          <w:rFonts w:ascii="Times New Roman" w:hAnsi="Times New Roman" w:cs="Times New Roman"/>
          <w:color w:val="C45911" w:themeColor="accent2" w:themeShade="BF"/>
        </w:rPr>
      </w:pPr>
      <w:bookmarkStart w:id="32" w:name="_Toc126762220"/>
      <w:r w:rsidRPr="006F2CA5">
        <w:rPr>
          <w:rFonts w:ascii="Times New Roman" w:hAnsi="Times New Roman" w:cs="Times New Roman"/>
          <w:color w:val="C45911" w:themeColor="accent2" w:themeShade="BF"/>
        </w:rPr>
        <w:t>Breakdown of result indicators for reporting</w:t>
      </w:r>
      <w:bookmarkEnd w:id="32"/>
    </w:p>
    <w:p w14:paraId="3B5E83C5" w14:textId="77777777" w:rsidR="00801232" w:rsidRPr="006F2CA5" w:rsidRDefault="00801232"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MS </w:t>
      </w:r>
      <w:r w:rsidR="007753EC">
        <w:rPr>
          <w:rFonts w:ascii="Times New Roman" w:hAnsi="Times New Roman" w:cs="Times New Roman"/>
        </w:rPr>
        <w:t>should</w:t>
      </w:r>
      <w:r w:rsidRPr="006F2CA5">
        <w:rPr>
          <w:rFonts w:ascii="Times New Roman" w:hAnsi="Times New Roman" w:cs="Times New Roman"/>
        </w:rPr>
        <w:t xml:space="preserve"> report only one value per relevant result indicators. By way of derogation, the following breakdowns are required:</w:t>
      </w:r>
    </w:p>
    <w:p w14:paraId="33F1F761"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lastRenderedPageBreak/>
        <w:t>by sector for result indicator R.11;</w:t>
      </w:r>
    </w:p>
    <w:p w14:paraId="64AC23C5"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by subcategories for result indicator R.17;</w:t>
      </w:r>
    </w:p>
    <w:p w14:paraId="3AE52D1C"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by conversion to and maintenance of organic farming for result indicator R.29;</w:t>
      </w:r>
    </w:p>
    <w:p w14:paraId="05005E45"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by land type for result indicator R.33;</w:t>
      </w:r>
    </w:p>
    <w:p w14:paraId="7A2D4166"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by gender for result indicator R.36;</w:t>
      </w:r>
    </w:p>
    <w:p w14:paraId="3532D912" w14:textId="77777777" w:rsidR="00801232" w:rsidRPr="006F2CA5" w:rsidRDefault="00801232" w:rsidP="005C5386">
      <w:pPr>
        <w:pStyle w:val="ListParagraph"/>
        <w:numPr>
          <w:ilvl w:val="1"/>
          <w:numId w:val="12"/>
        </w:numPr>
        <w:spacing w:before="120" w:after="240" w:line="264" w:lineRule="auto"/>
        <w:ind w:left="851" w:hanging="284"/>
        <w:contextualSpacing w:val="0"/>
        <w:jc w:val="both"/>
        <w:rPr>
          <w:rFonts w:ascii="Times New Roman" w:hAnsi="Times New Roman" w:cs="Times New Roman"/>
        </w:rPr>
      </w:pPr>
      <w:r w:rsidRPr="006F2CA5">
        <w:rPr>
          <w:rFonts w:ascii="Times New Roman" w:hAnsi="Times New Roman" w:cs="Times New Roman"/>
        </w:rPr>
        <w:t>by livestock species for result indicators R.43 and R.44.</w:t>
      </w:r>
    </w:p>
    <w:p w14:paraId="7ABE5A7B" w14:textId="2E0E5776" w:rsidR="004313BC" w:rsidRPr="006F2CA5" w:rsidRDefault="0042397F" w:rsidP="00A82615">
      <w:pPr>
        <w:pStyle w:val="Heading2"/>
        <w:spacing w:before="120" w:after="240" w:line="264" w:lineRule="auto"/>
        <w:jc w:val="both"/>
        <w:rPr>
          <w:rFonts w:ascii="Times New Roman" w:hAnsi="Times New Roman" w:cs="Times New Roman"/>
          <w:color w:val="C45911" w:themeColor="accent2" w:themeShade="BF"/>
        </w:rPr>
      </w:pPr>
      <w:bookmarkStart w:id="33" w:name="_Toc126762221"/>
      <w:r w:rsidRPr="006F2CA5">
        <w:rPr>
          <w:rFonts w:ascii="Times New Roman" w:hAnsi="Times New Roman" w:cs="Times New Roman"/>
          <w:color w:val="C45911" w:themeColor="accent2" w:themeShade="BF"/>
        </w:rPr>
        <w:t>Calculation methods</w:t>
      </w:r>
      <w:r w:rsidR="00967D02" w:rsidRPr="006F2CA5">
        <w:rPr>
          <w:rFonts w:ascii="Times New Roman" w:hAnsi="Times New Roman" w:cs="Times New Roman"/>
          <w:color w:val="C45911" w:themeColor="accent2" w:themeShade="BF"/>
        </w:rPr>
        <w:t xml:space="preserve"> for result indicators</w:t>
      </w:r>
      <w:bookmarkEnd w:id="33"/>
    </w:p>
    <w:p w14:paraId="73A223CE" w14:textId="77777777" w:rsidR="00801232" w:rsidRPr="006F2CA5" w:rsidRDefault="00801232"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When </w:t>
      </w:r>
      <w:r w:rsidR="0064687E" w:rsidRPr="006F2CA5">
        <w:rPr>
          <w:rFonts w:ascii="Times New Roman" w:hAnsi="Times New Roman" w:cs="Times New Roman"/>
        </w:rPr>
        <w:t>calculating</w:t>
      </w:r>
      <w:r w:rsidRPr="006F2CA5">
        <w:rPr>
          <w:rFonts w:ascii="Times New Roman" w:hAnsi="Times New Roman" w:cs="Times New Roman"/>
        </w:rPr>
        <w:t xml:space="preserve"> result indicators in the APR, the following </w:t>
      </w:r>
      <w:r w:rsidR="007753EC">
        <w:rPr>
          <w:rFonts w:ascii="Times New Roman" w:hAnsi="Times New Roman" w:cs="Times New Roman"/>
        </w:rPr>
        <w:t>should</w:t>
      </w:r>
      <w:r w:rsidRPr="006F2CA5">
        <w:rPr>
          <w:rFonts w:ascii="Times New Roman" w:hAnsi="Times New Roman" w:cs="Times New Roman"/>
        </w:rPr>
        <w:t xml:space="preserve"> be taken into account:</w:t>
      </w:r>
    </w:p>
    <w:p w14:paraId="2E44913F" w14:textId="7ABC00F8" w:rsidR="00A10207" w:rsidRPr="006F2CA5" w:rsidRDefault="001C0262" w:rsidP="00A82615">
      <w:pPr>
        <w:spacing w:before="120" w:after="240" w:line="264" w:lineRule="auto"/>
        <w:jc w:val="both"/>
        <w:rPr>
          <w:rFonts w:ascii="Times New Roman" w:hAnsi="Times New Roman" w:cs="Times New Roman"/>
        </w:rPr>
      </w:pPr>
      <w:r>
        <w:rPr>
          <w:rFonts w:ascii="Times New Roman" w:hAnsi="Times New Roman" w:cs="Times New Roman"/>
        </w:rPr>
        <w:t>O</w:t>
      </w:r>
      <w:r w:rsidR="00A10207" w:rsidRPr="006F2CA5">
        <w:rPr>
          <w:rFonts w:ascii="Times New Roman" w:hAnsi="Times New Roman" w:cs="Times New Roman"/>
        </w:rPr>
        <w:t>utput</w:t>
      </w:r>
      <w:r>
        <w:rPr>
          <w:rFonts w:ascii="Times New Roman" w:hAnsi="Times New Roman" w:cs="Times New Roman"/>
        </w:rPr>
        <w:t>s</w:t>
      </w:r>
      <w:r w:rsidR="00A10207" w:rsidRPr="006F2CA5">
        <w:rPr>
          <w:rFonts w:ascii="Times New Roman" w:hAnsi="Times New Roman" w:cs="Times New Roman"/>
        </w:rPr>
        <w:t xml:space="preserve"> generated by an operation </w:t>
      </w:r>
      <w:r w:rsidR="007753EC">
        <w:rPr>
          <w:rFonts w:ascii="Times New Roman" w:hAnsi="Times New Roman" w:cs="Times New Roman"/>
        </w:rPr>
        <w:t>should</w:t>
      </w:r>
      <w:r w:rsidR="00A10207" w:rsidRPr="006F2CA5">
        <w:rPr>
          <w:rFonts w:ascii="Times New Roman" w:hAnsi="Times New Roman" w:cs="Times New Roman"/>
        </w:rPr>
        <w:t xml:space="preserve"> always be attributed </w:t>
      </w:r>
      <w:r w:rsidR="00A10207" w:rsidRPr="00081518">
        <w:rPr>
          <w:rFonts w:ascii="Times New Roman" w:hAnsi="Times New Roman" w:cs="Times New Roman"/>
        </w:rPr>
        <w:t xml:space="preserve">in </w:t>
      </w:r>
      <w:r w:rsidR="00A10207" w:rsidRPr="00081518">
        <w:rPr>
          <w:rFonts w:ascii="Times New Roman" w:hAnsi="Times New Roman" w:cs="Times New Roman"/>
          <w:b/>
        </w:rPr>
        <w:t>full</w:t>
      </w:r>
      <w:r w:rsidR="00A10207" w:rsidRPr="006F2CA5">
        <w:rPr>
          <w:rFonts w:ascii="Times New Roman" w:hAnsi="Times New Roman" w:cs="Times New Roman"/>
        </w:rPr>
        <w:t xml:space="preserve"> </w:t>
      </w:r>
      <w:r w:rsidR="00081518">
        <w:rPr>
          <w:rFonts w:ascii="Times New Roman" w:hAnsi="Times New Roman" w:cs="Times New Roman"/>
        </w:rPr>
        <w:t xml:space="preserve">(i.e. </w:t>
      </w:r>
      <w:r>
        <w:rPr>
          <w:rFonts w:ascii="Times New Roman" w:hAnsi="Times New Roman" w:cs="Times New Roman"/>
        </w:rPr>
        <w:t>regardless of</w:t>
      </w:r>
      <w:r w:rsidR="00081518">
        <w:rPr>
          <w:rFonts w:ascii="Times New Roman" w:hAnsi="Times New Roman" w:cs="Times New Roman"/>
        </w:rPr>
        <w:t xml:space="preserve"> the share of payment realised) </w:t>
      </w:r>
      <w:r w:rsidR="00A10207" w:rsidRPr="006F2CA5">
        <w:rPr>
          <w:rFonts w:ascii="Times New Roman" w:hAnsi="Times New Roman" w:cs="Times New Roman"/>
        </w:rPr>
        <w:t xml:space="preserve">to the relevant result indicator, including when </w:t>
      </w:r>
      <w:r w:rsidR="006E40BA">
        <w:rPr>
          <w:rFonts w:ascii="Times New Roman" w:hAnsi="Times New Roman" w:cs="Times New Roman"/>
        </w:rPr>
        <w:t>this operation</w:t>
      </w:r>
      <w:r w:rsidR="006E40BA" w:rsidRPr="006F2CA5">
        <w:rPr>
          <w:rFonts w:ascii="Times New Roman" w:hAnsi="Times New Roman" w:cs="Times New Roman"/>
        </w:rPr>
        <w:t xml:space="preserve"> </w:t>
      </w:r>
      <w:r w:rsidR="00A10207" w:rsidRPr="006F2CA5">
        <w:rPr>
          <w:rFonts w:ascii="Times New Roman" w:hAnsi="Times New Roman" w:cs="Times New Roman"/>
        </w:rPr>
        <w:t>is l</w:t>
      </w:r>
      <w:r w:rsidR="00801232" w:rsidRPr="006F2CA5">
        <w:rPr>
          <w:rFonts w:ascii="Times New Roman" w:hAnsi="Times New Roman" w:cs="Times New Roman"/>
        </w:rPr>
        <w:t>inked to more result indicators.</w:t>
      </w:r>
      <w:r w:rsidR="005A0499">
        <w:rPr>
          <w:rFonts w:ascii="Times New Roman" w:hAnsi="Times New Roman" w:cs="Times New Roman"/>
        </w:rPr>
        <w:t xml:space="preserve"> </w:t>
      </w:r>
      <w:r w:rsidR="00081518">
        <w:rPr>
          <w:rFonts w:ascii="Times New Roman" w:hAnsi="Times New Roman" w:cs="Times New Roman"/>
        </w:rPr>
        <w:t xml:space="preserve">By exception, in the case of whole-farm eco-schemes, the output is not systematically attributed </w:t>
      </w:r>
      <w:r>
        <w:rPr>
          <w:rFonts w:ascii="Times New Roman" w:hAnsi="Times New Roman" w:cs="Times New Roman"/>
        </w:rPr>
        <w:t>in full</w:t>
      </w:r>
      <w:r w:rsidR="00081518">
        <w:rPr>
          <w:rFonts w:ascii="Times New Roman" w:hAnsi="Times New Roman" w:cs="Times New Roman"/>
        </w:rPr>
        <w:t xml:space="preserve"> to all linked result indicators, but only </w:t>
      </w:r>
      <w:r>
        <w:rPr>
          <w:rFonts w:ascii="Times New Roman" w:hAnsi="Times New Roman" w:cs="Times New Roman"/>
        </w:rPr>
        <w:t xml:space="preserve">to </w:t>
      </w:r>
      <w:r w:rsidR="00081518">
        <w:rPr>
          <w:rFonts w:ascii="Times New Roman" w:hAnsi="Times New Roman" w:cs="Times New Roman"/>
        </w:rPr>
        <w:t>the area covered by relevant practices.</w:t>
      </w:r>
    </w:p>
    <w:p w14:paraId="1784D7A9" w14:textId="6C5CDA09" w:rsidR="005A0499" w:rsidRPr="006F2CA5" w:rsidRDefault="005A0499" w:rsidP="005A0499">
      <w:pPr>
        <w:spacing w:before="120" w:after="240" w:line="264" w:lineRule="auto"/>
        <w:jc w:val="both"/>
        <w:rPr>
          <w:rFonts w:ascii="Times New Roman" w:hAnsi="Times New Roman" w:cs="Times New Roman"/>
        </w:rPr>
      </w:pPr>
      <w:r w:rsidRPr="006F2CA5">
        <w:rPr>
          <w:rFonts w:ascii="Times New Roman" w:hAnsi="Times New Roman" w:cs="Times New Roman"/>
        </w:rPr>
        <w:t xml:space="preserve">For all </w:t>
      </w:r>
      <w:r w:rsidR="00592925">
        <w:rPr>
          <w:rFonts w:ascii="Times New Roman" w:hAnsi="Times New Roman" w:cs="Times New Roman"/>
        </w:rPr>
        <w:t>result indicators</w:t>
      </w:r>
      <w:r w:rsidRPr="006F2CA5">
        <w:rPr>
          <w:rFonts w:ascii="Times New Roman" w:hAnsi="Times New Roman" w:cs="Times New Roman"/>
        </w:rPr>
        <w:t xml:space="preserve">, the </w:t>
      </w:r>
      <w:r w:rsidRPr="001C0262">
        <w:rPr>
          <w:rFonts w:ascii="Times New Roman" w:hAnsi="Times New Roman" w:cs="Times New Roman"/>
          <w:b/>
        </w:rPr>
        <w:t>moment of data collection</w:t>
      </w:r>
      <w:r w:rsidRPr="006F2CA5">
        <w:rPr>
          <w:rFonts w:ascii="Times New Roman" w:hAnsi="Times New Roman" w:cs="Times New Roman"/>
        </w:rPr>
        <w:t xml:space="preserve"> </w:t>
      </w:r>
      <w:r w:rsidR="001B3568">
        <w:rPr>
          <w:rFonts w:ascii="Times New Roman" w:hAnsi="Times New Roman" w:cs="Times New Roman"/>
        </w:rPr>
        <w:t xml:space="preserve">of the outputs generated by an operation </w:t>
      </w:r>
      <w:r w:rsidRPr="006F2CA5">
        <w:rPr>
          <w:rFonts w:ascii="Times New Roman" w:hAnsi="Times New Roman" w:cs="Times New Roman"/>
        </w:rPr>
        <w:t xml:space="preserve">is when </w:t>
      </w:r>
      <w:r w:rsidR="00592925">
        <w:rPr>
          <w:rFonts w:ascii="Times New Roman" w:hAnsi="Times New Roman" w:cs="Times New Roman"/>
        </w:rPr>
        <w:t>the</w:t>
      </w:r>
      <w:r w:rsidR="00592925" w:rsidRPr="006F2CA5">
        <w:rPr>
          <w:rFonts w:ascii="Times New Roman" w:hAnsi="Times New Roman" w:cs="Times New Roman"/>
        </w:rPr>
        <w:t xml:space="preserve"> </w:t>
      </w:r>
      <w:r w:rsidRPr="00982E26">
        <w:rPr>
          <w:rFonts w:ascii="Times New Roman" w:hAnsi="Times New Roman" w:cs="Times New Roman"/>
          <w:b/>
        </w:rPr>
        <w:t>first payment</w:t>
      </w:r>
      <w:r w:rsidRPr="006F2CA5">
        <w:rPr>
          <w:rFonts w:ascii="Times New Roman" w:hAnsi="Times New Roman" w:cs="Times New Roman"/>
        </w:rPr>
        <w:t xml:space="preserve"> (excluding real advance payments) is made in the FY concerned</w:t>
      </w:r>
      <w:r w:rsidR="001B3568">
        <w:rPr>
          <w:rFonts w:ascii="Times New Roman" w:hAnsi="Times New Roman" w:cs="Times New Roman"/>
        </w:rPr>
        <w:t xml:space="preserve">, </w:t>
      </w:r>
      <w:r w:rsidR="001B3568" w:rsidRPr="006F2CA5">
        <w:rPr>
          <w:rFonts w:ascii="Times New Roman" w:hAnsi="Times New Roman" w:cs="Times New Roman"/>
        </w:rPr>
        <w:t xml:space="preserve">even if </w:t>
      </w:r>
      <w:r w:rsidR="006E40BA">
        <w:rPr>
          <w:rFonts w:ascii="Times New Roman" w:hAnsi="Times New Roman" w:cs="Times New Roman"/>
        </w:rPr>
        <w:t>this is</w:t>
      </w:r>
      <w:r w:rsidR="006E40BA" w:rsidRPr="006F2CA5">
        <w:rPr>
          <w:rFonts w:ascii="Times New Roman" w:hAnsi="Times New Roman" w:cs="Times New Roman"/>
        </w:rPr>
        <w:t xml:space="preserve"> </w:t>
      </w:r>
      <w:r w:rsidR="001B3568" w:rsidRPr="006F2CA5">
        <w:rPr>
          <w:rFonts w:ascii="Times New Roman" w:hAnsi="Times New Roman" w:cs="Times New Roman"/>
        </w:rPr>
        <w:t>a partial payment</w:t>
      </w:r>
      <w:r w:rsidR="006E40BA">
        <w:rPr>
          <w:rFonts w:ascii="Times New Roman" w:hAnsi="Times New Roman" w:cs="Times New Roman"/>
        </w:rPr>
        <w:t>, such in the case of non-IACS interventions</w:t>
      </w:r>
      <w:r w:rsidR="006B7083">
        <w:rPr>
          <w:rFonts w:ascii="Times New Roman" w:hAnsi="Times New Roman" w:cs="Times New Roman"/>
        </w:rPr>
        <w:t>,</w:t>
      </w:r>
      <w:r w:rsidR="006E40BA">
        <w:rPr>
          <w:rFonts w:ascii="Times New Roman" w:hAnsi="Times New Roman" w:cs="Times New Roman"/>
        </w:rPr>
        <w:t xml:space="preserve"> </w:t>
      </w:r>
      <w:r w:rsidR="006B7083">
        <w:rPr>
          <w:rFonts w:ascii="Times New Roman" w:hAnsi="Times New Roman" w:cs="Times New Roman"/>
        </w:rPr>
        <w:t xml:space="preserve">which may be </w:t>
      </w:r>
      <w:r w:rsidR="006E40BA">
        <w:rPr>
          <w:rFonts w:ascii="Times New Roman" w:hAnsi="Times New Roman" w:cs="Times New Roman"/>
        </w:rPr>
        <w:t>paid in several instalments</w:t>
      </w:r>
      <w:r w:rsidRPr="006F2CA5">
        <w:rPr>
          <w:rFonts w:ascii="Times New Roman" w:hAnsi="Times New Roman" w:cs="Times New Roman"/>
        </w:rPr>
        <w:t>.</w:t>
      </w:r>
      <w:r w:rsidR="001B3568">
        <w:rPr>
          <w:rFonts w:ascii="Times New Roman" w:hAnsi="Times New Roman" w:cs="Times New Roman"/>
        </w:rPr>
        <w:t xml:space="preserve"> </w:t>
      </w:r>
      <w:r w:rsidR="001B3568" w:rsidRPr="006F2CA5">
        <w:rPr>
          <w:rFonts w:ascii="Times New Roman" w:hAnsi="Times New Roman" w:cs="Times New Roman"/>
        </w:rPr>
        <w:t>By way of derogation, for result indicator R.37</w:t>
      </w:r>
      <w:r w:rsidR="001B3568">
        <w:rPr>
          <w:rFonts w:ascii="Times New Roman" w:hAnsi="Times New Roman" w:cs="Times New Roman"/>
        </w:rPr>
        <w:t xml:space="preserve"> (number of jobs created)</w:t>
      </w:r>
      <w:r w:rsidR="001B3568" w:rsidRPr="006F2CA5">
        <w:rPr>
          <w:rFonts w:ascii="Times New Roman" w:hAnsi="Times New Roman" w:cs="Times New Roman"/>
        </w:rPr>
        <w:t xml:space="preserve">, values </w:t>
      </w:r>
      <w:r w:rsidR="007753EC">
        <w:rPr>
          <w:rFonts w:ascii="Times New Roman" w:hAnsi="Times New Roman" w:cs="Times New Roman"/>
        </w:rPr>
        <w:t>should</w:t>
      </w:r>
      <w:r w:rsidR="001B3568" w:rsidRPr="006F2CA5">
        <w:rPr>
          <w:rFonts w:ascii="Times New Roman" w:hAnsi="Times New Roman" w:cs="Times New Roman"/>
        </w:rPr>
        <w:t xml:space="preserve"> be counted in full at the time of operation completion</w:t>
      </w:r>
      <w:r w:rsidR="001B3568">
        <w:rPr>
          <w:rFonts w:ascii="Times New Roman" w:hAnsi="Times New Roman" w:cs="Times New Roman"/>
        </w:rPr>
        <w:t>, because</w:t>
      </w:r>
      <w:r w:rsidR="00D54A21">
        <w:rPr>
          <w:rFonts w:ascii="Times New Roman" w:hAnsi="Times New Roman" w:cs="Times New Roman"/>
        </w:rPr>
        <w:t xml:space="preserve"> of </w:t>
      </w:r>
      <w:r w:rsidR="001B3568">
        <w:rPr>
          <w:rFonts w:ascii="Times New Roman" w:hAnsi="Times New Roman" w:cs="Times New Roman"/>
        </w:rPr>
        <w:t xml:space="preserve">the risk of discrepancy between the estimated number of jobs at the time of the first payment and the number of jobs actually created at the </w:t>
      </w:r>
      <w:r w:rsidR="00D54A21">
        <w:rPr>
          <w:rFonts w:ascii="Times New Roman" w:hAnsi="Times New Roman" w:cs="Times New Roman"/>
        </w:rPr>
        <w:t>end of the project</w:t>
      </w:r>
      <w:r w:rsidRPr="006F2CA5">
        <w:rPr>
          <w:rFonts w:ascii="Times New Roman" w:hAnsi="Times New Roman" w:cs="Times New Roman"/>
        </w:rPr>
        <w:t>.</w:t>
      </w:r>
    </w:p>
    <w:p w14:paraId="5E522398" w14:textId="77777777" w:rsidR="00D54A21" w:rsidRPr="006F2CA5" w:rsidRDefault="00D54A21" w:rsidP="00D54A21">
      <w:pPr>
        <w:spacing w:before="120" w:after="240" w:line="264" w:lineRule="auto"/>
        <w:jc w:val="both"/>
        <w:rPr>
          <w:rFonts w:ascii="Times New Roman" w:hAnsi="Times New Roman" w:cs="Times New Roman"/>
        </w:rPr>
      </w:pPr>
      <w:r w:rsidRPr="006F2CA5">
        <w:rPr>
          <w:rFonts w:ascii="Times New Roman" w:hAnsi="Times New Roman" w:cs="Times New Roman"/>
        </w:rPr>
        <w:t xml:space="preserve">Values related to payments in the form of </w:t>
      </w:r>
      <w:r>
        <w:rPr>
          <w:rFonts w:ascii="Times New Roman" w:hAnsi="Times New Roman" w:cs="Times New Roman"/>
        </w:rPr>
        <w:t xml:space="preserve">‘real </w:t>
      </w:r>
      <w:r w:rsidRPr="006F2CA5">
        <w:rPr>
          <w:rFonts w:ascii="Times New Roman" w:hAnsi="Times New Roman" w:cs="Times New Roman"/>
        </w:rPr>
        <w:t>advances</w:t>
      </w:r>
      <w:r>
        <w:rPr>
          <w:rFonts w:ascii="Times New Roman" w:hAnsi="Times New Roman" w:cs="Times New Roman"/>
        </w:rPr>
        <w:t>’</w:t>
      </w:r>
      <w:r w:rsidRPr="006F2CA5">
        <w:rPr>
          <w:rFonts w:ascii="Times New Roman" w:hAnsi="Times New Roman" w:cs="Times New Roman"/>
        </w:rPr>
        <w:t xml:space="preserve"> </w:t>
      </w:r>
      <w:r w:rsidR="007753EC">
        <w:rPr>
          <w:rFonts w:ascii="Times New Roman" w:hAnsi="Times New Roman" w:cs="Times New Roman"/>
        </w:rPr>
        <w:t>should</w:t>
      </w:r>
      <w:r w:rsidRPr="006F2CA5">
        <w:rPr>
          <w:rFonts w:ascii="Times New Roman" w:hAnsi="Times New Roman" w:cs="Times New Roman"/>
        </w:rPr>
        <w:t xml:space="preserve"> not be counted in the quantification of the related result indicators prior to the delivery of the corresponding output.</w:t>
      </w:r>
    </w:p>
    <w:p w14:paraId="102C56B6" w14:textId="77777777" w:rsidR="003540E7" w:rsidRPr="006F2CA5" w:rsidRDefault="00801232" w:rsidP="00D54A21">
      <w:pPr>
        <w:spacing w:before="120" w:after="240" w:line="264" w:lineRule="auto"/>
        <w:jc w:val="both"/>
        <w:rPr>
          <w:rFonts w:ascii="Times New Roman" w:hAnsi="Times New Roman" w:cs="Times New Roman"/>
        </w:rPr>
      </w:pPr>
      <w:r w:rsidRPr="006F2CA5">
        <w:rPr>
          <w:rFonts w:ascii="Times New Roman" w:hAnsi="Times New Roman" w:cs="Times New Roman"/>
        </w:rPr>
        <w:t>E</w:t>
      </w:r>
      <w:r w:rsidR="00A10207" w:rsidRPr="006F2CA5">
        <w:rPr>
          <w:rFonts w:ascii="Times New Roman" w:hAnsi="Times New Roman" w:cs="Times New Roman"/>
        </w:rPr>
        <w:t>ven if a single intervention or operation may contribute to more than one result indicator, units cannot be double counted within the same result indicators. For instance, if the same hectare is under more than one commitment (for example under a management commitment to reduce nitrogen application and maintain organic farming) this hectare can only be counted once (i.e. as 1 hectare) towards each relevant result indicator, such as R.21 – water quality.</w:t>
      </w:r>
      <w:r w:rsidRPr="006F2CA5">
        <w:rPr>
          <w:rFonts w:ascii="Times New Roman" w:hAnsi="Times New Roman" w:cs="Times New Roman"/>
        </w:rPr>
        <w:t xml:space="preserve"> </w:t>
      </w:r>
      <w:r w:rsidR="0064687E" w:rsidRPr="006F2CA5">
        <w:rPr>
          <w:rFonts w:ascii="Times New Roman" w:hAnsi="Times New Roman" w:cs="Times New Roman"/>
        </w:rPr>
        <w:t>T</w:t>
      </w:r>
      <w:r w:rsidRPr="006F2CA5">
        <w:rPr>
          <w:rFonts w:ascii="Times New Roman" w:hAnsi="Times New Roman" w:cs="Times New Roman"/>
        </w:rPr>
        <w:t>h</w:t>
      </w:r>
      <w:r w:rsidR="007D21B2">
        <w:rPr>
          <w:rFonts w:ascii="Times New Roman" w:hAnsi="Times New Roman" w:cs="Times New Roman"/>
        </w:rPr>
        <w:t>e</w:t>
      </w:r>
      <w:r w:rsidR="00557908">
        <w:rPr>
          <w:rFonts w:ascii="Times New Roman" w:hAnsi="Times New Roman" w:cs="Times New Roman"/>
        </w:rPr>
        <w:t>refore, th</w:t>
      </w:r>
      <w:r w:rsidRPr="006F2CA5">
        <w:rPr>
          <w:rFonts w:ascii="Times New Roman" w:hAnsi="Times New Roman" w:cs="Times New Roman"/>
        </w:rPr>
        <w:t xml:space="preserve">e rule of </w:t>
      </w:r>
      <w:r w:rsidRPr="00982E26">
        <w:rPr>
          <w:rFonts w:ascii="Times New Roman" w:hAnsi="Times New Roman" w:cs="Times New Roman"/>
          <w:b/>
        </w:rPr>
        <w:t>no double counting</w:t>
      </w:r>
      <w:r w:rsidRPr="006F2CA5">
        <w:rPr>
          <w:rFonts w:ascii="Times New Roman" w:hAnsi="Times New Roman" w:cs="Times New Roman"/>
        </w:rPr>
        <w:t xml:space="preserve"> applies for result </w:t>
      </w:r>
      <w:r w:rsidR="003540E7" w:rsidRPr="006F2CA5">
        <w:rPr>
          <w:rFonts w:ascii="Times New Roman" w:hAnsi="Times New Roman" w:cs="Times New Roman"/>
        </w:rPr>
        <w:t>indicator</w:t>
      </w:r>
      <w:r w:rsidR="00DF31DC">
        <w:rPr>
          <w:rFonts w:ascii="Times New Roman" w:hAnsi="Times New Roman" w:cs="Times New Roman"/>
        </w:rPr>
        <w:t>s</w:t>
      </w:r>
      <w:r w:rsidRPr="006F2CA5">
        <w:rPr>
          <w:rFonts w:ascii="Times New Roman" w:hAnsi="Times New Roman" w:cs="Times New Roman"/>
        </w:rPr>
        <w:t>.</w:t>
      </w:r>
      <w:r w:rsidR="003540E7" w:rsidRPr="006F2CA5">
        <w:rPr>
          <w:rFonts w:ascii="Times New Roman" w:hAnsi="Times New Roman" w:cs="Times New Roman"/>
        </w:rPr>
        <w:t xml:space="preserve"> There are very limited exceptions</w:t>
      </w:r>
      <w:r w:rsidR="0064687E" w:rsidRPr="006F2CA5">
        <w:rPr>
          <w:rFonts w:ascii="Times New Roman" w:hAnsi="Times New Roman" w:cs="Times New Roman"/>
        </w:rPr>
        <w:t xml:space="preserve"> to the general principle</w:t>
      </w:r>
      <w:r w:rsidR="00E85399">
        <w:rPr>
          <w:rFonts w:ascii="Times New Roman" w:hAnsi="Times New Roman" w:cs="Times New Roman"/>
        </w:rPr>
        <w:t xml:space="preserve"> (please see point 3.6.1 iv)</w:t>
      </w:r>
      <w:r w:rsidR="0064687E" w:rsidRPr="006F2CA5">
        <w:rPr>
          <w:rFonts w:ascii="Times New Roman" w:hAnsi="Times New Roman" w:cs="Times New Roman"/>
        </w:rPr>
        <w:t xml:space="preserve">, which apply </w:t>
      </w:r>
      <w:r w:rsidR="003540E7" w:rsidRPr="006F2CA5">
        <w:rPr>
          <w:rFonts w:ascii="Times New Roman" w:hAnsi="Times New Roman" w:cs="Times New Roman"/>
        </w:rPr>
        <w:t>because the administrative burden to ensure no double counting would not be proportionate to the increase in precision.</w:t>
      </w:r>
    </w:p>
    <w:p w14:paraId="10074B74" w14:textId="77777777" w:rsidR="00A10207" w:rsidRPr="006F2CA5" w:rsidRDefault="00533B95" w:rsidP="00A82615">
      <w:pPr>
        <w:spacing w:before="120" w:after="240" w:line="264" w:lineRule="auto"/>
        <w:jc w:val="both"/>
        <w:rPr>
          <w:rFonts w:ascii="Times New Roman" w:hAnsi="Times New Roman" w:cs="Times New Roman"/>
        </w:rPr>
      </w:pPr>
      <w:r>
        <w:rPr>
          <w:rFonts w:ascii="Times New Roman" w:hAnsi="Times New Roman" w:cs="Times New Roman"/>
          <w:b/>
        </w:rPr>
        <w:t>Outputs generated by a</w:t>
      </w:r>
      <w:r w:rsidR="00F150DA" w:rsidRPr="00982E26">
        <w:rPr>
          <w:rFonts w:ascii="Times New Roman" w:hAnsi="Times New Roman" w:cs="Times New Roman"/>
          <w:b/>
        </w:rPr>
        <w:t>dditional national financing</w:t>
      </w:r>
      <w:r w:rsidR="00F150DA" w:rsidRPr="006F2CA5">
        <w:rPr>
          <w:rFonts w:ascii="Times New Roman" w:hAnsi="Times New Roman" w:cs="Times New Roman"/>
        </w:rPr>
        <w:t xml:space="preserve"> </w:t>
      </w:r>
      <w:r w:rsidR="007753EC">
        <w:rPr>
          <w:rFonts w:ascii="Times New Roman" w:hAnsi="Times New Roman" w:cs="Times New Roman"/>
        </w:rPr>
        <w:t>should</w:t>
      </w:r>
      <w:r w:rsidR="00F150DA" w:rsidRPr="006F2CA5">
        <w:rPr>
          <w:rFonts w:ascii="Times New Roman" w:hAnsi="Times New Roman" w:cs="Times New Roman"/>
        </w:rPr>
        <w:t xml:space="preserve"> be take into account for the calculation of result indicators.</w:t>
      </w:r>
    </w:p>
    <w:p w14:paraId="02E651A0" w14:textId="77777777" w:rsidR="004313BC" w:rsidRPr="006F2CA5" w:rsidRDefault="00801232" w:rsidP="00A82615">
      <w:pPr>
        <w:spacing w:before="120" w:after="240" w:line="264" w:lineRule="auto"/>
        <w:jc w:val="both"/>
        <w:rPr>
          <w:rFonts w:ascii="Times New Roman" w:hAnsi="Times New Roman" w:cs="Times New Roman"/>
        </w:rPr>
      </w:pPr>
      <w:r w:rsidRPr="0F5FF4BD">
        <w:rPr>
          <w:rFonts w:ascii="Times New Roman" w:hAnsi="Times New Roman" w:cs="Times New Roman"/>
          <w:b/>
          <w:bCs/>
        </w:rPr>
        <w:lastRenderedPageBreak/>
        <w:t>A</w:t>
      </w:r>
      <w:r w:rsidR="004313BC" w:rsidRPr="0F5FF4BD">
        <w:rPr>
          <w:rFonts w:ascii="Times New Roman" w:hAnsi="Times New Roman" w:cs="Times New Roman"/>
          <w:b/>
          <w:bCs/>
        </w:rPr>
        <w:t>nnual values</w:t>
      </w:r>
      <w:r w:rsidR="004313BC" w:rsidRPr="006F2CA5">
        <w:rPr>
          <w:rFonts w:ascii="Times New Roman" w:hAnsi="Times New Roman" w:cs="Times New Roman"/>
        </w:rPr>
        <w:t xml:space="preserve"> </w:t>
      </w:r>
      <w:r w:rsidR="007753EC">
        <w:rPr>
          <w:rFonts w:ascii="Times New Roman" w:hAnsi="Times New Roman" w:cs="Times New Roman"/>
        </w:rPr>
        <w:t>should</w:t>
      </w:r>
      <w:r w:rsidR="004313BC" w:rsidRPr="006F2CA5">
        <w:rPr>
          <w:rFonts w:ascii="Times New Roman" w:hAnsi="Times New Roman" w:cs="Times New Roman"/>
        </w:rPr>
        <w:t xml:space="preserve"> be calculated for result indicators R.4, R.5, R.6, R.7, R.8, R.11, R.12, R.13, R.14, R.19, R.20, R.21, R.22, R.23, R.24, R.25, R.29, R.30,</w:t>
      </w:r>
      <w:r w:rsidRPr="006F2CA5">
        <w:rPr>
          <w:rFonts w:ascii="Times New Roman" w:hAnsi="Times New Roman" w:cs="Times New Roman"/>
        </w:rPr>
        <w:t xml:space="preserve"> R.31, R.33, R.34, R.43 and R.44</w:t>
      </w:r>
      <w:r w:rsidR="00D54A21">
        <w:rPr>
          <w:rStyle w:val="FootnoteReference"/>
          <w:rFonts w:ascii="Times New Roman" w:hAnsi="Times New Roman" w:cs="Times New Roman"/>
        </w:rPr>
        <w:footnoteReference w:id="7"/>
      </w:r>
      <w:r w:rsidRPr="006F2CA5">
        <w:rPr>
          <w:rFonts w:ascii="Times New Roman" w:hAnsi="Times New Roman" w:cs="Times New Roman"/>
        </w:rPr>
        <w:t>. Annual values corresponds, for instance, to the share of UAA covered by a type of commitment in the relevant FY.</w:t>
      </w:r>
    </w:p>
    <w:p w14:paraId="58D6083E" w14:textId="239341C3" w:rsidR="004313BC" w:rsidRDefault="00801232" w:rsidP="00A82615">
      <w:pPr>
        <w:spacing w:before="120" w:after="240" w:line="264" w:lineRule="auto"/>
        <w:jc w:val="both"/>
        <w:rPr>
          <w:rFonts w:ascii="Times New Roman" w:hAnsi="Times New Roman" w:cs="Times New Roman"/>
        </w:rPr>
      </w:pPr>
      <w:r w:rsidRPr="00982E26">
        <w:rPr>
          <w:rFonts w:ascii="Times New Roman" w:hAnsi="Times New Roman" w:cs="Times New Roman"/>
          <w:b/>
        </w:rPr>
        <w:t>C</w:t>
      </w:r>
      <w:r w:rsidR="004313BC" w:rsidRPr="00982E26">
        <w:rPr>
          <w:rFonts w:ascii="Times New Roman" w:hAnsi="Times New Roman" w:cs="Times New Roman"/>
          <w:b/>
        </w:rPr>
        <w:t>umulative values</w:t>
      </w:r>
      <w:r w:rsidR="004313BC" w:rsidRPr="006F2CA5">
        <w:rPr>
          <w:rFonts w:ascii="Times New Roman" w:hAnsi="Times New Roman" w:cs="Times New Roman"/>
        </w:rPr>
        <w:t xml:space="preserve"> </w:t>
      </w:r>
      <w:r w:rsidR="007753EC">
        <w:rPr>
          <w:rFonts w:ascii="Times New Roman" w:hAnsi="Times New Roman" w:cs="Times New Roman"/>
        </w:rPr>
        <w:t>should</w:t>
      </w:r>
      <w:r w:rsidR="004313BC" w:rsidRPr="006F2CA5">
        <w:rPr>
          <w:rFonts w:ascii="Times New Roman" w:hAnsi="Times New Roman" w:cs="Times New Roman"/>
        </w:rPr>
        <w:t xml:space="preserve"> be calculated for result indicators R.1, R.2, R.</w:t>
      </w:r>
      <w:bookmarkStart w:id="34" w:name="_GoBack"/>
      <w:bookmarkEnd w:id="34"/>
      <w:r w:rsidR="004313BC" w:rsidRPr="006F2CA5">
        <w:rPr>
          <w:rFonts w:ascii="Times New Roman" w:hAnsi="Times New Roman" w:cs="Times New Roman"/>
        </w:rPr>
        <w:t>3, R.9, R.10, R.15, R.16, R.17, R.18, R.26, R.27, R.28, R.32, R.35, R.36, R.37, R.38, R.39, R.40, R.41</w:t>
      </w:r>
      <w:r w:rsidRPr="006F2CA5">
        <w:rPr>
          <w:rFonts w:ascii="Times New Roman" w:hAnsi="Times New Roman" w:cs="Times New Roman"/>
        </w:rPr>
        <w:t xml:space="preserve"> and R.42. Examples of how to ca</w:t>
      </w:r>
      <w:r w:rsidR="00B307A7">
        <w:rPr>
          <w:rFonts w:ascii="Times New Roman" w:hAnsi="Times New Roman" w:cs="Times New Roman"/>
        </w:rPr>
        <w:t>lculate values for cumulative result indicators</w:t>
      </w:r>
      <w:r w:rsidRPr="006F2CA5">
        <w:rPr>
          <w:rFonts w:ascii="Times New Roman" w:hAnsi="Times New Roman" w:cs="Times New Roman"/>
        </w:rPr>
        <w:t xml:space="preserve"> are provided in </w:t>
      </w:r>
      <w:r w:rsidRPr="000A47E8">
        <w:rPr>
          <w:rFonts w:ascii="Times New Roman" w:hAnsi="Times New Roman" w:cs="Times New Roman"/>
          <w:b/>
        </w:rPr>
        <w:t xml:space="preserve">Annex </w:t>
      </w:r>
      <w:r w:rsidR="00954D5A">
        <w:rPr>
          <w:rFonts w:ascii="Times New Roman" w:hAnsi="Times New Roman" w:cs="Times New Roman"/>
        </w:rPr>
        <w:t>I</w:t>
      </w:r>
      <w:r w:rsidR="007B611E">
        <w:rPr>
          <w:rFonts w:ascii="Times New Roman" w:hAnsi="Times New Roman" w:cs="Times New Roman"/>
          <w:b/>
        </w:rPr>
        <w:t>X</w:t>
      </w:r>
      <w:r w:rsidR="007B611E" w:rsidRPr="006F2CA5">
        <w:rPr>
          <w:rFonts w:ascii="Times New Roman" w:hAnsi="Times New Roman" w:cs="Times New Roman"/>
        </w:rPr>
        <w:t xml:space="preserve"> </w:t>
      </w:r>
      <w:r w:rsidR="00F2562B">
        <w:rPr>
          <w:rFonts w:ascii="Times New Roman" w:hAnsi="Times New Roman" w:cs="Times New Roman"/>
        </w:rPr>
        <w:t>to</w:t>
      </w:r>
      <w:r w:rsidRPr="006F2CA5">
        <w:rPr>
          <w:rFonts w:ascii="Times New Roman" w:hAnsi="Times New Roman" w:cs="Times New Roman"/>
        </w:rPr>
        <w:t xml:space="preserve"> this cover note.</w:t>
      </w:r>
    </w:p>
    <w:p w14:paraId="10AE5876" w14:textId="6AE55C87" w:rsidR="00C22EC1" w:rsidRPr="006F2CA5" w:rsidRDefault="00C22EC1" w:rsidP="00A82615">
      <w:pPr>
        <w:spacing w:before="120" w:after="240" w:line="264" w:lineRule="auto"/>
        <w:jc w:val="both"/>
        <w:rPr>
          <w:rFonts w:ascii="Times New Roman" w:hAnsi="Times New Roman" w:cs="Times New Roman"/>
        </w:rPr>
      </w:pPr>
      <w:r>
        <w:rPr>
          <w:rFonts w:ascii="Times New Roman" w:hAnsi="Times New Roman" w:cs="Times New Roman"/>
        </w:rPr>
        <w:t>The value of cumulative result indicators takes into account possible adjustments to realised outputs once the final values are known.</w:t>
      </w:r>
    </w:p>
    <w:p w14:paraId="2607174E" w14:textId="286C4B41" w:rsidR="00FB3F74" w:rsidRDefault="0042397F"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For the </w:t>
      </w:r>
      <w:r w:rsidRPr="0F5FF4BD">
        <w:rPr>
          <w:rFonts w:ascii="Times New Roman" w:hAnsi="Times New Roman" w:cs="Times New Roman"/>
          <w:b/>
          <w:bCs/>
        </w:rPr>
        <w:t>conversion of animals in livestock units</w:t>
      </w:r>
      <w:r w:rsidRPr="006F2CA5">
        <w:rPr>
          <w:rFonts w:ascii="Times New Roman" w:hAnsi="Times New Roman" w:cs="Times New Roman"/>
        </w:rPr>
        <w:t xml:space="preserve"> for result indicators, Eurostat coefficients should be used</w:t>
      </w:r>
      <w:r w:rsidR="00B307A7">
        <w:rPr>
          <w:rFonts w:ascii="Times New Roman" w:hAnsi="Times New Roman" w:cs="Times New Roman"/>
        </w:rPr>
        <w:t xml:space="preserve">. Eurostat coefficients can be found at this </w:t>
      </w:r>
      <w:hyperlink r:id="rId21" w:history="1">
        <w:r w:rsidR="00B307A7" w:rsidRPr="00B307A7">
          <w:rPr>
            <w:rStyle w:val="Hyperlink"/>
            <w:rFonts w:ascii="Times New Roman" w:hAnsi="Times New Roman" w:cs="Times New Roman"/>
          </w:rPr>
          <w:t>link</w:t>
        </w:r>
      </w:hyperlink>
      <w:r w:rsidR="00B307A7">
        <w:rPr>
          <w:rStyle w:val="FootnoteReference"/>
          <w:rFonts w:ascii="Times New Roman" w:hAnsi="Times New Roman" w:cs="Times New Roman"/>
        </w:rPr>
        <w:footnoteReference w:id="8"/>
      </w:r>
      <w:r w:rsidR="002C635A">
        <w:rPr>
          <w:rFonts w:ascii="Times New Roman" w:hAnsi="Times New Roman" w:cs="Times New Roman"/>
        </w:rPr>
        <w:t xml:space="preserve"> and in Table 1 of </w:t>
      </w:r>
      <w:r w:rsidR="002C635A" w:rsidRPr="0F5FF4BD">
        <w:rPr>
          <w:rFonts w:ascii="Times New Roman" w:hAnsi="Times New Roman" w:cs="Times New Roman"/>
          <w:b/>
          <w:bCs/>
        </w:rPr>
        <w:t>Annex IV</w:t>
      </w:r>
      <w:r w:rsidR="00F2562B" w:rsidRPr="0F5FF4BD">
        <w:rPr>
          <w:rFonts w:ascii="Times New Roman" w:hAnsi="Times New Roman" w:cs="Times New Roman"/>
          <w:b/>
          <w:bCs/>
        </w:rPr>
        <w:t xml:space="preserve"> to this cover note</w:t>
      </w:r>
      <w:r w:rsidR="002C635A">
        <w:rPr>
          <w:rFonts w:ascii="Times New Roman" w:hAnsi="Times New Roman" w:cs="Times New Roman"/>
        </w:rPr>
        <w:t>.</w:t>
      </w:r>
      <w:r w:rsidRPr="006F2CA5">
        <w:rPr>
          <w:rFonts w:ascii="Times New Roman" w:hAnsi="Times New Roman" w:cs="Times New Roman"/>
        </w:rPr>
        <w:t xml:space="preserve"> Alternatively, the coefficients reported in </w:t>
      </w:r>
      <w:r w:rsidR="002C635A">
        <w:rPr>
          <w:rFonts w:ascii="Times New Roman" w:hAnsi="Times New Roman" w:cs="Times New Roman"/>
        </w:rPr>
        <w:t>T</w:t>
      </w:r>
      <w:r w:rsidRPr="006F2CA5">
        <w:rPr>
          <w:rFonts w:ascii="Times New Roman" w:hAnsi="Times New Roman" w:cs="Times New Roman"/>
        </w:rPr>
        <w:t xml:space="preserve">able </w:t>
      </w:r>
      <w:r w:rsidR="002C635A">
        <w:rPr>
          <w:rFonts w:ascii="Times New Roman" w:hAnsi="Times New Roman" w:cs="Times New Roman"/>
        </w:rPr>
        <w:t>2 of</w:t>
      </w:r>
      <w:r w:rsidRPr="006F2CA5">
        <w:rPr>
          <w:rFonts w:ascii="Times New Roman" w:hAnsi="Times New Roman" w:cs="Times New Roman"/>
        </w:rPr>
        <w:t xml:space="preserve"> the </w:t>
      </w:r>
      <w:r w:rsidR="002C635A">
        <w:rPr>
          <w:rFonts w:ascii="Times New Roman" w:hAnsi="Times New Roman" w:cs="Times New Roman"/>
        </w:rPr>
        <w:t>same</w:t>
      </w:r>
      <w:r w:rsidR="002C635A" w:rsidRPr="002C635A">
        <w:rPr>
          <w:rFonts w:ascii="Times New Roman" w:hAnsi="Times New Roman" w:cs="Times New Roman"/>
        </w:rPr>
        <w:t xml:space="preserve"> </w:t>
      </w:r>
      <w:r w:rsidR="00CE5B44">
        <w:rPr>
          <w:rFonts w:ascii="Times New Roman" w:hAnsi="Times New Roman" w:cs="Times New Roman"/>
        </w:rPr>
        <w:t>A</w:t>
      </w:r>
      <w:r w:rsidR="002C635A" w:rsidRPr="002C635A">
        <w:rPr>
          <w:rFonts w:ascii="Times New Roman" w:hAnsi="Times New Roman" w:cs="Times New Roman"/>
        </w:rPr>
        <w:t>nnex</w:t>
      </w:r>
      <w:r w:rsidRPr="006F2CA5">
        <w:rPr>
          <w:rFonts w:ascii="Times New Roman" w:hAnsi="Times New Roman" w:cs="Times New Roman"/>
        </w:rPr>
        <w:t xml:space="preserve"> can also be used.</w:t>
      </w:r>
    </w:p>
    <w:p w14:paraId="5D8FB675" w14:textId="412580E8" w:rsidR="005B4FDF" w:rsidRPr="006F2CA5" w:rsidRDefault="005B4FDF" w:rsidP="00A82615">
      <w:pPr>
        <w:spacing w:before="120" w:after="240" w:line="264" w:lineRule="auto"/>
        <w:jc w:val="both"/>
        <w:rPr>
          <w:rFonts w:ascii="Times New Roman" w:hAnsi="Times New Roman" w:cs="Times New Roman"/>
        </w:rPr>
      </w:pPr>
      <w:r>
        <w:rPr>
          <w:rFonts w:ascii="Times New Roman" w:hAnsi="Times New Roman" w:cs="Times New Roman"/>
        </w:rPr>
        <w:t xml:space="preserve">In case of investments </w:t>
      </w:r>
      <w:r w:rsidR="00744AFB">
        <w:rPr>
          <w:rFonts w:ascii="Times New Roman" w:hAnsi="Times New Roman" w:cs="Times New Roman"/>
        </w:rPr>
        <w:t xml:space="preserve">relating to animal welfare </w:t>
      </w:r>
      <w:r>
        <w:rPr>
          <w:rFonts w:ascii="Times New Roman" w:hAnsi="Times New Roman" w:cs="Times New Roman"/>
        </w:rPr>
        <w:t>linked to R.44, the planned and reported number of livestock unit</w:t>
      </w:r>
      <w:r w:rsidR="00081518">
        <w:rPr>
          <w:rFonts w:ascii="Times New Roman" w:hAnsi="Times New Roman" w:cs="Times New Roman"/>
        </w:rPr>
        <w:t>s</w:t>
      </w:r>
      <w:r>
        <w:rPr>
          <w:rFonts w:ascii="Times New Roman" w:hAnsi="Times New Roman" w:cs="Times New Roman"/>
        </w:rPr>
        <w:t xml:space="preserve"> impacted by such interventions </w:t>
      </w:r>
      <w:r w:rsidR="006B6AEF">
        <w:rPr>
          <w:rFonts w:ascii="Times New Roman" w:hAnsi="Times New Roman" w:cs="Times New Roman"/>
        </w:rPr>
        <w:t>might</w:t>
      </w:r>
      <w:r>
        <w:rPr>
          <w:rFonts w:ascii="Times New Roman" w:hAnsi="Times New Roman" w:cs="Times New Roman"/>
        </w:rPr>
        <w:t xml:space="preserve"> be estimated based on the </w:t>
      </w:r>
      <w:r w:rsidR="006B6AEF">
        <w:rPr>
          <w:rFonts w:ascii="Times New Roman" w:hAnsi="Times New Roman" w:cs="Times New Roman"/>
        </w:rPr>
        <w:t xml:space="preserve">total </w:t>
      </w:r>
      <w:r>
        <w:rPr>
          <w:rFonts w:ascii="Times New Roman" w:hAnsi="Times New Roman" w:cs="Times New Roman"/>
        </w:rPr>
        <w:t xml:space="preserve">number of animals in the farm or </w:t>
      </w:r>
      <w:r w:rsidR="006B6AEF">
        <w:rPr>
          <w:rFonts w:ascii="Times New Roman" w:hAnsi="Times New Roman" w:cs="Times New Roman"/>
        </w:rPr>
        <w:t>building</w:t>
      </w:r>
      <w:r>
        <w:rPr>
          <w:rFonts w:ascii="Times New Roman" w:hAnsi="Times New Roman" w:cs="Times New Roman"/>
        </w:rPr>
        <w:t xml:space="preserve"> capacity regardless of whether the</w:t>
      </w:r>
      <w:r w:rsidR="00744AFB">
        <w:rPr>
          <w:rFonts w:ascii="Times New Roman" w:hAnsi="Times New Roman" w:cs="Times New Roman"/>
        </w:rPr>
        <w:t>se</w:t>
      </w:r>
      <w:r>
        <w:rPr>
          <w:rFonts w:ascii="Times New Roman" w:hAnsi="Times New Roman" w:cs="Times New Roman"/>
        </w:rPr>
        <w:t xml:space="preserve"> intervention</w:t>
      </w:r>
      <w:r w:rsidR="00744AFB">
        <w:rPr>
          <w:rFonts w:ascii="Times New Roman" w:hAnsi="Times New Roman" w:cs="Times New Roman"/>
        </w:rPr>
        <w:t>s impact</w:t>
      </w:r>
      <w:r>
        <w:rPr>
          <w:rFonts w:ascii="Times New Roman" w:hAnsi="Times New Roman" w:cs="Times New Roman"/>
        </w:rPr>
        <w:t xml:space="preserve"> all or </w:t>
      </w:r>
      <w:r w:rsidR="00744AFB">
        <w:rPr>
          <w:rFonts w:ascii="Times New Roman" w:hAnsi="Times New Roman" w:cs="Times New Roman"/>
        </w:rPr>
        <w:t xml:space="preserve">only </w:t>
      </w:r>
      <w:r>
        <w:rPr>
          <w:rFonts w:ascii="Times New Roman" w:hAnsi="Times New Roman" w:cs="Times New Roman"/>
        </w:rPr>
        <w:t xml:space="preserve">part of the animals </w:t>
      </w:r>
      <w:r w:rsidR="006B6AEF">
        <w:rPr>
          <w:rFonts w:ascii="Times New Roman" w:hAnsi="Times New Roman" w:cs="Times New Roman"/>
        </w:rPr>
        <w:t>o</w:t>
      </w:r>
      <w:r>
        <w:rPr>
          <w:rFonts w:ascii="Times New Roman" w:hAnsi="Times New Roman" w:cs="Times New Roman"/>
        </w:rPr>
        <w:t xml:space="preserve">n the farm. </w:t>
      </w:r>
      <w:r w:rsidR="00AD0BE5">
        <w:rPr>
          <w:rFonts w:ascii="Times New Roman" w:hAnsi="Times New Roman" w:cs="Times New Roman"/>
        </w:rPr>
        <w:t>However, i</w:t>
      </w:r>
      <w:r w:rsidR="006B6AEF">
        <w:rPr>
          <w:rFonts w:ascii="Times New Roman" w:hAnsi="Times New Roman" w:cs="Times New Roman"/>
        </w:rPr>
        <w:t>f the investment affects only a small part of farm</w:t>
      </w:r>
      <w:r w:rsidR="001C0262">
        <w:rPr>
          <w:rFonts w:ascii="Times New Roman" w:hAnsi="Times New Roman" w:cs="Times New Roman"/>
        </w:rPr>
        <w:t>ed</w:t>
      </w:r>
      <w:r w:rsidR="006B6AEF">
        <w:rPr>
          <w:rFonts w:ascii="Times New Roman" w:hAnsi="Times New Roman" w:cs="Times New Roman"/>
        </w:rPr>
        <w:t xml:space="preserve"> animals, and there is no mean to be precise in the reporting, </w:t>
      </w:r>
      <w:r w:rsidR="00564D58">
        <w:rPr>
          <w:rFonts w:ascii="Times New Roman" w:hAnsi="Times New Roman" w:cs="Times New Roman"/>
        </w:rPr>
        <w:t>consideration should be given to not reporting</w:t>
      </w:r>
      <w:r w:rsidR="00AD0BE5">
        <w:rPr>
          <w:rFonts w:ascii="Times New Roman" w:hAnsi="Times New Roman" w:cs="Times New Roman"/>
        </w:rPr>
        <w:t xml:space="preserve"> the contribution of the intervention </w:t>
      </w:r>
      <w:r w:rsidR="00564D58">
        <w:rPr>
          <w:rFonts w:ascii="Times New Roman" w:hAnsi="Times New Roman" w:cs="Times New Roman"/>
        </w:rPr>
        <w:t>under</w:t>
      </w:r>
      <w:r w:rsidR="00AD0BE5">
        <w:rPr>
          <w:rFonts w:ascii="Times New Roman" w:hAnsi="Times New Roman" w:cs="Times New Roman"/>
        </w:rPr>
        <w:t xml:space="preserve"> R.44</w:t>
      </w:r>
      <w:r w:rsidR="006B6AEF">
        <w:rPr>
          <w:rFonts w:ascii="Times New Roman" w:hAnsi="Times New Roman" w:cs="Times New Roman"/>
        </w:rPr>
        <w:t>.</w:t>
      </w:r>
    </w:p>
    <w:p w14:paraId="7915E193" w14:textId="77777777" w:rsidR="00FB3F74" w:rsidRPr="006F2CA5" w:rsidRDefault="00FB3F74" w:rsidP="00AC0C00">
      <w:pPr>
        <w:spacing w:before="120" w:after="240" w:line="264" w:lineRule="auto"/>
        <w:jc w:val="both"/>
        <w:rPr>
          <w:rFonts w:ascii="Times New Roman" w:hAnsi="Times New Roman" w:cs="Times New Roman"/>
        </w:rPr>
      </w:pPr>
      <w:r w:rsidRPr="006F2CA5">
        <w:rPr>
          <w:rFonts w:ascii="Times New Roman" w:hAnsi="Times New Roman" w:cs="Times New Roman"/>
        </w:rPr>
        <w:t>As previously mentioned, MS can link result indicators to types of intervention other than those indicated in the indicator fiche of the result indicator</w:t>
      </w:r>
      <w:r w:rsidR="00631372" w:rsidRPr="006F2CA5">
        <w:rPr>
          <w:rFonts w:ascii="Times New Roman" w:hAnsi="Times New Roman" w:cs="Times New Roman"/>
        </w:rPr>
        <w:t xml:space="preserve">s. </w:t>
      </w:r>
      <w:r w:rsidRPr="006F2CA5">
        <w:rPr>
          <w:rFonts w:ascii="Times New Roman" w:hAnsi="Times New Roman" w:cs="Times New Roman"/>
        </w:rPr>
        <w:t xml:space="preserve">However, there are few exceptions to this flexibility because there is the need to ensure comparability </w:t>
      </w:r>
      <w:r w:rsidR="00631372" w:rsidRPr="006F2CA5">
        <w:rPr>
          <w:rFonts w:ascii="Times New Roman" w:hAnsi="Times New Roman" w:cs="Times New Roman"/>
        </w:rPr>
        <w:t xml:space="preserve">of results </w:t>
      </w:r>
      <w:r w:rsidRPr="006F2CA5">
        <w:rPr>
          <w:rFonts w:ascii="Times New Roman" w:hAnsi="Times New Roman" w:cs="Times New Roman"/>
        </w:rPr>
        <w:t xml:space="preserve">between MS and the reliability of the EU aggregate. </w:t>
      </w:r>
      <w:r w:rsidR="00631372" w:rsidRPr="006F2CA5">
        <w:rPr>
          <w:rFonts w:ascii="Times New Roman" w:hAnsi="Times New Roman" w:cs="Times New Roman"/>
        </w:rPr>
        <w:t>For</w:t>
      </w:r>
      <w:r w:rsidRPr="006F2CA5">
        <w:rPr>
          <w:rFonts w:ascii="Times New Roman" w:hAnsi="Times New Roman" w:cs="Times New Roman"/>
        </w:rPr>
        <w:t xml:space="preserve"> this reason, MS cannot derogate from the calculation method described in the fiche</w:t>
      </w:r>
      <w:r w:rsidR="00631372" w:rsidRPr="006F2CA5">
        <w:rPr>
          <w:rFonts w:ascii="Times New Roman" w:hAnsi="Times New Roman" w:cs="Times New Roman"/>
        </w:rPr>
        <w:t xml:space="preserve"> in the following cases:</w:t>
      </w:r>
    </w:p>
    <w:p w14:paraId="577BC73A" w14:textId="77777777" w:rsidR="00FB3F74" w:rsidRPr="006F2CA5" w:rsidRDefault="00FB3F74" w:rsidP="005C5386">
      <w:pPr>
        <w:pStyle w:val="ListParagraph"/>
        <w:numPr>
          <w:ilvl w:val="0"/>
          <w:numId w:val="9"/>
        </w:numPr>
        <w:spacing w:before="120" w:after="240" w:line="264" w:lineRule="auto"/>
        <w:contextualSpacing w:val="0"/>
        <w:jc w:val="both"/>
        <w:rPr>
          <w:rFonts w:ascii="Times New Roman" w:hAnsi="Times New Roman" w:cs="Times New Roman"/>
        </w:rPr>
      </w:pPr>
      <w:r w:rsidRPr="00AC0C00">
        <w:rPr>
          <w:rFonts w:ascii="Times New Roman" w:hAnsi="Times New Roman" w:cs="Times New Roman"/>
          <w:b/>
        </w:rPr>
        <w:t>Result indicator R.4</w:t>
      </w:r>
      <w:r w:rsidRPr="006F2CA5">
        <w:rPr>
          <w:rFonts w:ascii="Times New Roman" w:hAnsi="Times New Roman" w:cs="Times New Roman"/>
        </w:rPr>
        <w:t xml:space="preserve"> relates to the area covered by all the types of intervention in the form of direct payments as well as support for area under natural or other area-specific constraints (</w:t>
      </w:r>
      <w:r w:rsidRPr="0072101F">
        <w:rPr>
          <w:rFonts w:ascii="Times New Roman" w:hAnsi="Times New Roman" w:cs="Times New Roman"/>
          <w:b/>
        </w:rPr>
        <w:t>ANC</w:t>
      </w:r>
      <w:r w:rsidRPr="006F2CA5">
        <w:rPr>
          <w:rFonts w:ascii="Times New Roman" w:hAnsi="Times New Roman" w:cs="Times New Roman"/>
        </w:rPr>
        <w:t xml:space="preserve">) </w:t>
      </w:r>
      <w:r w:rsidR="00AC0C00">
        <w:rPr>
          <w:rFonts w:ascii="Times New Roman" w:hAnsi="Times New Roman" w:cs="Times New Roman"/>
        </w:rPr>
        <w:t>(Article 71</w:t>
      </w:r>
      <w:r w:rsidR="0072101F">
        <w:rPr>
          <w:rFonts w:ascii="Times New Roman" w:hAnsi="Times New Roman" w:cs="Times New Roman"/>
        </w:rPr>
        <w:t xml:space="preserve"> of the SPR</w:t>
      </w:r>
      <w:r w:rsidR="00AC0C00">
        <w:rPr>
          <w:rFonts w:ascii="Times New Roman" w:hAnsi="Times New Roman" w:cs="Times New Roman"/>
        </w:rPr>
        <w:t xml:space="preserve">) </w:t>
      </w:r>
      <w:r w:rsidRPr="006F2CA5">
        <w:rPr>
          <w:rFonts w:ascii="Times New Roman" w:hAnsi="Times New Roman" w:cs="Times New Roman"/>
        </w:rPr>
        <w:t>and for area-specific disadvantages resulting from certain mandatory requirements</w:t>
      </w:r>
      <w:r w:rsidR="0054322E">
        <w:rPr>
          <w:rFonts w:ascii="Times New Roman" w:hAnsi="Times New Roman" w:cs="Times New Roman"/>
        </w:rPr>
        <w:t xml:space="preserve"> (Article 72 of the SPR)</w:t>
      </w:r>
      <w:r w:rsidRPr="006F2CA5">
        <w:rPr>
          <w:rFonts w:ascii="Times New Roman" w:hAnsi="Times New Roman" w:cs="Times New Roman"/>
        </w:rPr>
        <w:t xml:space="preserve">. </w:t>
      </w:r>
    </w:p>
    <w:p w14:paraId="4296DB9B" w14:textId="77777777" w:rsidR="00FB3F74" w:rsidRPr="006F2CA5" w:rsidRDefault="00AC0C00" w:rsidP="005C5386">
      <w:pPr>
        <w:pStyle w:val="ListParagraph"/>
        <w:numPr>
          <w:ilvl w:val="0"/>
          <w:numId w:val="9"/>
        </w:numPr>
        <w:spacing w:before="120" w:after="240" w:line="264" w:lineRule="auto"/>
        <w:contextualSpacing w:val="0"/>
        <w:jc w:val="both"/>
        <w:rPr>
          <w:rFonts w:ascii="Times New Roman" w:hAnsi="Times New Roman" w:cs="Times New Roman"/>
        </w:rPr>
      </w:pPr>
      <w:r>
        <w:rPr>
          <w:rFonts w:ascii="Times New Roman" w:hAnsi="Times New Roman" w:cs="Times New Roman"/>
        </w:rPr>
        <w:t xml:space="preserve">The </w:t>
      </w:r>
      <w:r w:rsidRPr="00AC0C00">
        <w:rPr>
          <w:rFonts w:ascii="Times New Roman" w:hAnsi="Times New Roman" w:cs="Times New Roman"/>
          <w:b/>
        </w:rPr>
        <w:t>support to ANC</w:t>
      </w:r>
      <w:r>
        <w:rPr>
          <w:rFonts w:ascii="Times New Roman" w:hAnsi="Times New Roman" w:cs="Times New Roman"/>
        </w:rPr>
        <w:t xml:space="preserve">, without requirements beyond mandatory ones, </w:t>
      </w:r>
      <w:r w:rsidR="00FB3F74" w:rsidRPr="006F2CA5">
        <w:rPr>
          <w:rFonts w:ascii="Times New Roman" w:hAnsi="Times New Roman" w:cs="Times New Roman"/>
        </w:rPr>
        <w:t xml:space="preserve">is accounted in result indicators only related to income support </w:t>
      </w:r>
      <w:r w:rsidR="00771EF1">
        <w:rPr>
          <w:rFonts w:ascii="Times New Roman" w:hAnsi="Times New Roman" w:cs="Times New Roman"/>
        </w:rPr>
        <w:t>(</w:t>
      </w:r>
      <w:r w:rsidR="00771EF1" w:rsidRPr="00AE60C7">
        <w:rPr>
          <w:rFonts w:ascii="Times New Roman" w:hAnsi="Times New Roman" w:cs="Times New Roman"/>
        </w:rPr>
        <w:t>R.4 and R.7</w:t>
      </w:r>
      <w:r w:rsidR="00771EF1">
        <w:rPr>
          <w:rFonts w:ascii="Times New Roman" w:hAnsi="Times New Roman" w:cs="Times New Roman"/>
        </w:rPr>
        <w:t xml:space="preserve">) </w:t>
      </w:r>
      <w:r w:rsidR="00FB3F74" w:rsidRPr="006F2CA5">
        <w:rPr>
          <w:rFonts w:ascii="Times New Roman" w:hAnsi="Times New Roman" w:cs="Times New Roman"/>
        </w:rPr>
        <w:t>and not in result indicators related to environmental and climatic objectives. Although ANC payments contribute to the maintenance of farming, prevent land abandonment and thus contribute to the environment, farmers do not need to implement specific practices beneficial for the environment and climate to be granted the support. Thus, these interventions do not provide positive externalities beyond mandatory requirements.</w:t>
      </w:r>
      <w:r w:rsidR="00982E26">
        <w:rPr>
          <w:rFonts w:ascii="Times New Roman" w:hAnsi="Times New Roman" w:cs="Times New Roman"/>
        </w:rPr>
        <w:t xml:space="preserve"> </w:t>
      </w:r>
    </w:p>
    <w:p w14:paraId="3073937D" w14:textId="77777777" w:rsidR="00FB3F74" w:rsidRPr="00AE60C7" w:rsidRDefault="00FB3F74" w:rsidP="00AE60C7">
      <w:pPr>
        <w:pStyle w:val="ListParagraph"/>
        <w:numPr>
          <w:ilvl w:val="0"/>
          <w:numId w:val="9"/>
        </w:numPr>
        <w:spacing w:before="120" w:after="240" w:line="264" w:lineRule="auto"/>
        <w:contextualSpacing w:val="0"/>
        <w:jc w:val="both"/>
        <w:rPr>
          <w:rFonts w:ascii="Times New Roman" w:hAnsi="Times New Roman" w:cs="Times New Roman"/>
        </w:rPr>
      </w:pPr>
      <w:r w:rsidRPr="00AE60C7">
        <w:rPr>
          <w:rFonts w:ascii="Times New Roman" w:hAnsi="Times New Roman" w:cs="Times New Roman"/>
        </w:rPr>
        <w:t xml:space="preserve">Similarly, the </w:t>
      </w:r>
      <w:r w:rsidRPr="00AC0C00">
        <w:rPr>
          <w:rFonts w:ascii="Times New Roman" w:hAnsi="Times New Roman" w:cs="Times New Roman"/>
          <w:b/>
        </w:rPr>
        <w:t xml:space="preserve">support to farmers in Natura 2000 and </w:t>
      </w:r>
      <w:r w:rsidR="00B74857">
        <w:rPr>
          <w:rFonts w:ascii="Times New Roman" w:hAnsi="Times New Roman" w:cs="Times New Roman"/>
          <w:b/>
        </w:rPr>
        <w:t>Water Framework Directive protected areas</w:t>
      </w:r>
      <w:r w:rsidR="00B74857" w:rsidRPr="00AE60C7">
        <w:rPr>
          <w:rFonts w:ascii="Times New Roman" w:hAnsi="Times New Roman" w:cs="Times New Roman"/>
        </w:rPr>
        <w:t xml:space="preserve"> </w:t>
      </w:r>
      <w:r w:rsidRPr="00AE60C7">
        <w:rPr>
          <w:rFonts w:ascii="Times New Roman" w:hAnsi="Times New Roman" w:cs="Times New Roman"/>
        </w:rPr>
        <w:t>(Article 72</w:t>
      </w:r>
      <w:r w:rsidR="003C7845">
        <w:rPr>
          <w:rFonts w:ascii="Times New Roman" w:hAnsi="Times New Roman" w:cs="Times New Roman"/>
        </w:rPr>
        <w:t xml:space="preserve"> of the SPR</w:t>
      </w:r>
      <w:r w:rsidRPr="00AE60C7">
        <w:rPr>
          <w:rFonts w:ascii="Times New Roman" w:hAnsi="Times New Roman" w:cs="Times New Roman"/>
        </w:rPr>
        <w:t xml:space="preserve">) only relate to R.4 and R.7, as the support compensates the farmers for the obligations to be respected for farming in these areas. If farmers in Natura 2000 commit to </w:t>
      </w:r>
      <w:r w:rsidRPr="00AE60C7">
        <w:rPr>
          <w:rFonts w:ascii="Times New Roman" w:hAnsi="Times New Roman" w:cs="Times New Roman"/>
        </w:rPr>
        <w:lastRenderedPageBreak/>
        <w:t>voluntary practices (Articles 31 and 70</w:t>
      </w:r>
      <w:r w:rsidR="003C7845">
        <w:rPr>
          <w:rFonts w:ascii="Times New Roman" w:hAnsi="Times New Roman" w:cs="Times New Roman"/>
        </w:rPr>
        <w:t xml:space="preserve"> of the SPR</w:t>
      </w:r>
      <w:r w:rsidRPr="00AE60C7">
        <w:rPr>
          <w:rFonts w:ascii="Times New Roman" w:hAnsi="Times New Roman" w:cs="Times New Roman"/>
        </w:rPr>
        <w:t xml:space="preserve">), this will be reflected in R.33 (Improving Natura 2000 management). </w:t>
      </w:r>
      <w:r w:rsidR="00AC0C00">
        <w:rPr>
          <w:rFonts w:ascii="Times New Roman" w:hAnsi="Times New Roman" w:cs="Times New Roman"/>
        </w:rPr>
        <w:t>For the derogation on support to forest area in Natura 2000, see below.</w:t>
      </w:r>
    </w:p>
    <w:p w14:paraId="5CEDF581" w14:textId="634E947A" w:rsidR="00FB3F74" w:rsidRPr="00AE60C7" w:rsidRDefault="00FB3F74" w:rsidP="00C908D1">
      <w:pPr>
        <w:pStyle w:val="ListParagraph"/>
        <w:numPr>
          <w:ilvl w:val="0"/>
          <w:numId w:val="9"/>
        </w:numPr>
        <w:spacing w:before="120" w:after="240" w:line="264" w:lineRule="auto"/>
        <w:contextualSpacing w:val="0"/>
        <w:jc w:val="both"/>
        <w:rPr>
          <w:rFonts w:ascii="Times New Roman" w:hAnsi="Times New Roman" w:cs="Times New Roman"/>
        </w:rPr>
      </w:pPr>
      <w:r w:rsidRPr="00AC0C00">
        <w:rPr>
          <w:rFonts w:ascii="Times New Roman" w:hAnsi="Times New Roman" w:cs="Times New Roman"/>
          <w:b/>
        </w:rPr>
        <w:t>Result indicator R.6</w:t>
      </w:r>
      <w:r w:rsidRPr="00AE60C7">
        <w:rPr>
          <w:rFonts w:ascii="Times New Roman" w:hAnsi="Times New Roman" w:cs="Times New Roman"/>
        </w:rPr>
        <w:t xml:space="preserve"> relates to all the types of intervention in the form of direct</w:t>
      </w:r>
      <w:r w:rsidR="00AE60C7">
        <w:rPr>
          <w:rFonts w:ascii="Times New Roman" w:hAnsi="Times New Roman" w:cs="Times New Roman"/>
        </w:rPr>
        <w:t xml:space="preserve"> payments</w:t>
      </w:r>
      <w:r w:rsidRPr="00AE60C7">
        <w:rPr>
          <w:rFonts w:ascii="Times New Roman" w:hAnsi="Times New Roman" w:cs="Times New Roman"/>
        </w:rPr>
        <w:t xml:space="preserve">, except the crop-specific payment for cotton. </w:t>
      </w:r>
      <w:r w:rsidR="00865686">
        <w:rPr>
          <w:rFonts w:ascii="Times New Roman" w:hAnsi="Times New Roman" w:cs="Times New Roman"/>
        </w:rPr>
        <w:t xml:space="preserve">Ideally, R.6 should </w:t>
      </w:r>
      <w:r w:rsidR="00C908D1">
        <w:rPr>
          <w:rFonts w:ascii="Times New Roman" w:hAnsi="Times New Roman" w:cs="Times New Roman"/>
        </w:rPr>
        <w:t xml:space="preserve">always </w:t>
      </w:r>
      <w:r w:rsidR="00865686">
        <w:rPr>
          <w:rFonts w:ascii="Times New Roman" w:hAnsi="Times New Roman" w:cs="Times New Roman"/>
        </w:rPr>
        <w:t>be linked to c</w:t>
      </w:r>
      <w:r w:rsidR="00865686" w:rsidRPr="00865686">
        <w:rPr>
          <w:rFonts w:ascii="Times New Roman" w:hAnsi="Times New Roman" w:cs="Times New Roman"/>
        </w:rPr>
        <w:t>omplementary redistributive income support for sustainability</w:t>
      </w:r>
      <w:r w:rsidR="00240623">
        <w:rPr>
          <w:rFonts w:ascii="Times New Roman" w:hAnsi="Times New Roman" w:cs="Times New Roman"/>
        </w:rPr>
        <w:t>,</w:t>
      </w:r>
      <w:r w:rsidR="002F2920" w:rsidRPr="002F2920">
        <w:rPr>
          <w:rFonts w:ascii="Times New Roman" w:hAnsi="Times New Roman" w:cs="Times New Roman"/>
        </w:rPr>
        <w:t xml:space="preserve"> </w:t>
      </w:r>
      <w:r w:rsidR="00C908D1">
        <w:rPr>
          <w:rFonts w:ascii="Times New Roman" w:hAnsi="Times New Roman" w:cs="Times New Roman"/>
        </w:rPr>
        <w:t>while other</w:t>
      </w:r>
      <w:r w:rsidR="00D5353E">
        <w:rPr>
          <w:rFonts w:ascii="Times New Roman" w:hAnsi="Times New Roman" w:cs="Times New Roman"/>
        </w:rPr>
        <w:t xml:space="preserve"> direct payments</w:t>
      </w:r>
      <w:r w:rsidR="002F2920" w:rsidRPr="002F2920">
        <w:rPr>
          <w:rFonts w:ascii="Times New Roman" w:hAnsi="Times New Roman" w:cs="Times New Roman"/>
        </w:rPr>
        <w:t xml:space="preserve"> interventions </w:t>
      </w:r>
      <w:r w:rsidR="00C908D1">
        <w:rPr>
          <w:rFonts w:ascii="Times New Roman" w:hAnsi="Times New Roman" w:cs="Times New Roman"/>
        </w:rPr>
        <w:t xml:space="preserve">may be added </w:t>
      </w:r>
      <w:r w:rsidR="002F2920" w:rsidRPr="002F2920">
        <w:rPr>
          <w:rFonts w:ascii="Times New Roman" w:hAnsi="Times New Roman" w:cs="Times New Roman"/>
        </w:rPr>
        <w:t>especially when there is som</w:t>
      </w:r>
      <w:r w:rsidR="00C908D1">
        <w:rPr>
          <w:rFonts w:ascii="Times New Roman" w:hAnsi="Times New Roman" w:cs="Times New Roman"/>
        </w:rPr>
        <w:t>e degressivity of unit amounts</w:t>
      </w:r>
      <w:r w:rsidR="00240623">
        <w:rPr>
          <w:rFonts w:ascii="Times New Roman" w:hAnsi="Times New Roman" w:cs="Times New Roman"/>
        </w:rPr>
        <w:t xml:space="preserve"> (</w:t>
      </w:r>
      <w:r w:rsidR="00C908D1">
        <w:rPr>
          <w:rFonts w:ascii="Times New Roman" w:hAnsi="Times New Roman" w:cs="Times New Roman"/>
        </w:rPr>
        <w:t>which is possi</w:t>
      </w:r>
      <w:r w:rsidR="00FB15F6">
        <w:rPr>
          <w:rFonts w:ascii="Times New Roman" w:hAnsi="Times New Roman" w:cs="Times New Roman"/>
        </w:rPr>
        <w:t xml:space="preserve">ble, for instance, </w:t>
      </w:r>
      <w:r w:rsidR="002F2920" w:rsidRPr="002F2920">
        <w:rPr>
          <w:rFonts w:ascii="Times New Roman" w:hAnsi="Times New Roman" w:cs="Times New Roman"/>
        </w:rPr>
        <w:t xml:space="preserve">for </w:t>
      </w:r>
      <w:r w:rsidR="00C908D1">
        <w:rPr>
          <w:rFonts w:ascii="Times New Roman" w:hAnsi="Times New Roman" w:cs="Times New Roman"/>
        </w:rPr>
        <w:t>c</w:t>
      </w:r>
      <w:r w:rsidR="00C908D1" w:rsidRPr="00C908D1">
        <w:rPr>
          <w:rFonts w:ascii="Times New Roman" w:hAnsi="Times New Roman" w:cs="Times New Roman"/>
        </w:rPr>
        <w:t>omplementary income support</w:t>
      </w:r>
      <w:r w:rsidR="00FB15F6">
        <w:rPr>
          <w:rFonts w:ascii="Times New Roman" w:hAnsi="Times New Roman" w:cs="Times New Roman"/>
        </w:rPr>
        <w:t>,</w:t>
      </w:r>
      <w:r w:rsidR="00C908D1" w:rsidRPr="00C908D1">
        <w:rPr>
          <w:rFonts w:ascii="Times New Roman" w:hAnsi="Times New Roman" w:cs="Times New Roman"/>
        </w:rPr>
        <w:t xml:space="preserve"> </w:t>
      </w:r>
      <w:r w:rsidR="00C908D1">
        <w:rPr>
          <w:rFonts w:ascii="Times New Roman" w:hAnsi="Times New Roman" w:cs="Times New Roman"/>
        </w:rPr>
        <w:t>and c</w:t>
      </w:r>
      <w:r w:rsidR="00C908D1" w:rsidRPr="00C908D1">
        <w:rPr>
          <w:rFonts w:ascii="Times New Roman" w:hAnsi="Times New Roman" w:cs="Times New Roman"/>
        </w:rPr>
        <w:t>omplementary income support for young farmers</w:t>
      </w:r>
      <w:r w:rsidR="00240623">
        <w:rPr>
          <w:rFonts w:ascii="Times New Roman" w:hAnsi="Times New Roman" w:cs="Times New Roman"/>
        </w:rPr>
        <w:t>)</w:t>
      </w:r>
      <w:r w:rsidR="002F2920" w:rsidRPr="002F2920">
        <w:rPr>
          <w:rFonts w:ascii="Times New Roman" w:hAnsi="Times New Roman" w:cs="Times New Roman"/>
        </w:rPr>
        <w:t xml:space="preserve">. </w:t>
      </w:r>
      <w:r w:rsidR="00A81738">
        <w:rPr>
          <w:rFonts w:ascii="Times New Roman" w:hAnsi="Times New Roman" w:cs="Times New Roman"/>
        </w:rPr>
        <w:t>An</w:t>
      </w:r>
      <w:r w:rsidRPr="00AE60C7">
        <w:rPr>
          <w:rFonts w:ascii="Times New Roman" w:hAnsi="Times New Roman" w:cs="Times New Roman"/>
        </w:rPr>
        <w:t xml:space="preserve"> example</w:t>
      </w:r>
      <w:r w:rsidR="00A81738">
        <w:rPr>
          <w:rFonts w:ascii="Times New Roman" w:hAnsi="Times New Roman" w:cs="Times New Roman"/>
        </w:rPr>
        <w:t xml:space="preserve"> on how to calculate</w:t>
      </w:r>
      <w:r w:rsidRPr="00AE60C7">
        <w:rPr>
          <w:rFonts w:ascii="Times New Roman" w:hAnsi="Times New Roman" w:cs="Times New Roman"/>
        </w:rPr>
        <w:t xml:space="preserve"> R.6 </w:t>
      </w:r>
      <w:r w:rsidR="00A81738">
        <w:rPr>
          <w:rFonts w:ascii="Times New Roman" w:hAnsi="Times New Roman" w:cs="Times New Roman"/>
        </w:rPr>
        <w:t>is</w:t>
      </w:r>
      <w:r w:rsidRPr="00AE60C7">
        <w:rPr>
          <w:rFonts w:ascii="Times New Roman" w:hAnsi="Times New Roman" w:cs="Times New Roman"/>
        </w:rPr>
        <w:t xml:space="preserve"> provided in </w:t>
      </w:r>
      <w:r w:rsidRPr="0014633C">
        <w:rPr>
          <w:rFonts w:ascii="Times New Roman" w:hAnsi="Times New Roman" w:cs="Times New Roman"/>
          <w:b/>
        </w:rPr>
        <w:t xml:space="preserve">Annex </w:t>
      </w:r>
      <w:r w:rsidR="00012C0B" w:rsidRPr="00AE60C7">
        <w:rPr>
          <w:rFonts w:ascii="Times New Roman" w:hAnsi="Times New Roman" w:cs="Times New Roman"/>
          <w:b/>
        </w:rPr>
        <w:t>X</w:t>
      </w:r>
      <w:r w:rsidR="006F2CA5" w:rsidRPr="00AE60C7">
        <w:rPr>
          <w:rFonts w:ascii="Times New Roman" w:hAnsi="Times New Roman" w:cs="Times New Roman"/>
        </w:rPr>
        <w:t xml:space="preserve"> </w:t>
      </w:r>
      <w:r w:rsidR="00F2562B">
        <w:rPr>
          <w:rFonts w:ascii="Times New Roman" w:hAnsi="Times New Roman" w:cs="Times New Roman"/>
        </w:rPr>
        <w:t>to</w:t>
      </w:r>
      <w:r w:rsidR="006F2CA5" w:rsidRPr="00AE60C7">
        <w:rPr>
          <w:rFonts w:ascii="Times New Roman" w:hAnsi="Times New Roman" w:cs="Times New Roman"/>
        </w:rPr>
        <w:t xml:space="preserve"> this cover note.</w:t>
      </w:r>
    </w:p>
    <w:p w14:paraId="2FF04090" w14:textId="58A306D4" w:rsidR="00FB3F74" w:rsidRPr="006F2CA5" w:rsidRDefault="00FB3F74" w:rsidP="00B74857">
      <w:pPr>
        <w:pStyle w:val="ListParagraph"/>
        <w:numPr>
          <w:ilvl w:val="0"/>
          <w:numId w:val="9"/>
        </w:numPr>
        <w:spacing w:before="120" w:after="120" w:line="264" w:lineRule="auto"/>
        <w:contextualSpacing w:val="0"/>
        <w:jc w:val="both"/>
        <w:rPr>
          <w:rFonts w:ascii="Times New Roman" w:hAnsi="Times New Roman" w:cs="Times New Roman"/>
        </w:rPr>
      </w:pPr>
      <w:r w:rsidRPr="00AC0C00">
        <w:rPr>
          <w:rFonts w:ascii="Times New Roman" w:hAnsi="Times New Roman" w:cs="Times New Roman"/>
          <w:b/>
        </w:rPr>
        <w:t>Result indicator R.7</w:t>
      </w:r>
      <w:r w:rsidRPr="006F2CA5">
        <w:rPr>
          <w:rFonts w:ascii="Times New Roman" w:hAnsi="Times New Roman" w:cs="Times New Roman"/>
        </w:rPr>
        <w:t xml:space="preserve"> relates to all the types of intervention in the form of direct payments except the crop-specific payment for cotton, as well as support for </w:t>
      </w:r>
      <w:r w:rsidR="00B74857">
        <w:rPr>
          <w:rFonts w:ascii="Times New Roman" w:hAnsi="Times New Roman" w:cs="Times New Roman"/>
        </w:rPr>
        <w:t>ANC</w:t>
      </w:r>
      <w:r w:rsidR="009F3342">
        <w:rPr>
          <w:rFonts w:ascii="Times New Roman" w:hAnsi="Times New Roman" w:cs="Times New Roman"/>
        </w:rPr>
        <w:t xml:space="preserve"> </w:t>
      </w:r>
      <w:r w:rsidRPr="006F2CA5">
        <w:rPr>
          <w:rFonts w:ascii="Times New Roman" w:hAnsi="Times New Roman" w:cs="Times New Roman"/>
        </w:rPr>
        <w:t xml:space="preserve">and for area-specific disadvantages resulting from certain mandatory requirements. </w:t>
      </w:r>
      <w:r w:rsidR="0081127F">
        <w:rPr>
          <w:rFonts w:ascii="Times New Roman" w:hAnsi="Times New Roman" w:cs="Times New Roman"/>
        </w:rPr>
        <w:t xml:space="preserve">Ideally, </w:t>
      </w:r>
      <w:r w:rsidR="00240623">
        <w:rPr>
          <w:rFonts w:ascii="Times New Roman" w:hAnsi="Times New Roman" w:cs="Times New Roman"/>
        </w:rPr>
        <w:t>in the CAP Plan</w:t>
      </w:r>
      <w:r w:rsidR="0081127F">
        <w:rPr>
          <w:rFonts w:ascii="Times New Roman" w:hAnsi="Times New Roman" w:cs="Times New Roman"/>
        </w:rPr>
        <w:t>, R.7 should therefore be linked to interventions under Natura 2000</w:t>
      </w:r>
      <w:r w:rsidR="0081127F" w:rsidRPr="00B74857">
        <w:rPr>
          <w:rFonts w:ascii="Times New Roman" w:hAnsi="Times New Roman" w:cs="Times New Roman"/>
        </w:rPr>
        <w:t>, ANC and higher B</w:t>
      </w:r>
      <w:r w:rsidR="0081127F">
        <w:rPr>
          <w:rFonts w:ascii="Times New Roman" w:hAnsi="Times New Roman" w:cs="Times New Roman"/>
        </w:rPr>
        <w:t>ISS</w:t>
      </w:r>
      <w:r w:rsidR="0081127F" w:rsidRPr="00B74857">
        <w:rPr>
          <w:rFonts w:ascii="Times New Roman" w:hAnsi="Times New Roman" w:cs="Times New Roman"/>
        </w:rPr>
        <w:t xml:space="preserve"> payment</w:t>
      </w:r>
      <w:r w:rsidR="0081127F">
        <w:rPr>
          <w:rFonts w:ascii="Times New Roman" w:hAnsi="Times New Roman" w:cs="Times New Roman"/>
        </w:rPr>
        <w:t>s</w:t>
      </w:r>
      <w:r w:rsidR="0081127F" w:rsidRPr="00B74857">
        <w:rPr>
          <w:rFonts w:ascii="Times New Roman" w:hAnsi="Times New Roman" w:cs="Times New Roman"/>
        </w:rPr>
        <w:t xml:space="preserve"> for areas in need</w:t>
      </w:r>
      <w:r w:rsidR="0081127F">
        <w:rPr>
          <w:rFonts w:ascii="Times New Roman" w:hAnsi="Times New Roman" w:cs="Times New Roman"/>
        </w:rPr>
        <w:t xml:space="preserve">. </w:t>
      </w:r>
      <w:r w:rsidR="0014633C">
        <w:rPr>
          <w:rFonts w:ascii="Times New Roman" w:hAnsi="Times New Roman" w:cs="Times New Roman"/>
        </w:rPr>
        <w:t xml:space="preserve">An example on how to calculate R.7 is provided in </w:t>
      </w:r>
      <w:r w:rsidR="0014633C" w:rsidRPr="0014633C">
        <w:rPr>
          <w:rFonts w:ascii="Times New Roman" w:hAnsi="Times New Roman" w:cs="Times New Roman"/>
          <w:b/>
        </w:rPr>
        <w:t>Annex X</w:t>
      </w:r>
      <w:r w:rsidR="0014633C">
        <w:rPr>
          <w:rFonts w:ascii="Times New Roman" w:hAnsi="Times New Roman" w:cs="Times New Roman"/>
        </w:rPr>
        <w:t xml:space="preserve"> </w:t>
      </w:r>
      <w:r w:rsidR="00F2562B">
        <w:rPr>
          <w:rFonts w:ascii="Times New Roman" w:hAnsi="Times New Roman" w:cs="Times New Roman"/>
        </w:rPr>
        <w:t>to</w:t>
      </w:r>
      <w:r w:rsidR="0014633C">
        <w:rPr>
          <w:rFonts w:ascii="Times New Roman" w:hAnsi="Times New Roman" w:cs="Times New Roman"/>
        </w:rPr>
        <w:t xml:space="preserve"> this cover note. </w:t>
      </w:r>
      <w:r w:rsidRPr="006F2CA5">
        <w:rPr>
          <w:rFonts w:ascii="Times New Roman" w:hAnsi="Times New Roman" w:cs="Times New Roman"/>
        </w:rPr>
        <w:t xml:space="preserve">By way of derogation </w:t>
      </w:r>
      <w:r w:rsidR="00842078">
        <w:rPr>
          <w:rFonts w:ascii="Times New Roman" w:hAnsi="Times New Roman" w:cs="Times New Roman"/>
        </w:rPr>
        <w:t>to this rule,</w:t>
      </w:r>
      <w:r w:rsidRPr="006F2CA5">
        <w:rPr>
          <w:rFonts w:ascii="Times New Roman" w:hAnsi="Times New Roman" w:cs="Times New Roman"/>
        </w:rPr>
        <w:t xml:space="preserve"> when MS design interventions in accordance with Article 72 of </w:t>
      </w:r>
      <w:r w:rsidR="00CC392C" w:rsidRPr="006F2CA5">
        <w:rPr>
          <w:rFonts w:ascii="Times New Roman" w:hAnsi="Times New Roman" w:cs="Times New Roman"/>
        </w:rPr>
        <w:t>t</w:t>
      </w:r>
      <w:r w:rsidRPr="006F2CA5">
        <w:rPr>
          <w:rFonts w:ascii="Times New Roman" w:hAnsi="Times New Roman" w:cs="Times New Roman"/>
        </w:rPr>
        <w:t xml:space="preserve">he </w:t>
      </w:r>
      <w:r w:rsidR="008A6A84">
        <w:rPr>
          <w:rFonts w:ascii="Times New Roman" w:hAnsi="Times New Roman" w:cs="Times New Roman"/>
        </w:rPr>
        <w:t>SPR</w:t>
      </w:r>
      <w:r w:rsidRPr="006F2CA5">
        <w:rPr>
          <w:rFonts w:ascii="Times New Roman" w:hAnsi="Times New Roman" w:cs="Times New Roman"/>
        </w:rPr>
        <w:t xml:space="preserve"> </w:t>
      </w:r>
      <w:r w:rsidRPr="00842078">
        <w:rPr>
          <w:rFonts w:ascii="Times New Roman" w:hAnsi="Times New Roman" w:cs="Times New Roman"/>
          <w:b/>
        </w:rPr>
        <w:t>supporting</w:t>
      </w:r>
      <w:r w:rsidRPr="006F2CA5">
        <w:rPr>
          <w:rFonts w:ascii="Times New Roman" w:hAnsi="Times New Roman" w:cs="Times New Roman"/>
        </w:rPr>
        <w:t xml:space="preserve"> </w:t>
      </w:r>
      <w:r w:rsidRPr="00842078">
        <w:rPr>
          <w:rFonts w:ascii="Times New Roman" w:hAnsi="Times New Roman" w:cs="Times New Roman"/>
          <w:b/>
        </w:rPr>
        <w:t>forest areas only</w:t>
      </w:r>
      <w:r w:rsidRPr="006F2CA5">
        <w:rPr>
          <w:rFonts w:ascii="Times New Roman" w:hAnsi="Times New Roman" w:cs="Times New Roman"/>
        </w:rPr>
        <w:t xml:space="preserve">, such interventions may be linked to result indicator </w:t>
      </w:r>
      <w:r w:rsidRPr="00842078">
        <w:rPr>
          <w:rFonts w:ascii="Times New Roman" w:hAnsi="Times New Roman" w:cs="Times New Roman"/>
          <w:b/>
        </w:rPr>
        <w:t>R.30</w:t>
      </w:r>
      <w:r w:rsidRPr="006F2CA5">
        <w:rPr>
          <w:rFonts w:ascii="Times New Roman" w:hAnsi="Times New Roman" w:cs="Times New Roman"/>
        </w:rPr>
        <w:t xml:space="preserve">, subject to the following: </w:t>
      </w:r>
    </w:p>
    <w:p w14:paraId="2EE9A0F7" w14:textId="77777777" w:rsidR="00FB3F74" w:rsidRPr="006F2CA5" w:rsidRDefault="00FB3F74" w:rsidP="005C5386">
      <w:pPr>
        <w:pStyle w:val="ListParagraph"/>
        <w:numPr>
          <w:ilvl w:val="0"/>
          <w:numId w:val="10"/>
        </w:numPr>
        <w:spacing w:before="120" w:after="240" w:line="264" w:lineRule="auto"/>
        <w:contextualSpacing w:val="0"/>
        <w:jc w:val="both"/>
        <w:rPr>
          <w:rFonts w:ascii="Times New Roman" w:hAnsi="Times New Roman" w:cs="Times New Roman"/>
        </w:rPr>
      </w:pPr>
      <w:r w:rsidRPr="006F2CA5">
        <w:rPr>
          <w:rFonts w:ascii="Times New Roman" w:hAnsi="Times New Roman" w:cs="Times New Roman"/>
        </w:rPr>
        <w:t>no interventions are designed for agricultural areas under natural or other area-specific constraints; and</w:t>
      </w:r>
    </w:p>
    <w:p w14:paraId="53D0F69A" w14:textId="77777777" w:rsidR="00FB3F74" w:rsidRPr="006F2CA5" w:rsidRDefault="00FB3F74" w:rsidP="005C5386">
      <w:pPr>
        <w:pStyle w:val="ListParagraph"/>
        <w:numPr>
          <w:ilvl w:val="0"/>
          <w:numId w:val="10"/>
        </w:numPr>
        <w:spacing w:before="120" w:after="240" w:line="264" w:lineRule="auto"/>
        <w:contextualSpacing w:val="0"/>
        <w:jc w:val="both"/>
        <w:rPr>
          <w:rFonts w:ascii="Times New Roman" w:hAnsi="Times New Roman" w:cs="Times New Roman"/>
        </w:rPr>
      </w:pPr>
      <w:r w:rsidRPr="006F2CA5">
        <w:rPr>
          <w:rFonts w:ascii="Times New Roman" w:hAnsi="Times New Roman" w:cs="Times New Roman"/>
        </w:rPr>
        <w:t xml:space="preserve">Article 22(2) of </w:t>
      </w:r>
      <w:r w:rsidR="00967D02" w:rsidRPr="006F2CA5">
        <w:rPr>
          <w:rFonts w:ascii="Times New Roman" w:hAnsi="Times New Roman" w:cs="Times New Roman"/>
        </w:rPr>
        <w:t>t</w:t>
      </w:r>
      <w:r w:rsidRPr="006F2CA5">
        <w:rPr>
          <w:rFonts w:ascii="Times New Roman" w:hAnsi="Times New Roman" w:cs="Times New Roman"/>
        </w:rPr>
        <w:t xml:space="preserve">he </w:t>
      </w:r>
      <w:r w:rsidR="008A6A84">
        <w:rPr>
          <w:rFonts w:ascii="Times New Roman" w:hAnsi="Times New Roman" w:cs="Times New Roman"/>
        </w:rPr>
        <w:t>SPR</w:t>
      </w:r>
      <w:r w:rsidRPr="006F2CA5">
        <w:rPr>
          <w:rFonts w:ascii="Times New Roman" w:hAnsi="Times New Roman" w:cs="Times New Roman"/>
        </w:rPr>
        <w:t xml:space="preserve"> is not applied in respect of </w:t>
      </w:r>
      <w:r w:rsidR="0072101F">
        <w:rPr>
          <w:rFonts w:ascii="Times New Roman" w:hAnsi="Times New Roman" w:cs="Times New Roman"/>
        </w:rPr>
        <w:t>ANC</w:t>
      </w:r>
      <w:r w:rsidR="0072101F" w:rsidRPr="006F2CA5">
        <w:rPr>
          <w:rFonts w:ascii="Times New Roman" w:hAnsi="Times New Roman" w:cs="Times New Roman"/>
        </w:rPr>
        <w:t xml:space="preserve"> </w:t>
      </w:r>
      <w:r w:rsidR="0072101F">
        <w:rPr>
          <w:rFonts w:ascii="Times New Roman" w:hAnsi="Times New Roman" w:cs="Times New Roman"/>
        </w:rPr>
        <w:t>(as defined in</w:t>
      </w:r>
      <w:r w:rsidRPr="006F2CA5">
        <w:rPr>
          <w:rFonts w:ascii="Times New Roman" w:hAnsi="Times New Roman" w:cs="Times New Roman"/>
        </w:rPr>
        <w:t xml:space="preserve"> Article 32 of Regulation (EU) No 1305/2013</w:t>
      </w:r>
      <w:r w:rsidR="00842078">
        <w:rPr>
          <w:rFonts w:ascii="Times New Roman" w:hAnsi="Times New Roman" w:cs="Times New Roman"/>
        </w:rPr>
        <w:t xml:space="preserve">, i.e. </w:t>
      </w:r>
      <w:r w:rsidR="00240623">
        <w:rPr>
          <w:rFonts w:ascii="Times New Roman" w:hAnsi="Times New Roman" w:cs="Times New Roman"/>
        </w:rPr>
        <w:t>MS</w:t>
      </w:r>
      <w:r w:rsidR="00842078">
        <w:rPr>
          <w:rFonts w:ascii="Times New Roman" w:hAnsi="Times New Roman" w:cs="Times New Roman"/>
        </w:rPr>
        <w:t xml:space="preserve"> do not increase</w:t>
      </w:r>
      <w:r w:rsidRPr="006F2CA5">
        <w:rPr>
          <w:rFonts w:ascii="Times New Roman" w:hAnsi="Times New Roman" w:cs="Times New Roman"/>
        </w:rPr>
        <w:t xml:space="preserve"> the </w:t>
      </w:r>
      <w:r w:rsidR="00842078" w:rsidRPr="00842078">
        <w:rPr>
          <w:rFonts w:ascii="Times New Roman" w:hAnsi="Times New Roman" w:cs="Times New Roman"/>
        </w:rPr>
        <w:t>amount</w:t>
      </w:r>
      <w:r w:rsidRPr="006F2CA5">
        <w:rPr>
          <w:rFonts w:ascii="Times New Roman" w:hAnsi="Times New Roman" w:cs="Times New Roman"/>
        </w:rPr>
        <w:t xml:space="preserve"> of the </w:t>
      </w:r>
      <w:r w:rsidR="00842078" w:rsidRPr="00842078">
        <w:rPr>
          <w:rFonts w:ascii="Times New Roman" w:hAnsi="Times New Roman" w:cs="Times New Roman"/>
        </w:rPr>
        <w:t>basic income support per hectare</w:t>
      </w:r>
      <w:r w:rsidR="00842078">
        <w:rPr>
          <w:rFonts w:ascii="Times New Roman" w:hAnsi="Times New Roman" w:cs="Times New Roman"/>
        </w:rPr>
        <w:t xml:space="preserve"> (</w:t>
      </w:r>
      <w:r w:rsidR="00842078" w:rsidRPr="003B01AB">
        <w:rPr>
          <w:rFonts w:ascii="Times New Roman" w:hAnsi="Times New Roman" w:cs="Times New Roman"/>
          <w:b/>
        </w:rPr>
        <w:t>BISS</w:t>
      </w:r>
      <w:r w:rsidR="00842078">
        <w:rPr>
          <w:rFonts w:ascii="Times New Roman" w:hAnsi="Times New Roman" w:cs="Times New Roman"/>
        </w:rPr>
        <w:t>) granted to farmers in ANC areas.</w:t>
      </w:r>
    </w:p>
    <w:p w14:paraId="129147BE" w14:textId="77777777" w:rsidR="00AC0C00" w:rsidRPr="006F2CA5" w:rsidRDefault="00AC0C00" w:rsidP="00AC0C00">
      <w:pPr>
        <w:pStyle w:val="ListParagraph"/>
        <w:numPr>
          <w:ilvl w:val="0"/>
          <w:numId w:val="9"/>
        </w:numPr>
        <w:spacing w:before="120" w:after="240" w:line="264" w:lineRule="auto"/>
        <w:contextualSpacing w:val="0"/>
        <w:jc w:val="both"/>
        <w:rPr>
          <w:rFonts w:ascii="Times New Roman" w:hAnsi="Times New Roman" w:cs="Times New Roman"/>
        </w:rPr>
      </w:pPr>
      <w:r w:rsidRPr="006F2CA5">
        <w:rPr>
          <w:rFonts w:ascii="Times New Roman" w:hAnsi="Times New Roman" w:cs="Times New Roman"/>
        </w:rPr>
        <w:t xml:space="preserve">The </w:t>
      </w:r>
      <w:r w:rsidRPr="00AC0C00">
        <w:rPr>
          <w:rFonts w:ascii="Times New Roman" w:hAnsi="Times New Roman" w:cs="Times New Roman"/>
          <w:b/>
        </w:rPr>
        <w:t>area-related result indicators</w:t>
      </w:r>
      <w:r w:rsidRPr="006F2CA5">
        <w:rPr>
          <w:rFonts w:ascii="Times New Roman" w:hAnsi="Times New Roman" w:cs="Times New Roman"/>
        </w:rPr>
        <w:t xml:space="preserve"> R.12, R.14, R.19, R.20, R.21, R.22, R.23, R.24, R.29, R.31, R.33 and R.34 only relate to voluntary environmental practices going beyond mandatory requirements paid in hectares under eco-schemes referred to in Article 31 of the </w:t>
      </w:r>
      <w:r>
        <w:rPr>
          <w:rFonts w:ascii="Times New Roman" w:hAnsi="Times New Roman" w:cs="Times New Roman"/>
        </w:rPr>
        <w:t>SPR</w:t>
      </w:r>
      <w:r w:rsidRPr="006F2CA5">
        <w:rPr>
          <w:rFonts w:ascii="Times New Roman" w:hAnsi="Times New Roman" w:cs="Times New Roman"/>
        </w:rPr>
        <w:t xml:space="preserve">, agri-environment-climate commitments referred to in Article 70 of the </w:t>
      </w:r>
      <w:r>
        <w:rPr>
          <w:rFonts w:ascii="Times New Roman" w:hAnsi="Times New Roman" w:cs="Times New Roman"/>
        </w:rPr>
        <w:t>SPR</w:t>
      </w:r>
      <w:r w:rsidRPr="006F2CA5">
        <w:rPr>
          <w:rFonts w:ascii="Times New Roman" w:hAnsi="Times New Roman" w:cs="Times New Roman"/>
        </w:rPr>
        <w:t xml:space="preserve">, as well as relevant interventions in certain sectors referred to in Title III, Chapter III of the </w:t>
      </w:r>
      <w:r>
        <w:rPr>
          <w:rFonts w:ascii="Times New Roman" w:hAnsi="Times New Roman" w:cs="Times New Roman"/>
        </w:rPr>
        <w:t>SPR</w:t>
      </w:r>
      <w:r w:rsidRPr="006F2CA5">
        <w:rPr>
          <w:rFonts w:ascii="Times New Roman" w:hAnsi="Times New Roman" w:cs="Times New Roman"/>
        </w:rPr>
        <w:t xml:space="preserve">. </w:t>
      </w:r>
    </w:p>
    <w:p w14:paraId="6A79F6AC" w14:textId="77777777" w:rsidR="00AC0C00" w:rsidRPr="006F2CA5" w:rsidRDefault="00AC0C00" w:rsidP="00AC0C00">
      <w:pPr>
        <w:pStyle w:val="ListParagraph"/>
        <w:numPr>
          <w:ilvl w:val="0"/>
          <w:numId w:val="9"/>
        </w:numPr>
        <w:spacing w:before="120" w:after="240" w:line="264" w:lineRule="auto"/>
        <w:contextualSpacing w:val="0"/>
        <w:jc w:val="both"/>
        <w:rPr>
          <w:rFonts w:ascii="Times New Roman" w:hAnsi="Times New Roman" w:cs="Times New Roman"/>
        </w:rPr>
      </w:pPr>
      <w:r w:rsidRPr="006F2CA5">
        <w:rPr>
          <w:rFonts w:ascii="Times New Roman" w:hAnsi="Times New Roman" w:cs="Times New Roman"/>
        </w:rPr>
        <w:t>By way of derogation, MS may also link result indicators R.12, R.14, R.19, R.20, R.21, R.22, R.23, R.24, R.29, R.31, R.33 and R.34 to interventions other than those referred to in the previous point, provided that the supported practices go beyond relevant mandatory requirements and contribute significantly and directly to the relevant result indicators.</w:t>
      </w:r>
    </w:p>
    <w:p w14:paraId="63F91C98" w14:textId="7CB3D95A" w:rsidR="00DF31DC" w:rsidRPr="006F2CA5" w:rsidRDefault="00DF31DC" w:rsidP="00DF31DC">
      <w:pPr>
        <w:pStyle w:val="ListParagraph"/>
        <w:numPr>
          <w:ilvl w:val="0"/>
          <w:numId w:val="9"/>
        </w:numPr>
        <w:spacing w:before="120" w:after="240" w:line="264" w:lineRule="auto"/>
        <w:contextualSpacing w:val="0"/>
        <w:jc w:val="both"/>
        <w:rPr>
          <w:rFonts w:ascii="Times New Roman" w:hAnsi="Times New Roman" w:cs="Times New Roman"/>
        </w:rPr>
      </w:pPr>
      <w:r w:rsidRPr="00DF31DC">
        <w:rPr>
          <w:rFonts w:ascii="Times New Roman" w:hAnsi="Times New Roman" w:cs="Times New Roman"/>
        </w:rPr>
        <w:t xml:space="preserve">For area based </w:t>
      </w:r>
      <w:r>
        <w:rPr>
          <w:rFonts w:ascii="Times New Roman" w:hAnsi="Times New Roman" w:cs="Times New Roman"/>
        </w:rPr>
        <w:t>result</w:t>
      </w:r>
      <w:r w:rsidRPr="00DF31DC">
        <w:rPr>
          <w:rFonts w:ascii="Times New Roman" w:hAnsi="Times New Roman" w:cs="Times New Roman"/>
        </w:rPr>
        <w:t xml:space="preserve"> indicators</w:t>
      </w:r>
      <w:r>
        <w:rPr>
          <w:rFonts w:ascii="Times New Roman" w:hAnsi="Times New Roman" w:cs="Times New Roman"/>
        </w:rPr>
        <w:t xml:space="preserve"> R.4, R.6, R.7, R12, R.14, R19, R.20 R.21, R.22, R.23, R.24, R.29, R.30, R.31, R.33 and R.34</w:t>
      </w:r>
      <w:r w:rsidRPr="00DF31DC">
        <w:rPr>
          <w:rFonts w:ascii="Times New Roman" w:hAnsi="Times New Roman" w:cs="Times New Roman"/>
        </w:rPr>
        <w:t xml:space="preserve">, the relevant area determined as eligible for payment after </w:t>
      </w:r>
      <w:r w:rsidRPr="00DF31DC" w:rsidDel="005D7DD3">
        <w:rPr>
          <w:rFonts w:ascii="Times New Roman" w:hAnsi="Times New Roman" w:cs="Times New Roman"/>
        </w:rPr>
        <w:t xml:space="preserve">administrative </w:t>
      </w:r>
      <w:r w:rsidRPr="00DF31DC">
        <w:rPr>
          <w:rFonts w:ascii="Times New Roman" w:hAnsi="Times New Roman" w:cs="Times New Roman"/>
        </w:rPr>
        <w:t xml:space="preserve">controls and </w:t>
      </w:r>
      <w:r w:rsidRPr="00DF31DC">
        <w:rPr>
          <w:rFonts w:ascii="Times New Roman" w:hAnsi="Times New Roman" w:cs="Times New Roman"/>
          <w:b/>
        </w:rPr>
        <w:t>before</w:t>
      </w:r>
      <w:r w:rsidRPr="00DF31DC">
        <w:rPr>
          <w:rFonts w:ascii="Times New Roman" w:hAnsi="Times New Roman" w:cs="Times New Roman"/>
        </w:rPr>
        <w:t xml:space="preserve"> applying limits should be taken into account when calculating </w:t>
      </w:r>
      <w:r>
        <w:rPr>
          <w:rFonts w:ascii="Times New Roman" w:hAnsi="Times New Roman" w:cs="Times New Roman"/>
        </w:rPr>
        <w:t>their values</w:t>
      </w:r>
      <w:r w:rsidRPr="00DF31DC">
        <w:rPr>
          <w:rFonts w:ascii="Times New Roman" w:hAnsi="Times New Roman" w:cs="Times New Roman"/>
        </w:rPr>
        <w:t>. Annex V</w:t>
      </w:r>
      <w:r w:rsidR="00933EC1">
        <w:rPr>
          <w:rFonts w:ascii="Times New Roman" w:hAnsi="Times New Roman" w:cs="Times New Roman"/>
        </w:rPr>
        <w:t>I</w:t>
      </w:r>
      <w:r w:rsidRPr="00DF31DC">
        <w:rPr>
          <w:rFonts w:ascii="Times New Roman" w:hAnsi="Times New Roman" w:cs="Times New Roman"/>
        </w:rPr>
        <w:t xml:space="preserve"> </w:t>
      </w:r>
      <w:r w:rsidR="00353279">
        <w:rPr>
          <w:rFonts w:ascii="Times New Roman" w:hAnsi="Times New Roman" w:cs="Times New Roman"/>
        </w:rPr>
        <w:t xml:space="preserve">to </w:t>
      </w:r>
      <w:r w:rsidR="00D814BA">
        <w:rPr>
          <w:rFonts w:ascii="Times New Roman" w:hAnsi="Times New Roman" w:cs="Times New Roman"/>
        </w:rPr>
        <w:t xml:space="preserve">this cover note </w:t>
      </w:r>
      <w:r>
        <w:rPr>
          <w:rFonts w:ascii="Times New Roman" w:hAnsi="Times New Roman" w:cs="Times New Roman"/>
        </w:rPr>
        <w:t>describes th</w:t>
      </w:r>
      <w:r w:rsidR="00CE5B44">
        <w:rPr>
          <w:rFonts w:ascii="Times New Roman" w:hAnsi="Times New Roman" w:cs="Times New Roman"/>
        </w:rPr>
        <w:t>is</w:t>
      </w:r>
      <w:r w:rsidRPr="00DF31DC">
        <w:rPr>
          <w:rFonts w:ascii="Times New Roman" w:hAnsi="Times New Roman" w:cs="Times New Roman"/>
        </w:rPr>
        <w:t xml:space="preserve"> rule</w:t>
      </w:r>
      <w:r>
        <w:rPr>
          <w:rFonts w:ascii="Times New Roman" w:hAnsi="Times New Roman" w:cs="Times New Roman"/>
        </w:rPr>
        <w:t xml:space="preserve"> in detail.</w:t>
      </w:r>
    </w:p>
    <w:p w14:paraId="66CAD393" w14:textId="072AE066" w:rsidR="0014633C" w:rsidRPr="00933EC1" w:rsidRDefault="0014633C" w:rsidP="007B611E">
      <w:pPr>
        <w:pStyle w:val="ListParagraph"/>
        <w:numPr>
          <w:ilvl w:val="0"/>
          <w:numId w:val="9"/>
        </w:numPr>
        <w:spacing w:before="120" w:after="240" w:line="264" w:lineRule="auto"/>
        <w:contextualSpacing w:val="0"/>
        <w:jc w:val="both"/>
        <w:rPr>
          <w:rFonts w:ascii="Times New Roman" w:hAnsi="Times New Roman" w:cs="Times New Roman"/>
        </w:rPr>
      </w:pPr>
      <w:r w:rsidRPr="009C2BCF">
        <w:rPr>
          <w:rFonts w:ascii="Times New Roman" w:hAnsi="Times New Roman" w:cs="Times New Roman"/>
        </w:rPr>
        <w:t>Result indicator R.43</w:t>
      </w:r>
      <w:r w:rsidR="00D814BA" w:rsidRPr="009C2BCF">
        <w:rPr>
          <w:rFonts w:ascii="Times New Roman" w:hAnsi="Times New Roman" w:cs="Times New Roman"/>
        </w:rPr>
        <w:t>: an</w:t>
      </w:r>
      <w:r w:rsidR="00353279">
        <w:rPr>
          <w:rFonts w:ascii="Times New Roman" w:hAnsi="Times New Roman" w:cs="Times New Roman"/>
        </w:rPr>
        <w:t xml:space="preserve"> </w:t>
      </w:r>
      <w:r w:rsidRPr="009C2BCF">
        <w:rPr>
          <w:rFonts w:ascii="Times New Roman" w:hAnsi="Times New Roman" w:cs="Times New Roman"/>
        </w:rPr>
        <w:t>example on how to calculate th</w:t>
      </w:r>
      <w:r w:rsidR="00D814BA" w:rsidRPr="00D865C2">
        <w:rPr>
          <w:rFonts w:ascii="Times New Roman" w:hAnsi="Times New Roman" w:cs="Times New Roman"/>
        </w:rPr>
        <w:t>is</w:t>
      </w:r>
      <w:r w:rsidRPr="00D865C2">
        <w:rPr>
          <w:rFonts w:ascii="Times New Roman" w:hAnsi="Times New Roman" w:cs="Times New Roman"/>
        </w:rPr>
        <w:t xml:space="preserve"> result indicator</w:t>
      </w:r>
      <w:r w:rsidRPr="00F2562B">
        <w:rPr>
          <w:rFonts w:ascii="Times New Roman" w:hAnsi="Times New Roman" w:cs="Times New Roman"/>
        </w:rPr>
        <w:t xml:space="preserve"> </w:t>
      </w:r>
      <w:r w:rsidR="00D814BA" w:rsidRPr="00F2562B">
        <w:rPr>
          <w:rFonts w:ascii="Times New Roman" w:hAnsi="Times New Roman" w:cs="Times New Roman"/>
        </w:rPr>
        <w:t xml:space="preserve">is </w:t>
      </w:r>
      <w:r w:rsidRPr="00F2562B">
        <w:rPr>
          <w:rFonts w:ascii="Times New Roman" w:hAnsi="Times New Roman" w:cs="Times New Roman"/>
        </w:rPr>
        <w:t xml:space="preserve">provided in </w:t>
      </w:r>
      <w:r w:rsidRPr="00F2562B">
        <w:rPr>
          <w:rFonts w:ascii="Times New Roman" w:hAnsi="Times New Roman" w:cs="Times New Roman"/>
          <w:b/>
        </w:rPr>
        <w:t>Annex</w:t>
      </w:r>
      <w:r w:rsidR="007B611E">
        <w:rPr>
          <w:rFonts w:ascii="Times New Roman" w:hAnsi="Times New Roman" w:cs="Times New Roman"/>
          <w:b/>
        </w:rPr>
        <w:t xml:space="preserve"> </w:t>
      </w:r>
      <w:r w:rsidRPr="00933EC1">
        <w:rPr>
          <w:rFonts w:ascii="Times New Roman" w:hAnsi="Times New Roman" w:cs="Times New Roman"/>
          <w:b/>
        </w:rPr>
        <w:t>X</w:t>
      </w:r>
      <w:r w:rsidR="00353279" w:rsidRPr="00933EC1">
        <w:rPr>
          <w:rFonts w:ascii="Times New Roman" w:hAnsi="Times New Roman" w:cs="Times New Roman"/>
          <w:b/>
        </w:rPr>
        <w:t xml:space="preserve"> to this cover note</w:t>
      </w:r>
      <w:r w:rsidRPr="00933EC1">
        <w:rPr>
          <w:rFonts w:ascii="Times New Roman" w:hAnsi="Times New Roman" w:cs="Times New Roman"/>
        </w:rPr>
        <w:t>.</w:t>
      </w:r>
    </w:p>
    <w:p w14:paraId="0E239EE0" w14:textId="70B9211B" w:rsidR="004313BC" w:rsidRPr="006F2CA5" w:rsidRDefault="004313BC" w:rsidP="00A82615">
      <w:pPr>
        <w:pStyle w:val="Heading3"/>
        <w:spacing w:before="120" w:after="240" w:line="264" w:lineRule="auto"/>
        <w:rPr>
          <w:rFonts w:ascii="Times New Roman" w:eastAsia="Times New Roman" w:hAnsi="Times New Roman" w:cs="Times New Roman"/>
          <w:color w:val="C45911" w:themeColor="accent2" w:themeShade="BF"/>
          <w:lang w:eastAsia="en-GB"/>
        </w:rPr>
      </w:pPr>
      <w:bookmarkStart w:id="35" w:name="_Toc126762222"/>
      <w:r w:rsidRPr="006F2CA5">
        <w:rPr>
          <w:rFonts w:ascii="Times New Roman" w:eastAsia="Times New Roman" w:hAnsi="Times New Roman" w:cs="Times New Roman"/>
          <w:color w:val="C45911" w:themeColor="accent2" w:themeShade="BF"/>
          <w:lang w:eastAsia="en-GB"/>
        </w:rPr>
        <w:lastRenderedPageBreak/>
        <w:t>Rules to avoid double counting</w:t>
      </w:r>
      <w:r w:rsidRPr="006F2CA5">
        <w:rPr>
          <w:rFonts w:ascii="Times New Roman" w:hAnsi="Times New Roman" w:cs="Times New Roman"/>
          <w:color w:val="C45911" w:themeColor="accent2" w:themeShade="BF"/>
        </w:rPr>
        <w:t xml:space="preserve"> </w:t>
      </w:r>
      <w:r w:rsidRPr="006F2CA5">
        <w:rPr>
          <w:rFonts w:ascii="Times New Roman" w:eastAsia="Times New Roman" w:hAnsi="Times New Roman" w:cs="Times New Roman"/>
          <w:color w:val="C45911" w:themeColor="accent2" w:themeShade="BF"/>
          <w:lang w:eastAsia="en-GB"/>
        </w:rPr>
        <w:t>in result indicators</w:t>
      </w:r>
      <w:bookmarkEnd w:id="35"/>
    </w:p>
    <w:p w14:paraId="07929D25" w14:textId="77777777" w:rsidR="004313BC" w:rsidRPr="004313BC" w:rsidRDefault="004313BC" w:rsidP="00A82615">
      <w:pPr>
        <w:spacing w:before="120" w:after="240" w:line="264" w:lineRule="auto"/>
        <w:rPr>
          <w:rFonts w:ascii="Times New Roman" w:eastAsia="Times New Roman" w:hAnsi="Times New Roman" w:cs="Times New Roman"/>
          <w:lang w:eastAsia="en-GB"/>
        </w:rPr>
      </w:pPr>
      <w:r w:rsidRPr="004313BC">
        <w:rPr>
          <w:rFonts w:ascii="Times New Roman" w:eastAsia="Times New Roman" w:hAnsi="Times New Roman" w:cs="Times New Roman"/>
          <w:lang w:eastAsia="en-GB"/>
        </w:rPr>
        <w:t>In order to calculate result indicators without double counting, the following sh</w:t>
      </w:r>
      <w:r w:rsidR="00353279">
        <w:rPr>
          <w:rFonts w:ascii="Times New Roman" w:eastAsia="Times New Roman" w:hAnsi="Times New Roman" w:cs="Times New Roman"/>
          <w:lang w:eastAsia="en-GB"/>
        </w:rPr>
        <w:t>ould</w:t>
      </w:r>
      <w:r w:rsidRPr="004313BC">
        <w:rPr>
          <w:rFonts w:ascii="Times New Roman" w:eastAsia="Times New Roman" w:hAnsi="Times New Roman" w:cs="Times New Roman"/>
          <w:lang w:eastAsia="en-GB"/>
        </w:rPr>
        <w:t xml:space="preserve"> apply:</w:t>
      </w:r>
    </w:p>
    <w:p w14:paraId="1EA33689" w14:textId="77777777" w:rsidR="004313BC" w:rsidRPr="004313BC" w:rsidRDefault="004313BC" w:rsidP="005C5386">
      <w:pPr>
        <w:numPr>
          <w:ilvl w:val="0"/>
          <w:numId w:val="8"/>
        </w:numPr>
        <w:spacing w:before="120" w:after="240" w:line="264" w:lineRule="auto"/>
        <w:ind w:left="851" w:hanging="284"/>
        <w:jc w:val="both"/>
        <w:rPr>
          <w:rFonts w:ascii="Times New Roman" w:eastAsia="Times New Roman" w:hAnsi="Times New Roman" w:cs="Times New Roman"/>
        </w:rPr>
      </w:pPr>
      <w:r w:rsidRPr="004313BC">
        <w:rPr>
          <w:rFonts w:ascii="Times New Roman" w:eastAsia="Times New Roman" w:hAnsi="Times New Roman" w:cs="Times New Roman"/>
        </w:rPr>
        <w:t>where a unit that contributes to the quantification of a result indicator is covered by several interventions, or several operations within the same intervention, which are linked to the same result indicator, this unit sh</w:t>
      </w:r>
      <w:r w:rsidR="007753EC">
        <w:rPr>
          <w:rFonts w:ascii="Times New Roman" w:eastAsia="Times New Roman" w:hAnsi="Times New Roman" w:cs="Times New Roman"/>
        </w:rPr>
        <w:t>ould</w:t>
      </w:r>
      <w:r w:rsidRPr="004313BC">
        <w:rPr>
          <w:rFonts w:ascii="Times New Roman" w:eastAsia="Times New Roman" w:hAnsi="Times New Roman" w:cs="Times New Roman"/>
        </w:rPr>
        <w:t xml:space="preserve"> only be counted once in the quantification of that result indicator;</w:t>
      </w:r>
    </w:p>
    <w:p w14:paraId="766FF20B" w14:textId="77777777" w:rsidR="004313BC" w:rsidRPr="004313BC" w:rsidRDefault="004313BC" w:rsidP="005C5386">
      <w:pPr>
        <w:numPr>
          <w:ilvl w:val="0"/>
          <w:numId w:val="8"/>
        </w:numPr>
        <w:spacing w:before="120" w:after="240" w:line="264" w:lineRule="auto"/>
        <w:ind w:left="851" w:hanging="284"/>
        <w:jc w:val="both"/>
        <w:rPr>
          <w:rFonts w:ascii="Times New Roman" w:eastAsia="Times New Roman" w:hAnsi="Times New Roman" w:cs="Times New Roman"/>
        </w:rPr>
      </w:pPr>
      <w:r w:rsidRPr="004313BC">
        <w:rPr>
          <w:rFonts w:ascii="Times New Roman" w:eastAsia="Times New Roman" w:hAnsi="Times New Roman" w:cs="Times New Roman"/>
        </w:rPr>
        <w:t xml:space="preserve">result indicators relating to </w:t>
      </w:r>
      <w:r w:rsidR="001A319C">
        <w:rPr>
          <w:rFonts w:ascii="Times New Roman" w:eastAsia="Times New Roman" w:hAnsi="Times New Roman" w:cs="Times New Roman"/>
        </w:rPr>
        <w:t xml:space="preserve">IACS </w:t>
      </w:r>
      <w:r w:rsidRPr="004313BC">
        <w:rPr>
          <w:rFonts w:ascii="Times New Roman" w:eastAsia="Times New Roman" w:hAnsi="Times New Roman" w:cs="Times New Roman"/>
        </w:rPr>
        <w:t>intervention</w:t>
      </w:r>
      <w:r w:rsidR="001A319C">
        <w:rPr>
          <w:rFonts w:ascii="Times New Roman" w:eastAsia="Times New Roman" w:hAnsi="Times New Roman" w:cs="Times New Roman"/>
        </w:rPr>
        <w:t>s</w:t>
      </w:r>
      <w:r w:rsidRPr="004313BC">
        <w:rPr>
          <w:rFonts w:ascii="Times New Roman" w:eastAsia="Times New Roman" w:hAnsi="Times New Roman" w:cs="Times New Roman"/>
        </w:rPr>
        <w:t xml:space="preserve"> and reported in the </w:t>
      </w:r>
      <w:r w:rsidRPr="006F2CA5">
        <w:rPr>
          <w:rFonts w:ascii="Times New Roman" w:eastAsia="Times New Roman" w:hAnsi="Times New Roman" w:cs="Times New Roman"/>
        </w:rPr>
        <w:t>APR</w:t>
      </w:r>
      <w:r w:rsidRPr="004313BC">
        <w:rPr>
          <w:rFonts w:ascii="Times New Roman" w:eastAsia="Times New Roman" w:hAnsi="Times New Roman" w:cs="Times New Roman"/>
        </w:rPr>
        <w:t xml:space="preserve"> for the agricultural financial year N-1 sh</w:t>
      </w:r>
      <w:r w:rsidR="007753EC">
        <w:rPr>
          <w:rFonts w:ascii="Times New Roman" w:eastAsia="Times New Roman" w:hAnsi="Times New Roman" w:cs="Times New Roman"/>
        </w:rPr>
        <w:t>ould</w:t>
      </w:r>
      <w:r w:rsidRPr="004313BC">
        <w:rPr>
          <w:rFonts w:ascii="Times New Roman" w:eastAsia="Times New Roman" w:hAnsi="Times New Roman" w:cs="Times New Roman"/>
        </w:rPr>
        <w:t xml:space="preserve"> include the number of units that have received partial or full payment in agricultural financial year N-1 in relation to interventions claimed in year N-2;</w:t>
      </w:r>
    </w:p>
    <w:p w14:paraId="3FA58CC1" w14:textId="77777777" w:rsidR="004313BC" w:rsidRPr="004313BC" w:rsidRDefault="004313BC" w:rsidP="005C5386">
      <w:pPr>
        <w:numPr>
          <w:ilvl w:val="0"/>
          <w:numId w:val="8"/>
        </w:numPr>
        <w:spacing w:before="120" w:after="240" w:line="264" w:lineRule="auto"/>
        <w:ind w:left="851" w:hanging="284"/>
        <w:jc w:val="both"/>
        <w:rPr>
          <w:rFonts w:ascii="Times New Roman" w:eastAsia="Times New Roman" w:hAnsi="Times New Roman" w:cs="Times New Roman"/>
        </w:rPr>
      </w:pPr>
      <w:r w:rsidRPr="004313BC">
        <w:rPr>
          <w:rFonts w:ascii="Times New Roman" w:eastAsia="Times New Roman" w:hAnsi="Times New Roman" w:cs="Times New Roman"/>
        </w:rPr>
        <w:t xml:space="preserve">where payment entitlements or maximum thresholds are applied, </w:t>
      </w:r>
      <w:r w:rsidRPr="006F2CA5">
        <w:rPr>
          <w:rFonts w:ascii="Times New Roman" w:eastAsia="Times New Roman" w:hAnsi="Times New Roman" w:cs="Times New Roman"/>
        </w:rPr>
        <w:t>MS</w:t>
      </w:r>
      <w:r w:rsidRPr="004313BC">
        <w:rPr>
          <w:rFonts w:ascii="Times New Roman" w:eastAsia="Times New Roman" w:hAnsi="Times New Roman" w:cs="Times New Roman"/>
        </w:rPr>
        <w:t xml:space="preserve"> sh</w:t>
      </w:r>
      <w:r w:rsidR="007753EC">
        <w:rPr>
          <w:rFonts w:ascii="Times New Roman" w:eastAsia="Times New Roman" w:hAnsi="Times New Roman" w:cs="Times New Roman"/>
        </w:rPr>
        <w:t>ould</w:t>
      </w:r>
      <w:r w:rsidRPr="004313BC">
        <w:rPr>
          <w:rFonts w:ascii="Times New Roman" w:eastAsia="Times New Roman" w:hAnsi="Times New Roman" w:cs="Times New Roman"/>
        </w:rPr>
        <w:t xml:space="preserve"> report the relevant area determined as eligible for payment after administrative controls and before applying limits under the relevant result indicators;</w:t>
      </w:r>
    </w:p>
    <w:p w14:paraId="4D158C39" w14:textId="111C127A" w:rsidR="004313BC" w:rsidRPr="004313BC" w:rsidRDefault="004313BC" w:rsidP="005C5386">
      <w:pPr>
        <w:numPr>
          <w:ilvl w:val="0"/>
          <w:numId w:val="8"/>
        </w:numPr>
        <w:spacing w:before="120" w:after="240" w:line="264" w:lineRule="auto"/>
        <w:ind w:left="851" w:hanging="284"/>
        <w:jc w:val="both"/>
        <w:rPr>
          <w:rFonts w:ascii="Times New Roman" w:eastAsia="Times New Roman" w:hAnsi="Times New Roman" w:cs="Times New Roman"/>
        </w:rPr>
      </w:pPr>
      <w:r w:rsidRPr="004313BC">
        <w:rPr>
          <w:rFonts w:ascii="Times New Roman" w:eastAsia="Times New Roman" w:hAnsi="Times New Roman" w:cs="Times New Roman"/>
        </w:rPr>
        <w:t>by way of derogation from point (</w:t>
      </w:r>
      <w:r w:rsidR="00637B79">
        <w:rPr>
          <w:rFonts w:ascii="Times New Roman" w:eastAsia="Times New Roman" w:hAnsi="Times New Roman" w:cs="Times New Roman"/>
        </w:rPr>
        <w:t>i</w:t>
      </w:r>
      <w:r w:rsidRPr="004313BC">
        <w:rPr>
          <w:rFonts w:ascii="Times New Roman" w:eastAsia="Times New Roman" w:hAnsi="Times New Roman" w:cs="Times New Roman"/>
        </w:rPr>
        <w:t>), double counting may be accepted for result indicators R.1, R.2, R.3</w:t>
      </w:r>
      <w:r w:rsidRPr="004313BC">
        <w:rPr>
          <w:rFonts w:ascii="Times New Roman" w:eastAsia="Times New Roman" w:hAnsi="Times New Roman" w:cs="Times New Roman"/>
          <w:sz w:val="24"/>
          <w:szCs w:val="24"/>
        </w:rPr>
        <w:t xml:space="preserve">, </w:t>
      </w:r>
      <w:r w:rsidRPr="004313BC">
        <w:rPr>
          <w:rFonts w:ascii="Times New Roman" w:eastAsia="Times New Roman" w:hAnsi="Times New Roman" w:cs="Times New Roman"/>
        </w:rPr>
        <w:t>R.10</w:t>
      </w:r>
      <w:r w:rsidR="001A319C">
        <w:rPr>
          <w:rFonts w:ascii="Times New Roman" w:eastAsia="Times New Roman" w:hAnsi="Times New Roman" w:cs="Times New Roman"/>
        </w:rPr>
        <w:t>,</w:t>
      </w:r>
      <w:r w:rsidRPr="004313BC">
        <w:rPr>
          <w:rFonts w:ascii="Times New Roman" w:eastAsia="Times New Roman" w:hAnsi="Times New Roman" w:cs="Times New Roman"/>
        </w:rPr>
        <w:t xml:space="preserve"> and R.28.</w:t>
      </w:r>
    </w:p>
    <w:p w14:paraId="4EB144D1" w14:textId="099C0909" w:rsidR="004313BC" w:rsidRPr="006F2CA5" w:rsidRDefault="004313BC" w:rsidP="00A82615">
      <w:pPr>
        <w:pStyle w:val="Heading2"/>
        <w:spacing w:before="120" w:after="240" w:line="264" w:lineRule="auto"/>
        <w:rPr>
          <w:rFonts w:ascii="Times New Roman" w:eastAsia="Times New Roman" w:hAnsi="Times New Roman" w:cs="Times New Roman"/>
          <w:color w:val="C45911" w:themeColor="accent2" w:themeShade="BF"/>
          <w:lang w:eastAsia="en-GB"/>
        </w:rPr>
      </w:pPr>
      <w:bookmarkStart w:id="36" w:name="_Toc126762223"/>
      <w:r w:rsidRPr="006F2CA5">
        <w:rPr>
          <w:rFonts w:ascii="Times New Roman" w:eastAsia="Times New Roman" w:hAnsi="Times New Roman" w:cs="Times New Roman"/>
          <w:color w:val="C45911" w:themeColor="accent2" w:themeShade="BF"/>
          <w:lang w:eastAsia="en-GB"/>
        </w:rPr>
        <w:t>Denominators of result indicators</w:t>
      </w:r>
      <w:bookmarkEnd w:id="36"/>
    </w:p>
    <w:p w14:paraId="01A9E52A" w14:textId="77777777" w:rsidR="00F150DA" w:rsidRPr="006F2CA5" w:rsidRDefault="00265A53" w:rsidP="00A82615">
      <w:pPr>
        <w:spacing w:before="120" w:after="240" w:line="264" w:lineRule="auto"/>
        <w:jc w:val="both"/>
        <w:rPr>
          <w:rFonts w:ascii="Times New Roman" w:eastAsia="Times New Roman" w:hAnsi="Times New Roman" w:cs="Times New Roman"/>
          <w:szCs w:val="24"/>
        </w:rPr>
      </w:pPr>
      <w:r>
        <w:rPr>
          <w:rFonts w:ascii="Times New Roman" w:eastAsia="Times New Roman" w:hAnsi="Times New Roman" w:cs="Times New Roman"/>
          <w:szCs w:val="24"/>
        </w:rPr>
        <w:t>T</w:t>
      </w:r>
      <w:r w:rsidR="004313BC" w:rsidRPr="004313BC">
        <w:rPr>
          <w:rFonts w:ascii="Times New Roman" w:eastAsia="Times New Roman" w:hAnsi="Times New Roman" w:cs="Times New Roman"/>
          <w:szCs w:val="24"/>
        </w:rPr>
        <w:t>he values of the context indicators that are used as denominators of result indicators sh</w:t>
      </w:r>
      <w:r w:rsidR="00353279">
        <w:rPr>
          <w:rFonts w:ascii="Times New Roman" w:eastAsia="Times New Roman" w:hAnsi="Times New Roman" w:cs="Times New Roman"/>
          <w:szCs w:val="24"/>
        </w:rPr>
        <w:t>ould</w:t>
      </w:r>
      <w:r w:rsidR="004313BC" w:rsidRPr="004313BC">
        <w:rPr>
          <w:rFonts w:ascii="Times New Roman" w:eastAsia="Times New Roman" w:hAnsi="Times New Roman" w:cs="Times New Roman"/>
          <w:szCs w:val="24"/>
        </w:rPr>
        <w:t xml:space="preserve"> be fixed for the entire </w:t>
      </w:r>
      <w:r w:rsidR="00731331">
        <w:rPr>
          <w:rFonts w:ascii="Times New Roman" w:eastAsia="Times New Roman" w:hAnsi="Times New Roman" w:cs="Times New Roman"/>
          <w:szCs w:val="24"/>
        </w:rPr>
        <w:t>CAP strategic plan</w:t>
      </w:r>
      <w:r w:rsidR="004313BC" w:rsidRPr="004313BC">
        <w:rPr>
          <w:rFonts w:ascii="Times New Roman" w:eastAsia="Times New Roman" w:hAnsi="Times New Roman" w:cs="Times New Roman"/>
          <w:szCs w:val="24"/>
        </w:rPr>
        <w:t xml:space="preserve"> period. If duly justified, </w:t>
      </w:r>
      <w:r w:rsidR="004313BC" w:rsidRPr="006F2CA5">
        <w:rPr>
          <w:rFonts w:ascii="Times New Roman" w:eastAsia="Times New Roman" w:hAnsi="Times New Roman" w:cs="Times New Roman"/>
          <w:szCs w:val="24"/>
        </w:rPr>
        <w:t>MS</w:t>
      </w:r>
      <w:r w:rsidR="004313BC" w:rsidRPr="004313BC">
        <w:rPr>
          <w:rFonts w:ascii="Times New Roman" w:eastAsia="Times New Roman" w:hAnsi="Times New Roman" w:cs="Times New Roman"/>
          <w:szCs w:val="24"/>
        </w:rPr>
        <w:t xml:space="preserve"> may update these values as part of a </w:t>
      </w:r>
      <w:r w:rsidR="00731331">
        <w:rPr>
          <w:rFonts w:ascii="Times New Roman" w:eastAsia="Times New Roman" w:hAnsi="Times New Roman" w:cs="Times New Roman"/>
          <w:szCs w:val="24"/>
        </w:rPr>
        <w:t>CAP strategic plan</w:t>
      </w:r>
      <w:r w:rsidR="004313BC" w:rsidRPr="004313BC">
        <w:rPr>
          <w:rFonts w:ascii="Times New Roman" w:eastAsia="Times New Roman" w:hAnsi="Times New Roman" w:cs="Times New Roman"/>
          <w:szCs w:val="24"/>
        </w:rPr>
        <w:t xml:space="preserve"> amendment in accordance with Article 119 of </w:t>
      </w:r>
      <w:r w:rsidR="00967D02" w:rsidRPr="006F2CA5">
        <w:rPr>
          <w:rFonts w:ascii="Times New Roman" w:eastAsia="Times New Roman" w:hAnsi="Times New Roman" w:cs="Times New Roman"/>
          <w:szCs w:val="24"/>
        </w:rPr>
        <w:t>t</w:t>
      </w:r>
      <w:r w:rsidR="00CC392C" w:rsidRPr="006F2CA5">
        <w:rPr>
          <w:rFonts w:ascii="Times New Roman" w:eastAsia="Times New Roman" w:hAnsi="Times New Roman" w:cs="Times New Roman"/>
          <w:szCs w:val="24"/>
        </w:rPr>
        <w:t xml:space="preserve">he </w:t>
      </w:r>
      <w:r w:rsidR="008A6A84">
        <w:rPr>
          <w:rFonts w:ascii="Times New Roman" w:eastAsia="Times New Roman" w:hAnsi="Times New Roman" w:cs="Times New Roman"/>
          <w:szCs w:val="24"/>
        </w:rPr>
        <w:t>SPR</w:t>
      </w:r>
      <w:r w:rsidR="00F150DA" w:rsidRPr="004313BC">
        <w:rPr>
          <w:rFonts w:ascii="Times New Roman" w:eastAsia="Times New Roman" w:hAnsi="Times New Roman" w:cs="Times New Roman"/>
          <w:szCs w:val="24"/>
        </w:rPr>
        <w:t>.</w:t>
      </w:r>
      <w:r w:rsidR="00F150DA" w:rsidRPr="006F2CA5">
        <w:rPr>
          <w:rFonts w:ascii="Times New Roman" w:eastAsia="Times New Roman" w:hAnsi="Times New Roman" w:cs="Times New Roman"/>
          <w:szCs w:val="24"/>
        </w:rPr>
        <w:t xml:space="preserve"> </w:t>
      </w:r>
    </w:p>
    <w:p w14:paraId="6DC92A90" w14:textId="77777777" w:rsidR="00964960" w:rsidRPr="006F2CA5" w:rsidRDefault="00964960" w:rsidP="00964960">
      <w:pPr>
        <w:spacing w:before="120" w:after="120" w:line="264" w:lineRule="auto"/>
        <w:jc w:val="both"/>
        <w:rPr>
          <w:rFonts w:ascii="Times New Roman" w:eastAsia="Times New Roman" w:hAnsi="Times New Roman" w:cs="Times New Roman"/>
          <w:szCs w:val="24"/>
        </w:rPr>
      </w:pPr>
      <w:r w:rsidRPr="006F2CA5">
        <w:rPr>
          <w:rFonts w:ascii="Times New Roman" w:eastAsia="Times New Roman" w:hAnsi="Times New Roman" w:cs="Times New Roman"/>
          <w:szCs w:val="24"/>
        </w:rPr>
        <w:t xml:space="preserve">There are three exceptions to this rule: </w:t>
      </w:r>
    </w:p>
    <w:p w14:paraId="5972B9E4" w14:textId="77777777" w:rsidR="00964960" w:rsidRPr="006F2CA5" w:rsidRDefault="00964960" w:rsidP="00964960">
      <w:pPr>
        <w:pStyle w:val="ListParagraph"/>
        <w:numPr>
          <w:ilvl w:val="0"/>
          <w:numId w:val="11"/>
        </w:numPr>
        <w:spacing w:before="120" w:after="240" w:line="264" w:lineRule="auto"/>
        <w:contextualSpacing w:val="0"/>
        <w:jc w:val="both"/>
        <w:rPr>
          <w:rFonts w:ascii="Times New Roman" w:eastAsia="Times New Roman" w:hAnsi="Times New Roman" w:cs="Times New Roman"/>
          <w:szCs w:val="24"/>
        </w:rPr>
      </w:pPr>
      <w:r w:rsidRPr="006F2CA5">
        <w:rPr>
          <w:rFonts w:ascii="Times New Roman" w:eastAsia="Times New Roman" w:hAnsi="Times New Roman" w:cs="Times New Roman"/>
          <w:szCs w:val="24"/>
        </w:rPr>
        <w:t>R.11 (Concentration of supply), where the values in the denominator (production value) should be adapted on a yearly basis in order to reduce the effect of price volatility on the indicator.</w:t>
      </w:r>
    </w:p>
    <w:p w14:paraId="215254A5" w14:textId="77777777" w:rsidR="00964960" w:rsidRPr="006F2CA5" w:rsidRDefault="00964960" w:rsidP="00964960">
      <w:pPr>
        <w:pStyle w:val="ListParagraph"/>
        <w:numPr>
          <w:ilvl w:val="0"/>
          <w:numId w:val="11"/>
        </w:numPr>
        <w:spacing w:before="120" w:after="240" w:line="264" w:lineRule="auto"/>
        <w:contextualSpacing w:val="0"/>
        <w:jc w:val="both"/>
        <w:rPr>
          <w:rFonts w:ascii="Times New Roman" w:eastAsia="Times New Roman" w:hAnsi="Times New Roman" w:cs="Times New Roman"/>
          <w:szCs w:val="24"/>
        </w:rPr>
      </w:pPr>
      <w:r w:rsidRPr="006F2CA5">
        <w:rPr>
          <w:rFonts w:ascii="Times New Roman" w:eastAsia="Times New Roman" w:hAnsi="Times New Roman" w:cs="Times New Roman"/>
          <w:szCs w:val="24"/>
        </w:rPr>
        <w:t>R.6 (Redistribution to smaller farmers) and R.7 (Enhancing support to farms in areas with specific needs), for which the denominator is updated each FY.</w:t>
      </w:r>
    </w:p>
    <w:p w14:paraId="6E85F83C" w14:textId="77777777" w:rsidR="00F150DA" w:rsidRPr="006F2CA5" w:rsidRDefault="00F150DA" w:rsidP="00A82615">
      <w:pPr>
        <w:spacing w:before="120" w:after="240" w:line="264" w:lineRule="auto"/>
        <w:jc w:val="both"/>
        <w:rPr>
          <w:rFonts w:ascii="Times New Roman" w:eastAsia="Times New Roman" w:hAnsi="Times New Roman" w:cs="Times New Roman"/>
          <w:szCs w:val="24"/>
        </w:rPr>
      </w:pPr>
      <w:r w:rsidRPr="006F2CA5">
        <w:rPr>
          <w:rFonts w:ascii="Times New Roman" w:eastAsia="Times New Roman" w:hAnsi="Times New Roman" w:cs="Times New Roman"/>
          <w:szCs w:val="24"/>
        </w:rPr>
        <w:t>These initial context indicator/denominator values sh</w:t>
      </w:r>
      <w:r w:rsidR="007753EC">
        <w:rPr>
          <w:rFonts w:ascii="Times New Roman" w:eastAsia="Times New Roman" w:hAnsi="Times New Roman" w:cs="Times New Roman"/>
          <w:szCs w:val="24"/>
        </w:rPr>
        <w:t>ould</w:t>
      </w:r>
      <w:r w:rsidRPr="006F2CA5">
        <w:rPr>
          <w:rFonts w:ascii="Times New Roman" w:eastAsia="Times New Roman" w:hAnsi="Times New Roman" w:cs="Times New Roman"/>
          <w:szCs w:val="24"/>
        </w:rPr>
        <w:t xml:space="preserve"> be included in the </w:t>
      </w:r>
      <w:r w:rsidR="00731331">
        <w:rPr>
          <w:rFonts w:ascii="Times New Roman" w:eastAsia="Times New Roman" w:hAnsi="Times New Roman" w:cs="Times New Roman"/>
          <w:szCs w:val="24"/>
        </w:rPr>
        <w:t>CAP strategic plan</w:t>
      </w:r>
      <w:r w:rsidRPr="006F2CA5">
        <w:rPr>
          <w:rFonts w:ascii="Times New Roman" w:eastAsia="Times New Roman" w:hAnsi="Times New Roman" w:cs="Times New Roman"/>
          <w:szCs w:val="24"/>
        </w:rPr>
        <w:t xml:space="preserve"> and should notably be used for the target setting. They will be automatically filled in the Plan based on the late</w:t>
      </w:r>
      <w:r w:rsidR="006F2CA5" w:rsidRPr="006F2CA5">
        <w:rPr>
          <w:rFonts w:ascii="Times New Roman" w:eastAsia="Times New Roman" w:hAnsi="Times New Roman" w:cs="Times New Roman"/>
          <w:szCs w:val="24"/>
        </w:rPr>
        <w:t>st published context indicators</w:t>
      </w:r>
      <w:r w:rsidRPr="006F2CA5">
        <w:rPr>
          <w:rFonts w:ascii="Times New Roman" w:eastAsia="Times New Roman" w:hAnsi="Times New Roman" w:cs="Times New Roman"/>
          <w:szCs w:val="24"/>
        </w:rPr>
        <w:t xml:space="preserve">. MS have the possibility to update these values. Once fixed in the Plan, the values will be annually used and thus automatically filled in the APR. </w:t>
      </w:r>
    </w:p>
    <w:p w14:paraId="2490FBC7" w14:textId="7CFD8139" w:rsidR="00F150DA" w:rsidRPr="006F2CA5" w:rsidRDefault="00F150DA" w:rsidP="00A82615">
      <w:pPr>
        <w:spacing w:before="120" w:after="240" w:line="264" w:lineRule="auto"/>
        <w:jc w:val="both"/>
        <w:rPr>
          <w:rFonts w:ascii="Times New Roman" w:eastAsia="Times New Roman" w:hAnsi="Times New Roman" w:cs="Times New Roman"/>
          <w:szCs w:val="24"/>
        </w:rPr>
      </w:pPr>
      <w:r w:rsidRPr="006F2CA5">
        <w:rPr>
          <w:rFonts w:ascii="Times New Roman" w:eastAsia="Times New Roman" w:hAnsi="Times New Roman" w:cs="Times New Roman"/>
          <w:szCs w:val="24"/>
        </w:rPr>
        <w:t>When the numerator refers to the number of ‘farmers’ granted support, the number of farms collected by Eurostat in the Integrated Farm Statistics surveys should be used</w:t>
      </w:r>
      <w:r w:rsidR="00F23FDA" w:rsidRPr="00F23FDA">
        <w:rPr>
          <w:rFonts w:ascii="Times New Roman" w:eastAsia="Times New Roman" w:hAnsi="Times New Roman" w:cs="Times New Roman"/>
          <w:szCs w:val="24"/>
        </w:rPr>
        <w:t xml:space="preserve"> </w:t>
      </w:r>
      <w:r w:rsidR="00F23FDA" w:rsidRPr="006F2CA5">
        <w:rPr>
          <w:rFonts w:ascii="Times New Roman" w:eastAsia="Times New Roman" w:hAnsi="Times New Roman" w:cs="Times New Roman"/>
          <w:szCs w:val="24"/>
        </w:rPr>
        <w:t>for the denominator</w:t>
      </w:r>
      <w:r w:rsidRPr="006F2CA5">
        <w:rPr>
          <w:rFonts w:ascii="Times New Roman" w:eastAsia="Times New Roman" w:hAnsi="Times New Roman" w:cs="Times New Roman"/>
          <w:szCs w:val="24"/>
        </w:rPr>
        <w:t>, as the definition of ‘farmer’ in the SP</w:t>
      </w:r>
      <w:r w:rsidR="00F23FDA">
        <w:rPr>
          <w:rFonts w:ascii="Times New Roman" w:eastAsia="Times New Roman" w:hAnsi="Times New Roman" w:cs="Times New Roman"/>
          <w:szCs w:val="24"/>
        </w:rPr>
        <w:t>R</w:t>
      </w:r>
      <w:r w:rsidRPr="006F2CA5">
        <w:rPr>
          <w:rFonts w:ascii="Times New Roman" w:eastAsia="Times New Roman" w:hAnsi="Times New Roman" w:cs="Times New Roman"/>
          <w:szCs w:val="24"/>
        </w:rPr>
        <w:t xml:space="preserve"> Regulation approaches most closely the definition of ‘farm’ in Eurostat: </w:t>
      </w:r>
    </w:p>
    <w:p w14:paraId="6917BD02" w14:textId="77777777" w:rsidR="00F150DA" w:rsidRPr="00265A53" w:rsidRDefault="00CC392C" w:rsidP="005C5386">
      <w:pPr>
        <w:pStyle w:val="ListParagraph"/>
        <w:numPr>
          <w:ilvl w:val="0"/>
          <w:numId w:val="13"/>
        </w:numPr>
        <w:spacing w:before="120" w:after="240" w:line="264" w:lineRule="auto"/>
        <w:jc w:val="both"/>
        <w:rPr>
          <w:rFonts w:ascii="Times New Roman" w:eastAsia="Times New Roman" w:hAnsi="Times New Roman" w:cs="Times New Roman"/>
          <w:szCs w:val="24"/>
        </w:rPr>
      </w:pPr>
      <w:r w:rsidRPr="00265A53">
        <w:rPr>
          <w:rFonts w:ascii="Times New Roman" w:eastAsia="Times New Roman" w:hAnsi="Times New Roman" w:cs="Times New Roman"/>
          <w:szCs w:val="24"/>
        </w:rPr>
        <w:t xml:space="preserve">In the </w:t>
      </w:r>
      <w:r w:rsidR="008A6A84">
        <w:rPr>
          <w:rFonts w:ascii="Times New Roman" w:eastAsia="Times New Roman" w:hAnsi="Times New Roman" w:cs="Times New Roman"/>
          <w:szCs w:val="24"/>
        </w:rPr>
        <w:t>SPR</w:t>
      </w:r>
      <w:r w:rsidR="00F150DA" w:rsidRPr="00265A53">
        <w:rPr>
          <w:rFonts w:ascii="Times New Roman" w:eastAsia="Times New Roman" w:hAnsi="Times New Roman" w:cs="Times New Roman"/>
          <w:szCs w:val="24"/>
        </w:rPr>
        <w:t xml:space="preserve"> ‘farmer’ </w:t>
      </w:r>
      <w:r w:rsidRPr="00265A53">
        <w:rPr>
          <w:rFonts w:ascii="Times New Roman" w:eastAsia="Times New Roman" w:hAnsi="Times New Roman" w:cs="Times New Roman"/>
          <w:szCs w:val="24"/>
        </w:rPr>
        <w:t>is defined as</w:t>
      </w:r>
      <w:r w:rsidR="00F150DA" w:rsidRPr="00265A53">
        <w:rPr>
          <w:rFonts w:ascii="Times New Roman" w:eastAsia="Times New Roman" w:hAnsi="Times New Roman" w:cs="Times New Roman"/>
          <w:szCs w:val="24"/>
        </w:rPr>
        <w:t xml:space="preserve"> a natural or legal person, or a group of natural or legal persons, regardless of the legal status granted to such group and its members by national law, whose holding is situated within the territorial scope of the Treaty [...] and who exercises an agricultural activity as d</w:t>
      </w:r>
      <w:r w:rsidRPr="00265A53">
        <w:rPr>
          <w:rFonts w:ascii="Times New Roman" w:eastAsia="Times New Roman" w:hAnsi="Times New Roman" w:cs="Times New Roman"/>
          <w:szCs w:val="24"/>
        </w:rPr>
        <w:t xml:space="preserve">etermined by </w:t>
      </w:r>
      <w:r w:rsidR="00731331">
        <w:rPr>
          <w:rFonts w:ascii="Times New Roman" w:eastAsia="Times New Roman" w:hAnsi="Times New Roman" w:cs="Times New Roman"/>
          <w:szCs w:val="24"/>
        </w:rPr>
        <w:t>MS</w:t>
      </w:r>
      <w:r w:rsidRPr="00265A53">
        <w:rPr>
          <w:rFonts w:ascii="Times New Roman" w:eastAsia="Times New Roman" w:hAnsi="Times New Roman" w:cs="Times New Roman"/>
          <w:szCs w:val="24"/>
        </w:rPr>
        <w:t xml:space="preserve"> […];</w:t>
      </w:r>
    </w:p>
    <w:p w14:paraId="4EBAED03" w14:textId="77777777" w:rsidR="0008478C" w:rsidRPr="00265A53" w:rsidRDefault="00F150DA" w:rsidP="005C5386">
      <w:pPr>
        <w:pStyle w:val="ListParagraph"/>
        <w:numPr>
          <w:ilvl w:val="0"/>
          <w:numId w:val="13"/>
        </w:numPr>
        <w:spacing w:before="120" w:after="240" w:line="264" w:lineRule="auto"/>
        <w:jc w:val="both"/>
        <w:rPr>
          <w:rFonts w:ascii="Times New Roman" w:eastAsia="Times New Roman" w:hAnsi="Times New Roman" w:cs="Times New Roman"/>
          <w:szCs w:val="24"/>
        </w:rPr>
      </w:pPr>
      <w:r w:rsidRPr="00265A53">
        <w:rPr>
          <w:rFonts w:ascii="Times New Roman" w:eastAsia="Times New Roman" w:hAnsi="Times New Roman" w:cs="Times New Roman"/>
          <w:szCs w:val="24"/>
        </w:rPr>
        <w:lastRenderedPageBreak/>
        <w:t>Definition of ‘farm’ in Eurostat: An agricultural holding, or holding or farm is a single unit, both technically and economically, operating under a single management and which undertakes economic activities in agriculture within the economic territory of the European Union, either as its primary or secondary activity.</w:t>
      </w:r>
    </w:p>
    <w:p w14:paraId="74236C85" w14:textId="0CC0D331" w:rsidR="0008478C" w:rsidRPr="006F2CA5" w:rsidRDefault="0008478C" w:rsidP="00A82615">
      <w:pPr>
        <w:pStyle w:val="Heading1"/>
        <w:spacing w:before="120" w:after="240" w:line="264" w:lineRule="auto"/>
        <w:rPr>
          <w:rFonts w:ascii="Times New Roman" w:hAnsi="Times New Roman" w:cs="Times New Roman"/>
          <w:color w:val="C45911" w:themeColor="accent2" w:themeShade="BF"/>
        </w:rPr>
      </w:pPr>
      <w:bookmarkStart w:id="37" w:name="_Toc126762224"/>
      <w:r w:rsidRPr="006F2CA5">
        <w:rPr>
          <w:rFonts w:ascii="Times New Roman" w:hAnsi="Times New Roman" w:cs="Times New Roman"/>
          <w:color w:val="C45911" w:themeColor="accent2" w:themeShade="BF"/>
        </w:rPr>
        <w:t>Sectoral Interventions</w:t>
      </w:r>
      <w:bookmarkEnd w:id="37"/>
      <w:r w:rsidRPr="006F2CA5">
        <w:rPr>
          <w:rFonts w:ascii="Times New Roman" w:hAnsi="Times New Roman" w:cs="Times New Roman"/>
          <w:color w:val="C45911" w:themeColor="accent2" w:themeShade="BF"/>
        </w:rPr>
        <w:t xml:space="preserve"> </w:t>
      </w:r>
    </w:p>
    <w:p w14:paraId="0E0721C1"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Sectoral interventions in all sectors, except </w:t>
      </w:r>
      <w:r w:rsidR="00D15770" w:rsidRPr="006F2CA5">
        <w:rPr>
          <w:rFonts w:ascii="Times New Roman" w:hAnsi="Times New Roman" w:cs="Times New Roman"/>
        </w:rPr>
        <w:t>for the wine and a</w:t>
      </w:r>
      <w:r w:rsidRPr="006F2CA5">
        <w:rPr>
          <w:rFonts w:ascii="Times New Roman" w:hAnsi="Times New Roman" w:cs="Times New Roman"/>
        </w:rPr>
        <w:t>piculture</w:t>
      </w:r>
      <w:r w:rsidR="00D15770" w:rsidRPr="006F2CA5">
        <w:rPr>
          <w:rFonts w:ascii="Times New Roman" w:hAnsi="Times New Roman" w:cs="Times New Roman"/>
        </w:rPr>
        <w:t xml:space="preserve"> sectors</w:t>
      </w:r>
      <w:r w:rsidRPr="006F2CA5">
        <w:rPr>
          <w:rFonts w:ascii="Times New Roman" w:hAnsi="Times New Roman" w:cs="Times New Roman"/>
        </w:rPr>
        <w:t>, are carried out by recognis</w:t>
      </w:r>
      <w:r w:rsidR="00D15770" w:rsidRPr="006F2CA5">
        <w:rPr>
          <w:rFonts w:ascii="Times New Roman" w:hAnsi="Times New Roman" w:cs="Times New Roman"/>
        </w:rPr>
        <w:t>ed producer o</w:t>
      </w:r>
      <w:r w:rsidRPr="006F2CA5">
        <w:rPr>
          <w:rFonts w:ascii="Times New Roman" w:hAnsi="Times New Roman" w:cs="Times New Roman"/>
        </w:rPr>
        <w:t>rganisa</w:t>
      </w:r>
      <w:r w:rsidR="00D15770" w:rsidRPr="006F2CA5">
        <w:rPr>
          <w:rFonts w:ascii="Times New Roman" w:hAnsi="Times New Roman" w:cs="Times New Roman"/>
        </w:rPr>
        <w:t>tions or associations of producer organisations (POs, APOs or beneficiaries) through operational p</w:t>
      </w:r>
      <w:r w:rsidRPr="006F2CA5">
        <w:rPr>
          <w:rFonts w:ascii="Times New Roman" w:hAnsi="Times New Roman" w:cs="Times New Roman"/>
        </w:rPr>
        <w:t>rogrammes (OPs). Due to administrative burden related to the long list of sectoral interventions set up according to the needs of the beneficiaries themselves, and because of the level of detail of the EU level eligibility conditions that exist</w:t>
      </w:r>
      <w:r w:rsidR="00D15770" w:rsidRPr="006F2CA5">
        <w:rPr>
          <w:rFonts w:ascii="Times New Roman" w:hAnsi="Times New Roman" w:cs="Times New Roman"/>
        </w:rPr>
        <w:t>s</w:t>
      </w:r>
      <w:r w:rsidRPr="006F2CA5">
        <w:rPr>
          <w:rFonts w:ascii="Times New Roman" w:hAnsi="Times New Roman" w:cs="Times New Roman"/>
        </w:rPr>
        <w:t xml:space="preserve"> in the </w:t>
      </w:r>
      <w:r w:rsidR="008A6A84">
        <w:rPr>
          <w:rFonts w:ascii="Times New Roman" w:hAnsi="Times New Roman" w:cs="Times New Roman"/>
        </w:rPr>
        <w:t>SPR</w:t>
      </w:r>
      <w:r w:rsidRPr="006F2CA5">
        <w:rPr>
          <w:rFonts w:ascii="Times New Roman" w:hAnsi="Times New Roman" w:cs="Times New Roman"/>
        </w:rPr>
        <w:t xml:space="preserve"> for these interventions (</w:t>
      </w:r>
      <w:r w:rsidR="00212840">
        <w:rPr>
          <w:rFonts w:ascii="Times New Roman" w:hAnsi="Times New Roman" w:cs="Times New Roman"/>
        </w:rPr>
        <w:t xml:space="preserve">Title III, </w:t>
      </w:r>
      <w:r w:rsidRPr="005B4D79">
        <w:rPr>
          <w:rFonts w:ascii="Times New Roman" w:hAnsi="Times New Roman" w:cs="Times New Roman"/>
        </w:rPr>
        <w:t xml:space="preserve">Chapter III </w:t>
      </w:r>
      <w:r w:rsidR="00D15770" w:rsidRPr="005B4D79">
        <w:rPr>
          <w:rFonts w:ascii="Times New Roman" w:hAnsi="Times New Roman" w:cs="Times New Roman"/>
        </w:rPr>
        <w:t xml:space="preserve">of the </w:t>
      </w:r>
      <w:r w:rsidR="007D21B2">
        <w:rPr>
          <w:rFonts w:ascii="Times New Roman" w:hAnsi="Times New Roman" w:cs="Times New Roman"/>
        </w:rPr>
        <w:t>SPR</w:t>
      </w:r>
      <w:r w:rsidRPr="005B4D79">
        <w:rPr>
          <w:rFonts w:ascii="Times New Roman" w:hAnsi="Times New Roman" w:cs="Times New Roman"/>
        </w:rPr>
        <w:t xml:space="preserve">, the planning, reporting and clearing of </w:t>
      </w:r>
      <w:r w:rsidR="00D15770" w:rsidRPr="005B4D79">
        <w:rPr>
          <w:rFonts w:ascii="Times New Roman" w:hAnsi="Times New Roman" w:cs="Times New Roman"/>
        </w:rPr>
        <w:t>these</w:t>
      </w:r>
      <w:r w:rsidRPr="005B4D79">
        <w:rPr>
          <w:rFonts w:ascii="Times New Roman" w:hAnsi="Times New Roman" w:cs="Times New Roman"/>
        </w:rPr>
        <w:t xml:space="preserve"> interventions are carried out in a simplified manner. This, as laid down in Article </w:t>
      </w:r>
      <w:r w:rsidR="00212840" w:rsidRPr="005B4D79">
        <w:rPr>
          <w:rFonts w:ascii="Times New Roman" w:hAnsi="Times New Roman" w:cs="Times New Roman"/>
        </w:rPr>
        <w:t>48</w:t>
      </w:r>
      <w:r w:rsidRPr="005B4D79">
        <w:rPr>
          <w:rFonts w:ascii="Times New Roman" w:hAnsi="Times New Roman" w:cs="Times New Roman"/>
        </w:rPr>
        <w:t xml:space="preserve"> of the </w:t>
      </w:r>
      <w:r w:rsidR="008A6A84">
        <w:rPr>
          <w:rFonts w:ascii="Times New Roman" w:hAnsi="Times New Roman" w:cs="Times New Roman"/>
        </w:rPr>
        <w:t>SPR</w:t>
      </w:r>
      <w:r w:rsidRPr="005B4D79">
        <w:rPr>
          <w:rFonts w:ascii="Times New Roman" w:hAnsi="Times New Roman" w:cs="Times New Roman"/>
        </w:rPr>
        <w:t xml:space="preserve">, implies that sectoral interventions in all sectors, except </w:t>
      </w:r>
      <w:r w:rsidR="007B0E8D" w:rsidRPr="005B4D79">
        <w:rPr>
          <w:rFonts w:ascii="Times New Roman" w:hAnsi="Times New Roman" w:cs="Times New Roman"/>
        </w:rPr>
        <w:t xml:space="preserve">for the </w:t>
      </w:r>
      <w:r w:rsidRPr="005B4D79">
        <w:rPr>
          <w:rFonts w:ascii="Times New Roman" w:hAnsi="Times New Roman" w:cs="Times New Roman"/>
        </w:rPr>
        <w:t xml:space="preserve">wine and apiculture </w:t>
      </w:r>
      <w:r w:rsidR="007B0E8D" w:rsidRPr="005B4D79">
        <w:rPr>
          <w:rFonts w:ascii="Times New Roman" w:hAnsi="Times New Roman" w:cs="Times New Roman"/>
        </w:rPr>
        <w:t>sectors,</w:t>
      </w:r>
      <w:r w:rsidR="007B0E8D" w:rsidRPr="006F2CA5">
        <w:rPr>
          <w:rFonts w:ascii="Times New Roman" w:hAnsi="Times New Roman" w:cs="Times New Roman"/>
        </w:rPr>
        <w:t xml:space="preserve"> </w:t>
      </w:r>
      <w:r w:rsidRPr="006F2CA5">
        <w:rPr>
          <w:rFonts w:ascii="Times New Roman" w:hAnsi="Times New Roman" w:cs="Times New Roman"/>
        </w:rPr>
        <w:t>are planned, reported and cleared at the OPs level, based on output indicator O.35.</w:t>
      </w:r>
    </w:p>
    <w:p w14:paraId="42A6B145" w14:textId="77777777" w:rsidR="0008478C" w:rsidRPr="006F2CA5" w:rsidRDefault="007B0E8D" w:rsidP="00A82615">
      <w:pPr>
        <w:spacing w:before="120" w:after="240" w:line="264" w:lineRule="auto"/>
        <w:jc w:val="both"/>
        <w:rPr>
          <w:rFonts w:ascii="Times New Roman" w:hAnsi="Times New Roman" w:cs="Times New Roman"/>
        </w:rPr>
      </w:pPr>
      <w:r w:rsidRPr="006F2CA5">
        <w:rPr>
          <w:rFonts w:ascii="Times New Roman" w:hAnsi="Times New Roman" w:cs="Times New Roman"/>
        </w:rPr>
        <w:t>In the wine and a</w:t>
      </w:r>
      <w:r w:rsidR="0008478C" w:rsidRPr="006F2CA5">
        <w:rPr>
          <w:rFonts w:ascii="Times New Roman" w:hAnsi="Times New Roman" w:cs="Times New Roman"/>
        </w:rPr>
        <w:t xml:space="preserve">piculture sectors, the planning, reporting and clearance </w:t>
      </w:r>
      <w:r w:rsidR="007753EC">
        <w:rPr>
          <w:rFonts w:ascii="Times New Roman" w:hAnsi="Times New Roman" w:cs="Times New Roman"/>
        </w:rPr>
        <w:t>should</w:t>
      </w:r>
      <w:r w:rsidR="0008478C" w:rsidRPr="006F2CA5">
        <w:rPr>
          <w:rFonts w:ascii="Times New Roman" w:hAnsi="Times New Roman" w:cs="Times New Roman"/>
        </w:rPr>
        <w:t xml:space="preserve"> be carried out in a standard manner, i.e. at intervention level. However, </w:t>
      </w:r>
      <w:r w:rsidRPr="006F2CA5">
        <w:rPr>
          <w:rFonts w:ascii="Times New Roman" w:hAnsi="Times New Roman" w:cs="Times New Roman"/>
        </w:rPr>
        <w:t>t</w:t>
      </w:r>
      <w:r w:rsidR="005B4D79">
        <w:rPr>
          <w:rFonts w:ascii="Times New Roman" w:hAnsi="Times New Roman" w:cs="Times New Roman"/>
        </w:rPr>
        <w:t>h</w:t>
      </w:r>
      <w:r w:rsidRPr="006F2CA5">
        <w:rPr>
          <w:rFonts w:ascii="Times New Roman" w:hAnsi="Times New Roman" w:cs="Times New Roman"/>
        </w:rPr>
        <w:t xml:space="preserve">e </w:t>
      </w:r>
      <w:r w:rsidR="0008478C" w:rsidRPr="006F2CA5">
        <w:rPr>
          <w:rFonts w:ascii="Times New Roman" w:hAnsi="Times New Roman" w:cs="Times New Roman"/>
        </w:rPr>
        <w:t xml:space="preserve">wine and apiculture sectors have dedicated output indicators, </w:t>
      </w:r>
      <w:r w:rsidRPr="006F2CA5">
        <w:rPr>
          <w:rFonts w:ascii="Times New Roman" w:hAnsi="Times New Roman" w:cs="Times New Roman"/>
        </w:rPr>
        <w:t xml:space="preserve">which are </w:t>
      </w:r>
      <w:r w:rsidR="0008478C" w:rsidRPr="006F2CA5">
        <w:rPr>
          <w:rFonts w:ascii="Times New Roman" w:hAnsi="Times New Roman" w:cs="Times New Roman"/>
        </w:rPr>
        <w:t xml:space="preserve">O.36 and O.37 respectively, to be used </w:t>
      </w:r>
      <w:r w:rsidRPr="006F2CA5">
        <w:rPr>
          <w:rFonts w:ascii="Times New Roman" w:hAnsi="Times New Roman" w:cs="Times New Roman"/>
        </w:rPr>
        <w:t>for</w:t>
      </w:r>
      <w:r w:rsidR="0008478C" w:rsidRPr="006F2CA5">
        <w:rPr>
          <w:rFonts w:ascii="Times New Roman" w:hAnsi="Times New Roman" w:cs="Times New Roman"/>
        </w:rPr>
        <w:t xml:space="preserve"> pl</w:t>
      </w:r>
      <w:r w:rsidRPr="006F2CA5">
        <w:rPr>
          <w:rFonts w:ascii="Times New Roman" w:hAnsi="Times New Roman" w:cs="Times New Roman"/>
        </w:rPr>
        <w:t xml:space="preserve">anning, reporting and clearing </w:t>
      </w:r>
      <w:r w:rsidR="0008478C" w:rsidRPr="006F2CA5">
        <w:rPr>
          <w:rFonts w:ascii="Times New Roman" w:hAnsi="Times New Roman" w:cs="Times New Roman"/>
        </w:rPr>
        <w:t xml:space="preserve">performance in these sectors. These output indicators can be </w:t>
      </w:r>
      <w:r w:rsidRPr="006F2CA5">
        <w:rPr>
          <w:rFonts w:ascii="Times New Roman" w:hAnsi="Times New Roman" w:cs="Times New Roman"/>
        </w:rPr>
        <w:t xml:space="preserve">planned and </w:t>
      </w:r>
      <w:r w:rsidR="0008478C" w:rsidRPr="006F2CA5">
        <w:rPr>
          <w:rFonts w:ascii="Times New Roman" w:hAnsi="Times New Roman" w:cs="Times New Roman"/>
        </w:rPr>
        <w:t>reported in several units, depending on</w:t>
      </w:r>
      <w:r w:rsidRPr="006F2CA5">
        <w:rPr>
          <w:rFonts w:ascii="Times New Roman" w:hAnsi="Times New Roman" w:cs="Times New Roman"/>
        </w:rPr>
        <w:t xml:space="preserve"> the nature of </w:t>
      </w:r>
      <w:r w:rsidR="0008478C" w:rsidRPr="006F2CA5">
        <w:rPr>
          <w:rFonts w:ascii="Times New Roman" w:hAnsi="Times New Roman" w:cs="Times New Roman"/>
        </w:rPr>
        <w:t>individual interventions.</w:t>
      </w:r>
    </w:p>
    <w:p w14:paraId="0FEB7AD6"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Output indicator O.34 </w:t>
      </w:r>
      <w:r w:rsidR="007B0E8D" w:rsidRPr="006F2CA5">
        <w:rPr>
          <w:rFonts w:ascii="Times New Roman" w:hAnsi="Times New Roman" w:cs="Times New Roman"/>
        </w:rPr>
        <w:t>applies to a likely a small number of</w:t>
      </w:r>
      <w:r w:rsidRPr="006F2CA5">
        <w:rPr>
          <w:rFonts w:ascii="Times New Roman" w:hAnsi="Times New Roman" w:cs="Times New Roman"/>
        </w:rPr>
        <w:t xml:space="preserve"> sectoral interventions</w:t>
      </w:r>
      <w:r w:rsidR="007B0E8D" w:rsidRPr="006F2CA5">
        <w:rPr>
          <w:rFonts w:ascii="Times New Roman" w:hAnsi="Times New Roman" w:cs="Times New Roman"/>
        </w:rPr>
        <w:t>,</w:t>
      </w:r>
      <w:r w:rsidRPr="006F2CA5">
        <w:rPr>
          <w:rFonts w:ascii="Times New Roman" w:hAnsi="Times New Roman" w:cs="Times New Roman"/>
        </w:rPr>
        <w:t xml:space="preserve"> which are area-based and support environmental practices </w:t>
      </w:r>
      <w:r w:rsidR="007B0E8D" w:rsidRPr="006F2CA5">
        <w:rPr>
          <w:rFonts w:ascii="Times New Roman" w:hAnsi="Times New Roman" w:cs="Times New Roman"/>
        </w:rPr>
        <w:t>going</w:t>
      </w:r>
      <w:r w:rsidRPr="006F2CA5">
        <w:rPr>
          <w:rFonts w:ascii="Times New Roman" w:hAnsi="Times New Roman" w:cs="Times New Roman"/>
        </w:rPr>
        <w:t xml:space="preserve"> beyond conditionality.</w:t>
      </w:r>
    </w:p>
    <w:p w14:paraId="57D42441"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As for the result indicators, R.10 and R.11 should always be </w:t>
      </w:r>
      <w:r w:rsidR="001A0299" w:rsidRPr="006F2CA5">
        <w:rPr>
          <w:rFonts w:ascii="Times New Roman" w:hAnsi="Times New Roman" w:cs="Times New Roman"/>
        </w:rPr>
        <w:t>linked to</w:t>
      </w:r>
      <w:r w:rsidRPr="006F2CA5">
        <w:rPr>
          <w:rFonts w:ascii="Times New Roman" w:hAnsi="Times New Roman" w:cs="Times New Roman"/>
        </w:rPr>
        <w:t xml:space="preserve"> all sectoral types of inter</w:t>
      </w:r>
      <w:r w:rsidR="001A0299" w:rsidRPr="006F2CA5">
        <w:rPr>
          <w:rFonts w:ascii="Times New Roman" w:hAnsi="Times New Roman" w:cs="Times New Roman"/>
        </w:rPr>
        <w:t>ventions in sectors other than w</w:t>
      </w:r>
      <w:r w:rsidRPr="006F2CA5">
        <w:rPr>
          <w:rFonts w:ascii="Times New Roman" w:hAnsi="Times New Roman" w:cs="Times New Roman"/>
        </w:rPr>
        <w:t xml:space="preserve">ine and </w:t>
      </w:r>
      <w:r w:rsidR="001A0299" w:rsidRPr="006F2CA5">
        <w:rPr>
          <w:rFonts w:ascii="Times New Roman" w:hAnsi="Times New Roman" w:cs="Times New Roman"/>
        </w:rPr>
        <w:t>a</w:t>
      </w:r>
      <w:r w:rsidRPr="006F2CA5">
        <w:rPr>
          <w:rFonts w:ascii="Times New Roman" w:hAnsi="Times New Roman" w:cs="Times New Roman"/>
        </w:rPr>
        <w:t>pic</w:t>
      </w:r>
      <w:r w:rsidR="001A0299" w:rsidRPr="006F2CA5">
        <w:rPr>
          <w:rFonts w:ascii="Times New Roman" w:hAnsi="Times New Roman" w:cs="Times New Roman"/>
        </w:rPr>
        <w:t>ulture because</w:t>
      </w:r>
      <w:r w:rsidRPr="006F2CA5">
        <w:rPr>
          <w:rFonts w:ascii="Times New Roman" w:hAnsi="Times New Roman" w:cs="Times New Roman"/>
        </w:rPr>
        <w:t xml:space="preserve"> all interventions implemented by the beneficiaries contribute to better supply chain organisation and concentration of supply. For other result indicators besides R.10 and R.11, </w:t>
      </w:r>
      <w:r w:rsidR="004313BC" w:rsidRPr="006F2CA5">
        <w:rPr>
          <w:rFonts w:ascii="Times New Roman" w:hAnsi="Times New Roman" w:cs="Times New Roman"/>
        </w:rPr>
        <w:t>MS</w:t>
      </w:r>
      <w:r w:rsidRPr="006F2CA5">
        <w:rPr>
          <w:rFonts w:ascii="Times New Roman" w:hAnsi="Times New Roman" w:cs="Times New Roman"/>
        </w:rPr>
        <w:t xml:space="preserve"> need to plan and report the contribution of sectoral interventions to a result indicator only if the con</w:t>
      </w:r>
      <w:r w:rsidR="001A0299" w:rsidRPr="006F2CA5">
        <w:rPr>
          <w:rFonts w:ascii="Times New Roman" w:hAnsi="Times New Roman" w:cs="Times New Roman"/>
        </w:rPr>
        <w:t>tribution is direct and significant.</w:t>
      </w:r>
      <w:r w:rsidRPr="006F2CA5">
        <w:rPr>
          <w:rFonts w:ascii="Times New Roman" w:hAnsi="Times New Roman" w:cs="Times New Roman"/>
        </w:rPr>
        <w:t xml:space="preserve"> Decision on </w:t>
      </w:r>
      <w:r w:rsidR="001A0299" w:rsidRPr="006F2CA5">
        <w:rPr>
          <w:rFonts w:ascii="Times New Roman" w:hAnsi="Times New Roman" w:cs="Times New Roman"/>
        </w:rPr>
        <w:t>whether</w:t>
      </w:r>
      <w:r w:rsidRPr="006F2CA5">
        <w:rPr>
          <w:rFonts w:ascii="Times New Roman" w:hAnsi="Times New Roman" w:cs="Times New Roman"/>
        </w:rPr>
        <w:t xml:space="preserve"> a contr</w:t>
      </w:r>
      <w:r w:rsidR="001A0299" w:rsidRPr="006F2CA5">
        <w:rPr>
          <w:rFonts w:ascii="Times New Roman" w:hAnsi="Times New Roman" w:cs="Times New Roman"/>
        </w:rPr>
        <w:t>ibution of the intervention is direct and significant</w:t>
      </w:r>
      <w:r w:rsidRPr="006F2CA5">
        <w:rPr>
          <w:rFonts w:ascii="Times New Roman" w:hAnsi="Times New Roman" w:cs="Times New Roman"/>
        </w:rPr>
        <w:t xml:space="preserve"> is to be done by</w:t>
      </w:r>
      <w:r w:rsidR="001A0299" w:rsidRPr="006F2CA5">
        <w:rPr>
          <w:rFonts w:ascii="Times New Roman" w:hAnsi="Times New Roman" w:cs="Times New Roman"/>
        </w:rPr>
        <w:t xml:space="preserve"> </w:t>
      </w:r>
      <w:r w:rsidR="004313BC" w:rsidRPr="006F2CA5">
        <w:rPr>
          <w:rFonts w:ascii="Times New Roman" w:hAnsi="Times New Roman" w:cs="Times New Roman"/>
        </w:rPr>
        <w:t>MS</w:t>
      </w:r>
      <w:r w:rsidR="001A0299" w:rsidRPr="006F2CA5">
        <w:rPr>
          <w:rFonts w:ascii="Times New Roman" w:hAnsi="Times New Roman" w:cs="Times New Roman"/>
        </w:rPr>
        <w:t>, which are</w:t>
      </w:r>
      <w:r w:rsidRPr="006F2CA5">
        <w:rPr>
          <w:rFonts w:ascii="Times New Roman" w:hAnsi="Times New Roman" w:cs="Times New Roman"/>
        </w:rPr>
        <w:t xml:space="preserve"> best placed to assess </w:t>
      </w:r>
      <w:r w:rsidR="001A0299" w:rsidRPr="006F2CA5">
        <w:rPr>
          <w:rFonts w:ascii="Times New Roman" w:hAnsi="Times New Roman" w:cs="Times New Roman"/>
        </w:rPr>
        <w:t>such contribution</w:t>
      </w:r>
      <w:r w:rsidRPr="006F2CA5">
        <w:rPr>
          <w:rFonts w:ascii="Times New Roman" w:hAnsi="Times New Roman" w:cs="Times New Roman"/>
        </w:rPr>
        <w:t xml:space="preserve">. This is because </w:t>
      </w:r>
      <w:r w:rsidR="004313BC" w:rsidRPr="006F2CA5">
        <w:rPr>
          <w:rFonts w:ascii="Times New Roman" w:hAnsi="Times New Roman" w:cs="Times New Roman"/>
        </w:rPr>
        <w:t>MS</w:t>
      </w:r>
      <w:r w:rsidRPr="006F2CA5">
        <w:rPr>
          <w:rFonts w:ascii="Times New Roman" w:hAnsi="Times New Roman" w:cs="Times New Roman"/>
        </w:rPr>
        <w:t xml:space="preserve"> will decide on the menu of sectoral interventions they will offer to their beneficiaries and have the </w:t>
      </w:r>
      <w:r w:rsidR="00964960">
        <w:rPr>
          <w:rFonts w:ascii="Times New Roman" w:hAnsi="Times New Roman" w:cs="Times New Roman"/>
        </w:rPr>
        <w:t>knowledge</w:t>
      </w:r>
      <w:r w:rsidRPr="006F2CA5">
        <w:rPr>
          <w:rFonts w:ascii="Times New Roman" w:hAnsi="Times New Roman" w:cs="Times New Roman"/>
        </w:rPr>
        <w:t xml:space="preserve"> on the past performance and needs of their sectors in question, as well as an experience in adopting OPs in the Fruit &amp; Vegetables sector during the 2014-2020 CAP period.</w:t>
      </w:r>
    </w:p>
    <w:p w14:paraId="007FBA84"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Given the difficulty to plan the contribution of sectoral interventions to result indicators, in particular at the beginning of the period, targets and milestones planned may need to be modified after the submission of the CAP </w:t>
      </w:r>
      <w:r w:rsidR="00731331">
        <w:rPr>
          <w:rFonts w:ascii="Times New Roman" w:hAnsi="Times New Roman" w:cs="Times New Roman"/>
        </w:rPr>
        <w:t>s</w:t>
      </w:r>
      <w:r w:rsidR="00A65BD4" w:rsidRPr="006F2CA5">
        <w:rPr>
          <w:rFonts w:ascii="Times New Roman" w:hAnsi="Times New Roman" w:cs="Times New Roman"/>
        </w:rPr>
        <w:t xml:space="preserve">trategic </w:t>
      </w:r>
      <w:r w:rsidRPr="006F2CA5">
        <w:rPr>
          <w:rFonts w:ascii="Times New Roman" w:hAnsi="Times New Roman" w:cs="Times New Roman"/>
        </w:rPr>
        <w:t xml:space="preserve">plans by </w:t>
      </w:r>
      <w:r w:rsidR="004313BC" w:rsidRPr="006F2CA5">
        <w:rPr>
          <w:rFonts w:ascii="Times New Roman" w:hAnsi="Times New Roman" w:cs="Times New Roman"/>
        </w:rPr>
        <w:t>MS</w:t>
      </w:r>
      <w:r w:rsidRPr="006F2CA5">
        <w:rPr>
          <w:rFonts w:ascii="Times New Roman" w:hAnsi="Times New Roman" w:cs="Times New Roman"/>
        </w:rPr>
        <w:t xml:space="preserve">. This can be done by amending the </w:t>
      </w:r>
      <w:r w:rsidRPr="005B4D79">
        <w:rPr>
          <w:rFonts w:ascii="Times New Roman" w:hAnsi="Times New Roman" w:cs="Times New Roman"/>
        </w:rPr>
        <w:t xml:space="preserve">CAP </w:t>
      </w:r>
      <w:r w:rsidR="005B4D79" w:rsidRPr="005B4D79">
        <w:rPr>
          <w:rFonts w:ascii="Times New Roman" w:hAnsi="Times New Roman" w:cs="Times New Roman"/>
        </w:rPr>
        <w:t>s</w:t>
      </w:r>
      <w:r w:rsidR="00A65BD4" w:rsidRPr="005B4D79">
        <w:rPr>
          <w:rFonts w:ascii="Times New Roman" w:hAnsi="Times New Roman" w:cs="Times New Roman"/>
        </w:rPr>
        <w:t xml:space="preserve">trategic </w:t>
      </w:r>
      <w:r w:rsidRPr="005B4D79">
        <w:rPr>
          <w:rFonts w:ascii="Times New Roman" w:hAnsi="Times New Roman" w:cs="Times New Roman"/>
        </w:rPr>
        <w:t xml:space="preserve">plans, according </w:t>
      </w:r>
      <w:r w:rsidR="005B4D79" w:rsidRPr="005B4D79">
        <w:rPr>
          <w:rFonts w:ascii="Times New Roman" w:hAnsi="Times New Roman" w:cs="Times New Roman"/>
        </w:rPr>
        <w:t>to Article 119</w:t>
      </w:r>
      <w:r w:rsidRPr="005B4D79">
        <w:rPr>
          <w:rFonts w:ascii="Times New Roman" w:hAnsi="Times New Roman" w:cs="Times New Roman"/>
        </w:rPr>
        <w:t xml:space="preserve"> of </w:t>
      </w:r>
      <w:r w:rsidR="00A65BD4" w:rsidRPr="005B4D79">
        <w:rPr>
          <w:rFonts w:ascii="Times New Roman" w:hAnsi="Times New Roman" w:cs="Times New Roman"/>
        </w:rPr>
        <w:t xml:space="preserve">the </w:t>
      </w:r>
      <w:r w:rsidR="008A6A84">
        <w:rPr>
          <w:rFonts w:ascii="Times New Roman" w:hAnsi="Times New Roman" w:cs="Times New Roman"/>
        </w:rPr>
        <w:t>SPR</w:t>
      </w:r>
      <w:r w:rsidRPr="005B4D79">
        <w:rPr>
          <w:rFonts w:ascii="Times New Roman" w:hAnsi="Times New Roman" w:cs="Times New Roman"/>
        </w:rPr>
        <w:t xml:space="preserve">. </w:t>
      </w:r>
      <w:r w:rsidR="005B4D79" w:rsidRPr="005B4D79">
        <w:rPr>
          <w:rFonts w:ascii="Times New Roman" w:hAnsi="Times New Roman" w:cs="Times New Roman"/>
        </w:rPr>
        <w:t>Alternatively,</w:t>
      </w:r>
      <w:r w:rsidRPr="005B4D79">
        <w:rPr>
          <w:rFonts w:ascii="Times New Roman" w:hAnsi="Times New Roman" w:cs="Times New Roman"/>
        </w:rPr>
        <w:t xml:space="preserve"> </w:t>
      </w:r>
      <w:r w:rsidR="004313BC" w:rsidRPr="005B4D79">
        <w:rPr>
          <w:rFonts w:ascii="Times New Roman" w:hAnsi="Times New Roman" w:cs="Times New Roman"/>
        </w:rPr>
        <w:t>MS</w:t>
      </w:r>
      <w:r w:rsidR="00A65BD4" w:rsidRPr="005B4D79">
        <w:rPr>
          <w:rFonts w:ascii="Times New Roman" w:hAnsi="Times New Roman" w:cs="Times New Roman"/>
        </w:rPr>
        <w:t xml:space="preserve"> </w:t>
      </w:r>
      <w:r w:rsidRPr="005B4D79">
        <w:rPr>
          <w:rFonts w:ascii="Times New Roman" w:hAnsi="Times New Roman" w:cs="Times New Roman"/>
        </w:rPr>
        <w:t>can provide justification for</w:t>
      </w:r>
      <w:r w:rsidRPr="006F2CA5">
        <w:rPr>
          <w:rFonts w:ascii="Times New Roman" w:hAnsi="Times New Roman" w:cs="Times New Roman"/>
        </w:rPr>
        <w:t xml:space="preserve"> the inaccuracies in their </w:t>
      </w:r>
      <w:r w:rsidR="004313BC" w:rsidRPr="006F2CA5">
        <w:rPr>
          <w:rFonts w:ascii="Times New Roman" w:hAnsi="Times New Roman" w:cs="Times New Roman"/>
        </w:rPr>
        <w:t>APR</w:t>
      </w:r>
      <w:r w:rsidR="00A65BD4" w:rsidRPr="006F2CA5">
        <w:rPr>
          <w:rFonts w:ascii="Times New Roman" w:hAnsi="Times New Roman" w:cs="Times New Roman"/>
        </w:rPr>
        <w:t>s and explain</w:t>
      </w:r>
      <w:r w:rsidRPr="006F2CA5">
        <w:rPr>
          <w:rFonts w:ascii="Times New Roman" w:hAnsi="Times New Roman" w:cs="Times New Roman"/>
        </w:rPr>
        <w:t xml:space="preserve"> factors </w:t>
      </w:r>
      <w:r w:rsidR="00900788">
        <w:rPr>
          <w:rFonts w:ascii="Times New Roman" w:hAnsi="Times New Roman" w:cs="Times New Roman"/>
        </w:rPr>
        <w:t>that</w:t>
      </w:r>
      <w:r w:rsidRPr="006F2CA5">
        <w:rPr>
          <w:rFonts w:ascii="Times New Roman" w:hAnsi="Times New Roman" w:cs="Times New Roman"/>
        </w:rPr>
        <w:t xml:space="preserve"> </w:t>
      </w:r>
      <w:r w:rsidR="00A65BD4" w:rsidRPr="006F2CA5">
        <w:rPr>
          <w:rFonts w:ascii="Times New Roman" w:hAnsi="Times New Roman" w:cs="Times New Roman"/>
        </w:rPr>
        <w:t xml:space="preserve">may not have </w:t>
      </w:r>
      <w:r w:rsidRPr="006F2CA5">
        <w:rPr>
          <w:rFonts w:ascii="Times New Roman" w:hAnsi="Times New Roman" w:cs="Times New Roman"/>
        </w:rPr>
        <w:t xml:space="preserve">been taken into account </w:t>
      </w:r>
      <w:r w:rsidR="00A65BD4" w:rsidRPr="006F2CA5">
        <w:rPr>
          <w:rFonts w:ascii="Times New Roman" w:hAnsi="Times New Roman" w:cs="Times New Roman"/>
        </w:rPr>
        <w:t xml:space="preserve">when planning (such as, for instance, the </w:t>
      </w:r>
      <w:r w:rsidRPr="006F2CA5">
        <w:rPr>
          <w:rFonts w:ascii="Times New Roman" w:hAnsi="Times New Roman" w:cs="Times New Roman"/>
        </w:rPr>
        <w:t>adoption of the OPs by POs a</w:t>
      </w:r>
      <w:r w:rsidR="005B4D79">
        <w:rPr>
          <w:rFonts w:ascii="Times New Roman" w:hAnsi="Times New Roman" w:cs="Times New Roman"/>
        </w:rPr>
        <w:t>fter the submission of CAP s</w:t>
      </w:r>
      <w:r w:rsidR="00A65BD4" w:rsidRPr="006F2CA5">
        <w:rPr>
          <w:rFonts w:ascii="Times New Roman" w:hAnsi="Times New Roman" w:cs="Times New Roman"/>
        </w:rPr>
        <w:t>trategic plan</w:t>
      </w:r>
      <w:r w:rsidRPr="006F2CA5">
        <w:rPr>
          <w:rFonts w:ascii="Times New Roman" w:hAnsi="Times New Roman" w:cs="Times New Roman"/>
        </w:rPr>
        <w:t>)</w:t>
      </w:r>
      <w:r w:rsidR="00900788">
        <w:rPr>
          <w:rFonts w:ascii="Times New Roman" w:hAnsi="Times New Roman" w:cs="Times New Roman"/>
        </w:rPr>
        <w:t>,</w:t>
      </w:r>
      <w:r w:rsidRPr="006F2CA5">
        <w:rPr>
          <w:rFonts w:ascii="Times New Roman" w:hAnsi="Times New Roman" w:cs="Times New Roman"/>
        </w:rPr>
        <w:t xml:space="preserve"> or provide other necessary information. </w:t>
      </w:r>
    </w:p>
    <w:p w14:paraId="3F2318D1" w14:textId="77777777" w:rsidR="0008478C" w:rsidRPr="006F2CA5" w:rsidRDefault="00A65BD4" w:rsidP="00A82615">
      <w:pPr>
        <w:spacing w:before="120" w:after="240" w:line="264" w:lineRule="auto"/>
        <w:jc w:val="both"/>
        <w:rPr>
          <w:rFonts w:ascii="Times New Roman" w:hAnsi="Times New Roman" w:cs="Times New Roman"/>
        </w:rPr>
      </w:pPr>
      <w:r w:rsidRPr="006F2CA5">
        <w:rPr>
          <w:rFonts w:ascii="Times New Roman" w:hAnsi="Times New Roman" w:cs="Times New Roman"/>
        </w:rPr>
        <w:t>For the w</w:t>
      </w:r>
      <w:r w:rsidR="0008478C" w:rsidRPr="006F2CA5">
        <w:rPr>
          <w:rFonts w:ascii="Times New Roman" w:hAnsi="Times New Roman" w:cs="Times New Roman"/>
        </w:rPr>
        <w:t>ine</w:t>
      </w:r>
      <w:r w:rsidRPr="006F2CA5">
        <w:rPr>
          <w:rFonts w:ascii="Times New Roman" w:hAnsi="Times New Roman" w:cs="Times New Roman"/>
        </w:rPr>
        <w:t xml:space="preserve"> sector</w:t>
      </w:r>
      <w:r w:rsidR="0008478C" w:rsidRPr="006F2CA5">
        <w:rPr>
          <w:rFonts w:ascii="Times New Roman" w:hAnsi="Times New Roman" w:cs="Times New Roman"/>
        </w:rPr>
        <w:t>, interventions are linked to the relevant result indicators (such as R.5 Risk Management) b</w:t>
      </w:r>
      <w:r w:rsidR="001A19F6" w:rsidRPr="006F2CA5">
        <w:rPr>
          <w:rFonts w:ascii="Times New Roman" w:hAnsi="Times New Roman" w:cs="Times New Roman"/>
        </w:rPr>
        <w:t xml:space="preserve">ut not to R.11, because </w:t>
      </w:r>
      <w:r w:rsidR="0008478C" w:rsidRPr="006F2CA5">
        <w:rPr>
          <w:rFonts w:ascii="Times New Roman" w:hAnsi="Times New Roman" w:cs="Times New Roman"/>
        </w:rPr>
        <w:t>there are no operational programmes in the wine sector</w:t>
      </w:r>
      <w:r w:rsidR="001A19F6" w:rsidRPr="006F2CA5">
        <w:rPr>
          <w:rFonts w:ascii="Times New Roman" w:hAnsi="Times New Roman" w:cs="Times New Roman"/>
        </w:rPr>
        <w:t xml:space="preserve">, and not in </w:t>
      </w:r>
      <w:r w:rsidR="001A19F6" w:rsidRPr="006F2CA5">
        <w:rPr>
          <w:rFonts w:ascii="Times New Roman" w:hAnsi="Times New Roman" w:cs="Times New Roman"/>
        </w:rPr>
        <w:lastRenderedPageBreak/>
        <w:t xml:space="preserve">R.10, </w:t>
      </w:r>
      <w:r w:rsidR="0008478C" w:rsidRPr="006F2CA5">
        <w:rPr>
          <w:rFonts w:ascii="Times New Roman" w:hAnsi="Times New Roman" w:cs="Times New Roman"/>
        </w:rPr>
        <w:t>unless support, including EA</w:t>
      </w:r>
      <w:r w:rsidR="001A19F6" w:rsidRPr="006F2CA5">
        <w:rPr>
          <w:rFonts w:ascii="Times New Roman" w:hAnsi="Times New Roman" w:cs="Times New Roman"/>
        </w:rPr>
        <w:t>FRD, is granted through a PO.</w:t>
      </w:r>
      <w:r w:rsidR="0008478C" w:rsidRPr="006F2CA5">
        <w:rPr>
          <w:rFonts w:ascii="Times New Roman" w:hAnsi="Times New Roman" w:cs="Times New Roman"/>
        </w:rPr>
        <w:t xml:space="preserve"> For </w:t>
      </w:r>
      <w:r w:rsidR="001A19F6" w:rsidRPr="006F2CA5">
        <w:rPr>
          <w:rFonts w:ascii="Times New Roman" w:hAnsi="Times New Roman" w:cs="Times New Roman"/>
        </w:rPr>
        <w:t xml:space="preserve">the </w:t>
      </w:r>
      <w:r w:rsidR="0008478C" w:rsidRPr="006F2CA5">
        <w:rPr>
          <w:rFonts w:ascii="Times New Roman" w:hAnsi="Times New Roman" w:cs="Times New Roman"/>
        </w:rPr>
        <w:t>apiculture</w:t>
      </w:r>
      <w:r w:rsidR="001A19F6" w:rsidRPr="006F2CA5">
        <w:rPr>
          <w:rFonts w:ascii="Times New Roman" w:hAnsi="Times New Roman" w:cs="Times New Roman"/>
        </w:rPr>
        <w:t xml:space="preserve"> sector</w:t>
      </w:r>
      <w:r w:rsidR="0008478C" w:rsidRPr="006F2CA5">
        <w:rPr>
          <w:rFonts w:ascii="Times New Roman" w:hAnsi="Times New Roman" w:cs="Times New Roman"/>
        </w:rPr>
        <w:t xml:space="preserve">, a dedicated result indicator R.35 applies. </w:t>
      </w:r>
    </w:p>
    <w:p w14:paraId="407BF2FA" w14:textId="18025721" w:rsidR="0008478C" w:rsidRPr="009162BA"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Guidelines </w:t>
      </w:r>
      <w:r w:rsidR="001A19F6" w:rsidRPr="006F2CA5">
        <w:rPr>
          <w:rFonts w:ascii="Times New Roman" w:hAnsi="Times New Roman" w:cs="Times New Roman"/>
        </w:rPr>
        <w:t>on how to link</w:t>
      </w:r>
      <w:r w:rsidRPr="006F2CA5">
        <w:rPr>
          <w:rFonts w:ascii="Times New Roman" w:hAnsi="Times New Roman" w:cs="Times New Roman"/>
        </w:rPr>
        <w:t xml:space="preserve"> </w:t>
      </w:r>
      <w:r w:rsidRPr="00E62597">
        <w:rPr>
          <w:rFonts w:ascii="Times New Roman" w:hAnsi="Times New Roman" w:cs="Times New Roman"/>
          <w:b/>
        </w:rPr>
        <w:t>result indicators</w:t>
      </w:r>
      <w:r w:rsidRPr="006F2CA5">
        <w:rPr>
          <w:rFonts w:ascii="Times New Roman" w:hAnsi="Times New Roman" w:cs="Times New Roman"/>
        </w:rPr>
        <w:t xml:space="preserve"> (other than R.10 and R.11) </w:t>
      </w:r>
      <w:r w:rsidR="001A19F6" w:rsidRPr="006F2CA5">
        <w:rPr>
          <w:rFonts w:ascii="Times New Roman" w:hAnsi="Times New Roman" w:cs="Times New Roman"/>
        </w:rPr>
        <w:t xml:space="preserve">to </w:t>
      </w:r>
      <w:r w:rsidRPr="00E62597">
        <w:rPr>
          <w:rFonts w:ascii="Times New Roman" w:hAnsi="Times New Roman" w:cs="Times New Roman"/>
          <w:b/>
        </w:rPr>
        <w:t>sectoral interventions</w:t>
      </w:r>
      <w:r w:rsidR="001A19F6" w:rsidRPr="006F2CA5">
        <w:rPr>
          <w:rFonts w:ascii="Times New Roman" w:hAnsi="Times New Roman" w:cs="Times New Roman"/>
        </w:rPr>
        <w:t xml:space="preserve"> that</w:t>
      </w:r>
      <w:r w:rsidRPr="006F2CA5">
        <w:rPr>
          <w:rFonts w:ascii="Times New Roman" w:hAnsi="Times New Roman" w:cs="Times New Roman"/>
        </w:rPr>
        <w:t xml:space="preserve"> contribute in a direct and significant manner</w:t>
      </w:r>
      <w:r w:rsidR="001A19F6" w:rsidRPr="006F2CA5">
        <w:rPr>
          <w:rFonts w:ascii="Times New Roman" w:hAnsi="Times New Roman" w:cs="Times New Roman"/>
        </w:rPr>
        <w:t xml:space="preserve"> to those result indicators</w:t>
      </w:r>
      <w:r w:rsidRPr="006F2CA5">
        <w:rPr>
          <w:rFonts w:ascii="Times New Roman" w:hAnsi="Times New Roman" w:cs="Times New Roman"/>
        </w:rPr>
        <w:t xml:space="preserve"> are </w:t>
      </w:r>
      <w:r w:rsidRPr="009162BA">
        <w:rPr>
          <w:rFonts w:ascii="Times New Roman" w:hAnsi="Times New Roman" w:cs="Times New Roman"/>
        </w:rPr>
        <w:t xml:space="preserve">provided in </w:t>
      </w:r>
      <w:r w:rsidRPr="009162BA">
        <w:rPr>
          <w:rFonts w:ascii="Times New Roman" w:hAnsi="Times New Roman" w:cs="Times New Roman"/>
          <w:b/>
        </w:rPr>
        <w:t>Annex</w:t>
      </w:r>
      <w:r w:rsidR="004313BC" w:rsidRPr="009162BA">
        <w:rPr>
          <w:rFonts w:ascii="Times New Roman" w:hAnsi="Times New Roman" w:cs="Times New Roman"/>
          <w:b/>
        </w:rPr>
        <w:t xml:space="preserve"> </w:t>
      </w:r>
      <w:r w:rsidR="009162BA" w:rsidRPr="009162BA">
        <w:rPr>
          <w:rFonts w:ascii="Times New Roman" w:hAnsi="Times New Roman" w:cs="Times New Roman"/>
          <w:b/>
        </w:rPr>
        <w:t>X</w:t>
      </w:r>
      <w:r w:rsidR="007B611E">
        <w:rPr>
          <w:rFonts w:ascii="Times New Roman" w:hAnsi="Times New Roman" w:cs="Times New Roman"/>
          <w:b/>
        </w:rPr>
        <w:t>I</w:t>
      </w:r>
      <w:r w:rsidR="009162BA" w:rsidRPr="009162BA">
        <w:rPr>
          <w:rFonts w:ascii="Times New Roman" w:hAnsi="Times New Roman" w:cs="Times New Roman"/>
          <w:b/>
        </w:rPr>
        <w:t xml:space="preserve"> </w:t>
      </w:r>
      <w:r w:rsidR="00353279">
        <w:rPr>
          <w:rFonts w:ascii="Times New Roman" w:hAnsi="Times New Roman" w:cs="Times New Roman"/>
        </w:rPr>
        <w:t xml:space="preserve">to </w:t>
      </w:r>
      <w:r w:rsidR="009162BA" w:rsidRPr="009162BA">
        <w:rPr>
          <w:rFonts w:ascii="Times New Roman" w:hAnsi="Times New Roman" w:cs="Times New Roman"/>
        </w:rPr>
        <w:t>this cover note.</w:t>
      </w:r>
    </w:p>
    <w:p w14:paraId="6E253915" w14:textId="3C826180" w:rsidR="0008478C" w:rsidRPr="006F2CA5" w:rsidRDefault="0008478C" w:rsidP="00A82615">
      <w:pPr>
        <w:pStyle w:val="Heading1"/>
        <w:spacing w:before="120" w:after="240" w:line="264" w:lineRule="auto"/>
        <w:rPr>
          <w:rFonts w:ascii="Times New Roman" w:hAnsi="Times New Roman" w:cs="Times New Roman"/>
          <w:color w:val="C45911" w:themeColor="accent2" w:themeShade="BF"/>
        </w:rPr>
      </w:pPr>
      <w:bookmarkStart w:id="38" w:name="_Toc126762225"/>
      <w:r w:rsidRPr="006F2CA5">
        <w:rPr>
          <w:rFonts w:ascii="Times New Roman" w:hAnsi="Times New Roman" w:cs="Times New Roman"/>
          <w:color w:val="C45911" w:themeColor="accent2" w:themeShade="BF"/>
        </w:rPr>
        <w:t>Leader</w:t>
      </w:r>
      <w:bookmarkEnd w:id="38"/>
    </w:p>
    <w:p w14:paraId="250BD9C9"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Incorporating the implementation of Leader into the CAP Plan performance system presents some specific challenges. Leader has always embodied elements of the new delivery model, with its flexible, territory-specific approach, built on principles, needs and objectives, rather than menus and checklists. </w:t>
      </w:r>
    </w:p>
    <w:p w14:paraId="52AEB0EF"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 xml:space="preserve">Leader, whilst clearly intrinsically connected to specific objective (h) “promote employment, growth, gender equality, including the participation of women in farming, social inclusion and local development in rural areas, including circular bio-economy and sustainable forestry”, can also contribute to any of the other eight specific objectives and the cross cutting objective, through the design and implementation of Local Development Strategies (LDS). However, since Leader is a bottom-up initiative, the expected contributions from this intervention to CAP </w:t>
      </w:r>
      <w:r w:rsidR="00731331">
        <w:rPr>
          <w:rFonts w:ascii="Times New Roman" w:hAnsi="Times New Roman" w:cs="Times New Roman"/>
        </w:rPr>
        <w:t>s</w:t>
      </w:r>
      <w:r w:rsidR="001A19F6" w:rsidRPr="006F2CA5">
        <w:rPr>
          <w:rFonts w:ascii="Times New Roman" w:hAnsi="Times New Roman" w:cs="Times New Roman"/>
        </w:rPr>
        <w:t>trategic p</w:t>
      </w:r>
      <w:r w:rsidRPr="006F2CA5">
        <w:rPr>
          <w:rFonts w:ascii="Times New Roman" w:hAnsi="Times New Roman" w:cs="Times New Roman"/>
        </w:rPr>
        <w:t>lan results and objectives are difficult to anticipate before the LDS have been selected. A specific approach to incorporating Leader into the CAP Plan performance system is therefore proposed.</w:t>
      </w:r>
    </w:p>
    <w:p w14:paraId="12C6B484" w14:textId="77777777" w:rsidR="0008478C" w:rsidRPr="006F2CA5" w:rsidRDefault="0008478C" w:rsidP="00A82615">
      <w:pPr>
        <w:spacing w:before="120" w:after="240" w:line="264" w:lineRule="auto"/>
        <w:jc w:val="both"/>
        <w:rPr>
          <w:rFonts w:ascii="Times New Roman" w:hAnsi="Times New Roman" w:cs="Times New Roman"/>
        </w:rPr>
      </w:pPr>
      <w:r w:rsidRPr="006F2CA5">
        <w:rPr>
          <w:rFonts w:ascii="Times New Roman" w:hAnsi="Times New Roman" w:cs="Times New Roman"/>
        </w:rPr>
        <w:t>For the development and approval of the CAP Plan, the Leader intervention should be attributed to the LEADER specific result indicator R.38, which is linked to</w:t>
      </w:r>
      <w:r w:rsidR="001A19F6" w:rsidRPr="006F2CA5">
        <w:rPr>
          <w:rFonts w:ascii="Times New Roman" w:hAnsi="Times New Roman" w:cs="Times New Roman"/>
        </w:rPr>
        <w:t xml:space="preserve"> the</w:t>
      </w:r>
      <w:r w:rsidRPr="006F2CA5">
        <w:rPr>
          <w:rFonts w:ascii="Times New Roman" w:hAnsi="Times New Roman" w:cs="Times New Roman"/>
        </w:rPr>
        <w:t xml:space="preserve"> specific objective (h), and allows for setting a target indicating the expected rural population covered by LDS. </w:t>
      </w:r>
    </w:p>
    <w:p w14:paraId="6C07F0CF" w14:textId="77777777" w:rsidR="00705EC3" w:rsidRPr="006F2CA5" w:rsidRDefault="0008478C" w:rsidP="00A82615">
      <w:pPr>
        <w:spacing w:before="120" w:after="240" w:line="264" w:lineRule="auto"/>
        <w:jc w:val="both"/>
        <w:rPr>
          <w:rFonts w:ascii="Times New Roman" w:hAnsi="Times New Roman" w:cs="Times New Roman"/>
          <w:b/>
        </w:rPr>
      </w:pPr>
      <w:r w:rsidRPr="006F2CA5">
        <w:rPr>
          <w:rFonts w:ascii="Times New Roman" w:hAnsi="Times New Roman" w:cs="Times New Roman"/>
        </w:rPr>
        <w:t xml:space="preserve">Once all LDS have been selected, the </w:t>
      </w:r>
      <w:r w:rsidR="004313BC" w:rsidRPr="006F2CA5">
        <w:rPr>
          <w:rFonts w:ascii="Times New Roman" w:hAnsi="Times New Roman" w:cs="Times New Roman"/>
        </w:rPr>
        <w:t>MS</w:t>
      </w:r>
      <w:r w:rsidR="001A19F6" w:rsidRPr="006F2CA5">
        <w:rPr>
          <w:rFonts w:ascii="Times New Roman" w:hAnsi="Times New Roman" w:cs="Times New Roman"/>
        </w:rPr>
        <w:t xml:space="preserve"> should modify, where relevant, the CAP strategic p</w:t>
      </w:r>
      <w:r w:rsidRPr="006F2CA5">
        <w:rPr>
          <w:rFonts w:ascii="Times New Roman" w:hAnsi="Times New Roman" w:cs="Times New Roman"/>
        </w:rPr>
        <w:t xml:space="preserve">lan to add to the existing target values the additional contribution expected from implementation of the LDS. This may include introducing some additional </w:t>
      </w:r>
      <w:r w:rsidR="001A19F6" w:rsidRPr="006F2CA5">
        <w:rPr>
          <w:rFonts w:ascii="Times New Roman" w:hAnsi="Times New Roman" w:cs="Times New Roman"/>
        </w:rPr>
        <w:t>result indicators</w:t>
      </w:r>
      <w:r w:rsidR="00226F4A">
        <w:rPr>
          <w:rFonts w:ascii="Times New Roman" w:hAnsi="Times New Roman" w:cs="Times New Roman"/>
        </w:rPr>
        <w:t>.</w:t>
      </w:r>
      <w:r w:rsidRPr="006F2CA5">
        <w:rPr>
          <w:rFonts w:ascii="Times New Roman" w:hAnsi="Times New Roman" w:cs="Times New Roman"/>
        </w:rPr>
        <w:t xml:space="preserve"> </w:t>
      </w:r>
      <w:r w:rsidR="00D5353E">
        <w:rPr>
          <w:rFonts w:ascii="Times New Roman" w:hAnsi="Times New Roman" w:cs="Times New Roman"/>
        </w:rPr>
        <w:t>For example, i</w:t>
      </w:r>
      <w:r w:rsidR="00226F4A">
        <w:rPr>
          <w:rFonts w:ascii="Times New Roman" w:hAnsi="Times New Roman" w:cs="Times New Roman"/>
        </w:rPr>
        <w:t xml:space="preserve">t </w:t>
      </w:r>
      <w:r w:rsidRPr="006F2CA5">
        <w:rPr>
          <w:rFonts w:ascii="Times New Roman" w:hAnsi="Times New Roman" w:cs="Times New Roman"/>
        </w:rPr>
        <w:t xml:space="preserve">may be </w:t>
      </w:r>
      <w:r w:rsidR="00226F4A">
        <w:rPr>
          <w:rFonts w:ascii="Times New Roman" w:hAnsi="Times New Roman" w:cs="Times New Roman"/>
        </w:rPr>
        <w:t xml:space="preserve">the case </w:t>
      </w:r>
      <w:r w:rsidRPr="006F2CA5">
        <w:rPr>
          <w:rFonts w:ascii="Times New Roman" w:hAnsi="Times New Roman" w:cs="Times New Roman"/>
        </w:rPr>
        <w:t xml:space="preserve">that </w:t>
      </w:r>
      <w:r w:rsidR="00226F4A">
        <w:rPr>
          <w:rFonts w:ascii="Times New Roman" w:hAnsi="Times New Roman" w:cs="Times New Roman"/>
        </w:rPr>
        <w:t xml:space="preserve">certain result indicators, such as </w:t>
      </w:r>
      <w:r w:rsidRPr="006F2CA5">
        <w:rPr>
          <w:rFonts w:ascii="Times New Roman" w:hAnsi="Times New Roman" w:cs="Times New Roman"/>
        </w:rPr>
        <w:t>R.41 (share of rural population benefitting from improved access to services and infrastructure) or R.42 (promoting social inclusion)</w:t>
      </w:r>
      <w:r w:rsidR="00226F4A">
        <w:rPr>
          <w:rFonts w:ascii="Times New Roman" w:hAnsi="Times New Roman" w:cs="Times New Roman"/>
        </w:rPr>
        <w:t>,</w:t>
      </w:r>
      <w:r w:rsidRPr="006F2CA5">
        <w:rPr>
          <w:rFonts w:ascii="Times New Roman" w:hAnsi="Times New Roman" w:cs="Times New Roman"/>
        </w:rPr>
        <w:t xml:space="preserve"> are only supported via Leader. </w:t>
      </w:r>
      <w:r w:rsidR="004313BC" w:rsidRPr="006F2CA5">
        <w:rPr>
          <w:rFonts w:ascii="Times New Roman" w:hAnsi="Times New Roman" w:cs="Times New Roman"/>
        </w:rPr>
        <w:t>MS</w:t>
      </w:r>
      <w:r w:rsidRPr="006F2CA5">
        <w:rPr>
          <w:rFonts w:ascii="Times New Roman" w:hAnsi="Times New Roman" w:cs="Times New Roman"/>
        </w:rPr>
        <w:t xml:space="preserve"> should then incorporate the achieved contribution of LDS </w:t>
      </w:r>
      <w:r w:rsidR="001A19F6" w:rsidRPr="006F2CA5">
        <w:rPr>
          <w:rFonts w:ascii="Times New Roman" w:hAnsi="Times New Roman" w:cs="Times New Roman"/>
        </w:rPr>
        <w:t>to each of the identified result indicators</w:t>
      </w:r>
      <w:r w:rsidR="00E060E6">
        <w:rPr>
          <w:rFonts w:ascii="Times New Roman" w:hAnsi="Times New Roman" w:cs="Times New Roman"/>
        </w:rPr>
        <w:t xml:space="preserve"> in their APR. </w:t>
      </w:r>
    </w:p>
    <w:p w14:paraId="07AE32A2" w14:textId="77777777" w:rsidR="004313BC" w:rsidRPr="006F2CA5" w:rsidRDefault="004313BC" w:rsidP="00A82615">
      <w:pPr>
        <w:spacing w:before="120" w:after="240" w:line="264" w:lineRule="auto"/>
        <w:rPr>
          <w:rFonts w:ascii="Times New Roman" w:hAnsi="Times New Roman" w:cs="Times New Roman"/>
          <w:b/>
        </w:rPr>
        <w:sectPr w:rsidR="004313BC" w:rsidRPr="006F2CA5" w:rsidSect="003C2ED3">
          <w:footerReference w:type="default" r:id="rId22"/>
          <w:pgSz w:w="12240" w:h="15840"/>
          <w:pgMar w:top="1440" w:right="1440" w:bottom="1440" w:left="1440" w:header="708" w:footer="708" w:gutter="0"/>
          <w:pgNumType w:start="2"/>
          <w:cols w:space="708"/>
          <w:docGrid w:linePitch="360"/>
        </w:sectPr>
      </w:pPr>
    </w:p>
    <w:p w14:paraId="40D92706" w14:textId="55FDD974" w:rsidR="00307197" w:rsidRPr="000B58DB" w:rsidRDefault="00D67ED3" w:rsidP="000B58DB">
      <w:pPr>
        <w:pStyle w:val="Heading1"/>
        <w:spacing w:before="120" w:after="240" w:line="264" w:lineRule="auto"/>
        <w:rPr>
          <w:rFonts w:ascii="Times New Roman" w:hAnsi="Times New Roman" w:cs="Times New Roman"/>
          <w:color w:val="C45911" w:themeColor="accent2" w:themeShade="BF"/>
        </w:rPr>
      </w:pPr>
      <w:bookmarkStart w:id="39" w:name="_Toc126762226"/>
      <w:r w:rsidRPr="000B58DB">
        <w:rPr>
          <w:rFonts w:ascii="Times New Roman" w:hAnsi="Times New Roman" w:cs="Times New Roman"/>
          <w:color w:val="C45911" w:themeColor="accent2" w:themeShade="BF"/>
          <w:u w:val="single"/>
        </w:rPr>
        <w:lastRenderedPageBreak/>
        <w:t>A</w:t>
      </w:r>
      <w:r w:rsidR="007664B2" w:rsidRPr="000B58DB">
        <w:rPr>
          <w:rFonts w:ascii="Times New Roman" w:hAnsi="Times New Roman" w:cs="Times New Roman"/>
          <w:color w:val="C45911" w:themeColor="accent2" w:themeShade="BF"/>
          <w:u w:val="single"/>
        </w:rPr>
        <w:t>nnex</w:t>
      </w:r>
      <w:r w:rsidRPr="000B58DB">
        <w:rPr>
          <w:rFonts w:ascii="Times New Roman" w:hAnsi="Times New Roman" w:cs="Times New Roman"/>
          <w:color w:val="C45911" w:themeColor="accent2" w:themeShade="BF"/>
          <w:u w:val="single"/>
        </w:rPr>
        <w:t xml:space="preserve"> I</w:t>
      </w:r>
      <w:r w:rsidR="000B58DB" w:rsidRPr="000B58DB">
        <w:rPr>
          <w:rFonts w:ascii="Times New Roman" w:hAnsi="Times New Roman" w:cs="Times New Roman"/>
          <w:color w:val="C45911" w:themeColor="accent2" w:themeShade="BF"/>
        </w:rPr>
        <w:t xml:space="preserve">: </w:t>
      </w:r>
      <w:r w:rsidR="00307197" w:rsidRPr="000B58DB">
        <w:rPr>
          <w:rFonts w:ascii="Times New Roman" w:hAnsi="Times New Roman" w:cs="Times New Roman"/>
          <w:color w:val="C45911" w:themeColor="accent2" w:themeShade="BF"/>
        </w:rPr>
        <w:t>Types of interventions and associated output indicators</w:t>
      </w:r>
      <w:bookmarkEnd w:id="39"/>
    </w:p>
    <w:p w14:paraId="65BAF788" w14:textId="77777777" w:rsidR="00FA5BA5" w:rsidRPr="000B58DB" w:rsidRDefault="00206168" w:rsidP="000B58DB">
      <w:pPr>
        <w:spacing w:before="120" w:after="120" w:line="264" w:lineRule="auto"/>
        <w:rPr>
          <w:rFonts w:ascii="Times New Roman" w:hAnsi="Times New Roman" w:cs="Times New Roman"/>
          <w:b/>
          <w:sz w:val="20"/>
          <w:lang w:val="en-US"/>
        </w:rPr>
      </w:pPr>
      <w:r w:rsidRPr="000B58DB">
        <w:rPr>
          <w:rFonts w:ascii="Times New Roman" w:hAnsi="Times New Roman" w:cs="Times New Roman"/>
          <w:b/>
          <w:sz w:val="20"/>
          <w:lang w:val="en-US"/>
        </w:rPr>
        <w:t xml:space="preserve">Output indicators only used for the purpose of monitoring, communication and evaluation are marked with </w:t>
      </w:r>
      <w:r w:rsidRPr="000B58DB">
        <w:rPr>
          <w:rFonts w:ascii="Times New Roman" w:hAnsi="Times New Roman" w:cs="Times New Roman"/>
          <w:b/>
          <w:sz w:val="20"/>
          <w:vertAlign w:val="superscript"/>
          <w:lang w:val="en-US"/>
        </w:rPr>
        <w:t>MO</w:t>
      </w:r>
    </w:p>
    <w:tbl>
      <w:tblPr>
        <w:tblW w:w="0" w:type="auto"/>
        <w:tblLook w:val="04A0" w:firstRow="1" w:lastRow="0" w:firstColumn="1" w:lastColumn="0" w:noHBand="0" w:noVBand="1"/>
      </w:tblPr>
      <w:tblGrid>
        <w:gridCol w:w="3335"/>
        <w:gridCol w:w="6241"/>
      </w:tblGrid>
      <w:tr w:rsidR="00C64224" w:rsidRPr="006F2CA5" w14:paraId="72570C8F" w14:textId="77777777" w:rsidTr="0015400B">
        <w:trPr>
          <w:trHeight w:val="28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6FAE4" w14:textId="77777777" w:rsidR="00C64224" w:rsidRPr="0015400B" w:rsidRDefault="00C64224" w:rsidP="00A82615">
            <w:pPr>
              <w:spacing w:after="0" w:line="264" w:lineRule="auto"/>
              <w:jc w:val="center"/>
              <w:rPr>
                <w:rFonts w:ascii="Times New Roman" w:eastAsia="Times New Roman" w:hAnsi="Times New Roman" w:cs="Times New Roman"/>
                <w:b/>
                <w:szCs w:val="24"/>
                <w:lang w:val="en-US"/>
              </w:rPr>
            </w:pPr>
            <w:r w:rsidRPr="0015400B">
              <w:rPr>
                <w:rFonts w:ascii="Times New Roman" w:eastAsia="Times New Roman" w:hAnsi="Times New Roman" w:cs="Times New Roman"/>
                <w:b/>
                <w:szCs w:val="24"/>
              </w:rPr>
              <w:t>Type of intervention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3D88B" w14:textId="77777777" w:rsidR="00C64224" w:rsidRPr="0015400B" w:rsidRDefault="00206168" w:rsidP="00A82615">
            <w:pPr>
              <w:spacing w:after="0" w:line="264" w:lineRule="auto"/>
              <w:jc w:val="center"/>
              <w:rPr>
                <w:rFonts w:ascii="Times New Roman" w:eastAsia="Times New Roman" w:hAnsi="Times New Roman" w:cs="Times New Roman"/>
                <w:b/>
                <w:szCs w:val="24"/>
                <w:lang w:val="en-US"/>
              </w:rPr>
            </w:pPr>
            <w:r w:rsidRPr="0015400B">
              <w:rPr>
                <w:rFonts w:ascii="Times New Roman" w:eastAsia="Times New Roman" w:hAnsi="Times New Roman" w:cs="Times New Roman"/>
                <w:b/>
                <w:szCs w:val="24"/>
                <w:lang w:val="en-US"/>
              </w:rPr>
              <w:t>Output indicator</w:t>
            </w:r>
          </w:p>
        </w:tc>
      </w:tr>
      <w:tr w:rsidR="00825176" w:rsidRPr="006F2CA5" w14:paraId="5A302545"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89AF68" w14:textId="39198E78"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Cooperation (Article 77</w:t>
            </w:r>
            <w:r w:rsidR="00F23FDA">
              <w:rPr>
                <w:rFonts w:ascii="Times New Roman" w:eastAsia="Times New Roman" w:hAnsi="Times New Roman" w:cs="Times New Roman"/>
                <w:sz w:val="20"/>
                <w:szCs w:val="20"/>
              </w:rPr>
              <w:t xml:space="preserve"> of the SPR</w:t>
            </w:r>
            <w:r w:rsidRPr="006F2CA5">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D1ADA2A"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O.1 Number of European Innovation Partnership (EIP) operational group projects</w:t>
            </w:r>
          </w:p>
        </w:tc>
      </w:tr>
      <w:tr w:rsidR="00825176" w:rsidRPr="006F2CA5" w14:paraId="41892040"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2A1C2"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Knowledge exchange and dissemination of information (Article 78)</w:t>
            </w:r>
          </w:p>
        </w:tc>
        <w:tc>
          <w:tcPr>
            <w:tcW w:w="0" w:type="auto"/>
            <w:tcBorders>
              <w:top w:val="nil"/>
              <w:left w:val="nil"/>
              <w:bottom w:val="single" w:sz="4" w:space="0" w:color="auto"/>
              <w:right w:val="single" w:sz="4" w:space="0" w:color="auto"/>
            </w:tcBorders>
            <w:shd w:val="clear" w:color="auto" w:fill="auto"/>
            <w:vAlign w:val="center"/>
            <w:hideMark/>
          </w:tcPr>
          <w:p w14:paraId="59D45336"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O.2 Number of advice actions or units to provide innovation support for preparing or implementing European Innovation Partnership (EIP) operational group projects</w:t>
            </w:r>
          </w:p>
        </w:tc>
      </w:tr>
      <w:tr w:rsidR="00825176" w:rsidRPr="006F2CA5" w14:paraId="3465B2F9"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704BA"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Horizontal indicator</w:t>
            </w:r>
          </w:p>
        </w:tc>
        <w:tc>
          <w:tcPr>
            <w:tcW w:w="0" w:type="auto"/>
            <w:tcBorders>
              <w:top w:val="nil"/>
              <w:left w:val="nil"/>
              <w:bottom w:val="single" w:sz="4" w:space="0" w:color="auto"/>
              <w:right w:val="single" w:sz="4" w:space="0" w:color="auto"/>
            </w:tcBorders>
            <w:shd w:val="clear" w:color="auto" w:fill="auto"/>
            <w:vAlign w:val="center"/>
            <w:hideMark/>
          </w:tcPr>
          <w:p w14:paraId="566D265D" w14:textId="77777777" w:rsidR="00C64224" w:rsidRPr="006F2CA5" w:rsidRDefault="00C64224" w:rsidP="00D9431A">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w:t>
            </w:r>
            <w:r w:rsidR="00CE5B44" w:rsidRPr="00D5353E">
              <w:rPr>
                <w:rFonts w:ascii="Times New Roman" w:eastAsia="Times New Roman" w:hAnsi="Times New Roman" w:cs="Times New Roman"/>
                <w:noProof/>
                <w:sz w:val="20"/>
                <w:szCs w:val="20"/>
                <w:vertAlign w:val="superscript"/>
              </w:rPr>
              <w:t>MO</w:t>
            </w:r>
            <w:r w:rsidRPr="006F2CA5">
              <w:rPr>
                <w:rFonts w:ascii="Times New Roman" w:eastAsia="Times New Roman" w:hAnsi="Times New Roman" w:cs="Times New Roman"/>
                <w:noProof/>
                <w:sz w:val="20"/>
                <w:szCs w:val="20"/>
              </w:rPr>
              <w:t xml:space="preserve"> Number of CAP support beneficiaries</w:t>
            </w:r>
          </w:p>
        </w:tc>
      </w:tr>
      <w:tr w:rsidR="00825176" w:rsidRPr="006F2CA5" w14:paraId="674C8BBC"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8FD79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Basic income support (Article 21)</w:t>
            </w:r>
          </w:p>
        </w:tc>
        <w:tc>
          <w:tcPr>
            <w:tcW w:w="0" w:type="auto"/>
            <w:tcBorders>
              <w:top w:val="nil"/>
              <w:left w:val="nil"/>
              <w:bottom w:val="single" w:sz="4" w:space="0" w:color="auto"/>
              <w:right w:val="single" w:sz="4" w:space="0" w:color="auto"/>
            </w:tcBorders>
            <w:shd w:val="clear" w:color="auto" w:fill="auto"/>
            <w:vAlign w:val="center"/>
            <w:hideMark/>
          </w:tcPr>
          <w:p w14:paraId="754EB39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 xml:space="preserve">O.4 Number of hectares benefitting from basic income support </w:t>
            </w:r>
          </w:p>
        </w:tc>
      </w:tr>
      <w:tr w:rsidR="00825176" w:rsidRPr="006F2CA5" w14:paraId="05ED3924"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998A14"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Payment for small farmers (Article 28)</w:t>
            </w:r>
          </w:p>
        </w:tc>
        <w:tc>
          <w:tcPr>
            <w:tcW w:w="0" w:type="auto"/>
            <w:tcBorders>
              <w:top w:val="nil"/>
              <w:left w:val="nil"/>
              <w:bottom w:val="single" w:sz="4" w:space="0" w:color="auto"/>
              <w:right w:val="single" w:sz="4" w:space="0" w:color="auto"/>
            </w:tcBorders>
            <w:shd w:val="clear" w:color="auto" w:fill="auto"/>
            <w:vAlign w:val="center"/>
            <w:hideMark/>
          </w:tcPr>
          <w:p w14:paraId="635318D9"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O.5 Number of beneficiaries or hectares benefitting from payments for small farmers</w:t>
            </w:r>
          </w:p>
        </w:tc>
      </w:tr>
      <w:tr w:rsidR="00825176" w:rsidRPr="006F2CA5" w14:paraId="5A692A4E"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5DAAA"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Complementary income support for young farmers (Article 30)</w:t>
            </w:r>
          </w:p>
        </w:tc>
        <w:tc>
          <w:tcPr>
            <w:tcW w:w="0" w:type="auto"/>
            <w:tcBorders>
              <w:top w:val="nil"/>
              <w:left w:val="nil"/>
              <w:bottom w:val="single" w:sz="4" w:space="0" w:color="auto"/>
              <w:right w:val="single" w:sz="4" w:space="0" w:color="auto"/>
            </w:tcBorders>
            <w:shd w:val="clear" w:color="auto" w:fill="auto"/>
            <w:vAlign w:val="center"/>
            <w:hideMark/>
          </w:tcPr>
          <w:p w14:paraId="73929B9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O.6 Number of hectares benefitting from complementary income support for young farmers</w:t>
            </w:r>
          </w:p>
        </w:tc>
      </w:tr>
      <w:tr w:rsidR="00825176" w:rsidRPr="006F2CA5" w14:paraId="549E002F"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8E2CE"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Redistributive income support (Article 29)</w:t>
            </w:r>
          </w:p>
        </w:tc>
        <w:tc>
          <w:tcPr>
            <w:tcW w:w="0" w:type="auto"/>
            <w:tcBorders>
              <w:top w:val="nil"/>
              <w:left w:val="nil"/>
              <w:bottom w:val="single" w:sz="4" w:space="0" w:color="auto"/>
              <w:right w:val="single" w:sz="4" w:space="0" w:color="auto"/>
            </w:tcBorders>
            <w:shd w:val="clear" w:color="auto" w:fill="auto"/>
            <w:vAlign w:val="center"/>
            <w:hideMark/>
          </w:tcPr>
          <w:p w14:paraId="1171C4F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O.7 Number of hectares benefitting from complementary redistributive income support</w:t>
            </w:r>
          </w:p>
        </w:tc>
      </w:tr>
      <w:tr w:rsidR="00825176" w:rsidRPr="006F2CA5" w14:paraId="512AF469"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79FDB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Schemes for the climate, the environment and animal welfare (Article 31)</w:t>
            </w:r>
          </w:p>
        </w:tc>
        <w:tc>
          <w:tcPr>
            <w:tcW w:w="0" w:type="auto"/>
            <w:tcBorders>
              <w:top w:val="nil"/>
              <w:left w:val="nil"/>
              <w:bottom w:val="single" w:sz="4" w:space="0" w:color="auto"/>
              <w:right w:val="single" w:sz="4" w:space="0" w:color="auto"/>
            </w:tcBorders>
            <w:shd w:val="clear" w:color="auto" w:fill="auto"/>
            <w:vAlign w:val="center"/>
            <w:hideMark/>
          </w:tcPr>
          <w:p w14:paraId="7F072BD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O.8 Number of hectares or of livestock units benefitting from eco-schemes</w:t>
            </w:r>
          </w:p>
        </w:tc>
      </w:tr>
      <w:tr w:rsidR="00825176" w:rsidRPr="006F2CA5" w14:paraId="4B953BD2"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F374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Risk management (Article 76)</w:t>
            </w:r>
          </w:p>
        </w:tc>
        <w:tc>
          <w:tcPr>
            <w:tcW w:w="0" w:type="auto"/>
            <w:tcBorders>
              <w:top w:val="nil"/>
              <w:left w:val="nil"/>
              <w:bottom w:val="single" w:sz="4" w:space="0" w:color="auto"/>
              <w:right w:val="single" w:sz="4" w:space="0" w:color="auto"/>
            </w:tcBorders>
            <w:shd w:val="clear" w:color="auto" w:fill="auto"/>
            <w:vAlign w:val="center"/>
            <w:hideMark/>
          </w:tcPr>
          <w:p w14:paraId="2F28CEE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O.9 Number of units covered by supported CAP risk management tools</w:t>
            </w:r>
          </w:p>
        </w:tc>
      </w:tr>
      <w:tr w:rsidR="00C64224" w:rsidRPr="006F2CA5" w14:paraId="51E8EB13" w14:textId="77777777" w:rsidTr="00C64224">
        <w:trPr>
          <w:trHeight w:val="2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24B5F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Coupled income support (Article 32)</w:t>
            </w:r>
          </w:p>
        </w:tc>
        <w:tc>
          <w:tcPr>
            <w:tcW w:w="0" w:type="auto"/>
            <w:tcBorders>
              <w:top w:val="nil"/>
              <w:left w:val="nil"/>
              <w:bottom w:val="single" w:sz="4" w:space="0" w:color="auto"/>
              <w:right w:val="single" w:sz="4" w:space="0" w:color="auto"/>
            </w:tcBorders>
            <w:shd w:val="clear" w:color="auto" w:fill="auto"/>
            <w:vAlign w:val="center"/>
            <w:hideMark/>
          </w:tcPr>
          <w:p w14:paraId="166593E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O.10 Number of hectares benefitting from coupled income support</w:t>
            </w:r>
          </w:p>
        </w:tc>
      </w:tr>
      <w:tr w:rsidR="00825176" w:rsidRPr="006F2CA5" w14:paraId="6A200BA5"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6F8F1B0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00CE7A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O.11 Number of heads benefitting from coupled income support</w:t>
            </w:r>
          </w:p>
        </w:tc>
      </w:tr>
      <w:tr w:rsidR="00825176" w:rsidRPr="006F2CA5" w14:paraId="1B1BF2B6"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B9D31"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Natural or other area-specific constraints (Article 71)</w:t>
            </w:r>
          </w:p>
        </w:tc>
        <w:tc>
          <w:tcPr>
            <w:tcW w:w="0" w:type="auto"/>
            <w:tcBorders>
              <w:top w:val="nil"/>
              <w:left w:val="nil"/>
              <w:bottom w:val="single" w:sz="4" w:space="0" w:color="auto"/>
              <w:right w:val="single" w:sz="4" w:space="0" w:color="auto"/>
            </w:tcBorders>
            <w:shd w:val="clear" w:color="auto" w:fill="auto"/>
            <w:vAlign w:val="center"/>
            <w:hideMark/>
          </w:tcPr>
          <w:p w14:paraId="3D7A625A"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O.12 Number of hectares benefitting from support for areas facing natural or other specific constraints, including a breakdown per type of area</w:t>
            </w:r>
          </w:p>
        </w:tc>
      </w:tr>
      <w:tr w:rsidR="00825176" w:rsidRPr="006F2CA5" w14:paraId="3E340C28"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3AE5B2"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Area-specific disadvantages resulting from certain mandatory requirements (Article 72)</w:t>
            </w:r>
          </w:p>
        </w:tc>
        <w:tc>
          <w:tcPr>
            <w:tcW w:w="0" w:type="auto"/>
            <w:tcBorders>
              <w:top w:val="nil"/>
              <w:left w:val="nil"/>
              <w:bottom w:val="single" w:sz="4" w:space="0" w:color="auto"/>
              <w:right w:val="single" w:sz="4" w:space="0" w:color="auto"/>
            </w:tcBorders>
            <w:shd w:val="clear" w:color="auto" w:fill="auto"/>
            <w:vAlign w:val="center"/>
            <w:hideMark/>
          </w:tcPr>
          <w:p w14:paraId="608A8C45"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O.13 Number of hectares benefitting from support under Natura 2000 or Directive 2000/60/EC</w:t>
            </w:r>
          </w:p>
        </w:tc>
      </w:tr>
      <w:tr w:rsidR="00C64224" w:rsidRPr="006F2CA5" w14:paraId="19839A2E" w14:textId="77777777" w:rsidTr="00C64224">
        <w:trPr>
          <w:trHeight w:val="2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C3333E"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Environmental, climate-related and other management commitments (Article 70)</w:t>
            </w:r>
          </w:p>
        </w:tc>
        <w:tc>
          <w:tcPr>
            <w:tcW w:w="0" w:type="auto"/>
            <w:tcBorders>
              <w:top w:val="nil"/>
              <w:left w:val="nil"/>
              <w:bottom w:val="single" w:sz="4" w:space="0" w:color="auto"/>
              <w:right w:val="single" w:sz="4" w:space="0" w:color="auto"/>
            </w:tcBorders>
            <w:shd w:val="clear" w:color="auto" w:fill="auto"/>
            <w:vAlign w:val="center"/>
            <w:hideMark/>
          </w:tcPr>
          <w:p w14:paraId="7491D41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O.14 Number of hectares (excluding forestry) or number of other units covered by environmental or climate-related commitments going beyond mandatory requirements</w:t>
            </w:r>
          </w:p>
        </w:tc>
      </w:tr>
      <w:tr w:rsidR="00C64224" w:rsidRPr="006F2CA5" w14:paraId="40B00373"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68BEA65C"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500F47B"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O.15 Number of hectares (forestry) or number of other units covered by environmental or climate-related commitments going beyond mandatory requirements</w:t>
            </w:r>
          </w:p>
        </w:tc>
      </w:tr>
      <w:tr w:rsidR="00C64224" w:rsidRPr="006F2CA5" w14:paraId="2455D228"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3B813ADA"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7BBA27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O.16 Number of hectares or number of other units under maintenance commitments for afforestation and agroforestry</w:t>
            </w:r>
          </w:p>
        </w:tc>
      </w:tr>
      <w:tr w:rsidR="00C64224" w:rsidRPr="006F2CA5" w14:paraId="7DFFF380"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0B6C113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BDD25CC"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O.17 Number of hectares or number of other units benefitting from support for organic farming</w:t>
            </w:r>
          </w:p>
        </w:tc>
      </w:tr>
      <w:tr w:rsidR="00C64224" w:rsidRPr="006F2CA5" w14:paraId="11D09141"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5F2D6105"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AEFEFD4"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O.18 Number of livestock units (LU) benefitting from support for animal welfare, health or increased biosecurity measures</w:t>
            </w:r>
          </w:p>
        </w:tc>
      </w:tr>
      <w:tr w:rsidR="00825176" w:rsidRPr="006F2CA5" w14:paraId="6627A59E"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09611A32"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D36B0C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O.19 Number of operations or units supporting genetic resources</w:t>
            </w:r>
          </w:p>
        </w:tc>
      </w:tr>
      <w:tr w:rsidR="00C64224" w:rsidRPr="006F2CA5" w14:paraId="6280870D" w14:textId="77777777" w:rsidTr="00C64224">
        <w:trPr>
          <w:trHeight w:val="2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097F95"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Investments (Articles 73 and 74)</w:t>
            </w:r>
          </w:p>
        </w:tc>
        <w:tc>
          <w:tcPr>
            <w:tcW w:w="0" w:type="auto"/>
            <w:tcBorders>
              <w:top w:val="nil"/>
              <w:left w:val="nil"/>
              <w:bottom w:val="single" w:sz="4" w:space="0" w:color="auto"/>
              <w:right w:val="single" w:sz="4" w:space="0" w:color="auto"/>
            </w:tcBorders>
            <w:shd w:val="clear" w:color="auto" w:fill="auto"/>
            <w:vAlign w:val="center"/>
            <w:hideMark/>
          </w:tcPr>
          <w:p w14:paraId="7970412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O.20 Number of supported on-farm productive investment operations or units</w:t>
            </w:r>
          </w:p>
        </w:tc>
      </w:tr>
      <w:tr w:rsidR="00C64224" w:rsidRPr="006F2CA5" w14:paraId="484F1859"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77C9F0BC"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9255589"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O.21 Number of supported on-farm non-productive investment operations or units</w:t>
            </w:r>
          </w:p>
        </w:tc>
      </w:tr>
      <w:tr w:rsidR="00C64224" w:rsidRPr="006F2CA5" w14:paraId="1E36B64A"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1D65F549"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B7FBB06"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O.22 Number of supported infrastructure investment operations or units</w:t>
            </w:r>
          </w:p>
        </w:tc>
      </w:tr>
      <w:tr w:rsidR="00C64224" w:rsidRPr="006F2CA5" w14:paraId="6303F25D"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33FBF7F2"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463C831"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lang w:val="en-US"/>
              </w:rPr>
              <w:t>O.23 Number of supported off-farm non-productive investment</w:t>
            </w:r>
            <w:r w:rsidRPr="006F2CA5">
              <w:rPr>
                <w:rFonts w:ascii="Times New Roman" w:eastAsia="Times New Roman" w:hAnsi="Times New Roman" w:cs="Times New Roman"/>
                <w:strike/>
                <w:sz w:val="20"/>
                <w:szCs w:val="20"/>
                <w:lang w:val="en-US"/>
              </w:rPr>
              <w:t>s</w:t>
            </w:r>
            <w:r w:rsidRPr="006F2CA5">
              <w:rPr>
                <w:rFonts w:ascii="Times New Roman" w:eastAsia="Times New Roman" w:hAnsi="Times New Roman" w:cs="Times New Roman"/>
                <w:sz w:val="20"/>
                <w:szCs w:val="20"/>
                <w:lang w:val="en-US"/>
              </w:rPr>
              <w:t xml:space="preserve"> </w:t>
            </w:r>
            <w:r w:rsidRPr="006F2CA5">
              <w:rPr>
                <w:rFonts w:ascii="Times New Roman" w:eastAsia="Times New Roman" w:hAnsi="Times New Roman" w:cs="Times New Roman"/>
                <w:sz w:val="20"/>
                <w:szCs w:val="20"/>
                <w:lang w:val="en-US"/>
              </w:rPr>
              <w:lastRenderedPageBreak/>
              <w:t>operations or units</w:t>
            </w:r>
          </w:p>
        </w:tc>
      </w:tr>
      <w:tr w:rsidR="00825176" w:rsidRPr="006F2CA5" w14:paraId="19D3FEB8"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2975CF93"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7A9028F"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O.24 Number of supported off-farm productive investment operations or units</w:t>
            </w:r>
          </w:p>
        </w:tc>
      </w:tr>
      <w:tr w:rsidR="00C64224" w:rsidRPr="006F2CA5" w14:paraId="62FC3C3B" w14:textId="77777777" w:rsidTr="00C64224">
        <w:trPr>
          <w:trHeight w:val="2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DF995B"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Setting up of young farmers and new farmers and rural business start-up (Article 75)</w:t>
            </w:r>
          </w:p>
        </w:tc>
        <w:tc>
          <w:tcPr>
            <w:tcW w:w="0" w:type="auto"/>
            <w:tcBorders>
              <w:top w:val="nil"/>
              <w:left w:val="nil"/>
              <w:bottom w:val="single" w:sz="4" w:space="0" w:color="auto"/>
              <w:right w:val="single" w:sz="4" w:space="0" w:color="auto"/>
            </w:tcBorders>
            <w:shd w:val="clear" w:color="auto" w:fill="auto"/>
            <w:vAlign w:val="center"/>
            <w:hideMark/>
          </w:tcPr>
          <w:p w14:paraId="410B20F5"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O.25 Number of young farmers receiving setting-up support</w:t>
            </w:r>
          </w:p>
        </w:tc>
      </w:tr>
      <w:tr w:rsidR="00C64224" w:rsidRPr="006F2CA5" w14:paraId="229A8EA5"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019F8C7D"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0DD3DD9"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O.26 Number of new farmers receiving setting-up support (other than young farmers reported under O.25)</w:t>
            </w:r>
          </w:p>
        </w:tc>
      </w:tr>
      <w:tr w:rsidR="00825176" w:rsidRPr="006F2CA5" w14:paraId="3AC2AE17"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1E5F029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DF352F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O.27 Number of rural businesses receiving support for start-up</w:t>
            </w:r>
          </w:p>
        </w:tc>
      </w:tr>
      <w:tr w:rsidR="00C64224" w:rsidRPr="006F2CA5" w14:paraId="2329D318" w14:textId="77777777" w:rsidTr="00C64224">
        <w:trPr>
          <w:trHeight w:val="2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9D7275"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Cooperation (Article 77)</w:t>
            </w:r>
          </w:p>
        </w:tc>
        <w:tc>
          <w:tcPr>
            <w:tcW w:w="0" w:type="auto"/>
            <w:tcBorders>
              <w:top w:val="nil"/>
              <w:left w:val="nil"/>
              <w:bottom w:val="single" w:sz="4" w:space="0" w:color="auto"/>
              <w:right w:val="single" w:sz="4" w:space="0" w:color="auto"/>
            </w:tcBorders>
            <w:shd w:val="clear" w:color="auto" w:fill="auto"/>
            <w:vAlign w:val="center"/>
            <w:hideMark/>
          </w:tcPr>
          <w:p w14:paraId="083CE50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O.28 Number of supported producer groups and producer organisations</w:t>
            </w:r>
          </w:p>
        </w:tc>
      </w:tr>
      <w:tr w:rsidR="00C64224" w:rsidRPr="006F2CA5" w14:paraId="4BE352F1"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16940C0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89D0C07"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O.29 Number of beneficiaries receiving support to participate in official quality schemes</w:t>
            </w:r>
          </w:p>
        </w:tc>
      </w:tr>
      <w:tr w:rsidR="00C64224" w:rsidRPr="006F2CA5" w14:paraId="0521547B"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6AF1BEB1"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72D6FA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O.30 Number of supported operations or units for generational renewal (excluding setting-up support)</w:t>
            </w:r>
          </w:p>
        </w:tc>
      </w:tr>
      <w:tr w:rsidR="00C64224" w:rsidRPr="006F2CA5" w14:paraId="1760A65C"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6AB29AFE"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0F0F7D6"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O.31 Number of supported local development strategies (LEADER) or preparatory actions</w:t>
            </w:r>
          </w:p>
        </w:tc>
      </w:tr>
      <w:tr w:rsidR="00825176" w:rsidRPr="006F2CA5" w14:paraId="0C1EF40E" w14:textId="77777777" w:rsidTr="00C64224">
        <w:trPr>
          <w:trHeight w:val="284"/>
        </w:trPr>
        <w:tc>
          <w:tcPr>
            <w:tcW w:w="0" w:type="auto"/>
            <w:vMerge/>
            <w:tcBorders>
              <w:top w:val="nil"/>
              <w:left w:val="single" w:sz="4" w:space="0" w:color="auto"/>
              <w:bottom w:val="single" w:sz="4" w:space="0" w:color="auto"/>
              <w:right w:val="single" w:sz="4" w:space="0" w:color="auto"/>
            </w:tcBorders>
            <w:vAlign w:val="center"/>
            <w:hideMark/>
          </w:tcPr>
          <w:p w14:paraId="71DAD43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30B1B30"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O.32 Number of supported other cooperation operations or units (excluding EIP reported under O.1)</w:t>
            </w:r>
          </w:p>
        </w:tc>
      </w:tr>
      <w:tr w:rsidR="00825176" w:rsidRPr="006F2CA5" w14:paraId="46A626A1"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857B0E"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Knowledge exchange and dissemination of information (Article 78)</w:t>
            </w:r>
          </w:p>
        </w:tc>
        <w:tc>
          <w:tcPr>
            <w:tcW w:w="0" w:type="auto"/>
            <w:tcBorders>
              <w:top w:val="nil"/>
              <w:left w:val="nil"/>
              <w:bottom w:val="single" w:sz="4" w:space="0" w:color="auto"/>
              <w:right w:val="single" w:sz="4" w:space="0" w:color="auto"/>
            </w:tcBorders>
            <w:shd w:val="clear" w:color="auto" w:fill="auto"/>
            <w:vAlign w:val="center"/>
            <w:hideMark/>
          </w:tcPr>
          <w:p w14:paraId="0DCE83E2"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O.33 Number of supported training, advice and awareness actions or units</w:t>
            </w:r>
          </w:p>
        </w:tc>
      </w:tr>
      <w:tr w:rsidR="00825176" w:rsidRPr="006F2CA5" w14:paraId="135B814C"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24CACC"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Horizontal indicator</w:t>
            </w:r>
          </w:p>
        </w:tc>
        <w:tc>
          <w:tcPr>
            <w:tcW w:w="0" w:type="auto"/>
            <w:tcBorders>
              <w:top w:val="nil"/>
              <w:left w:val="nil"/>
              <w:bottom w:val="single" w:sz="4" w:space="0" w:color="auto"/>
              <w:right w:val="single" w:sz="4" w:space="0" w:color="auto"/>
            </w:tcBorders>
            <w:shd w:val="clear" w:color="auto" w:fill="auto"/>
            <w:vAlign w:val="center"/>
            <w:hideMark/>
          </w:tcPr>
          <w:p w14:paraId="7184EBEB"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O.34</w:t>
            </w:r>
            <w:r w:rsidR="00CE5B44" w:rsidRPr="00D5353E">
              <w:rPr>
                <w:rFonts w:ascii="Times New Roman" w:eastAsia="Times New Roman" w:hAnsi="Times New Roman" w:cs="Times New Roman"/>
                <w:sz w:val="20"/>
                <w:szCs w:val="20"/>
                <w:vertAlign w:val="superscript"/>
              </w:rPr>
              <w:t>MO</w:t>
            </w:r>
            <w:r w:rsidRPr="006F2CA5">
              <w:rPr>
                <w:rFonts w:ascii="Times New Roman" w:eastAsia="Times New Roman" w:hAnsi="Times New Roman" w:cs="Times New Roman"/>
                <w:sz w:val="20"/>
                <w:szCs w:val="20"/>
              </w:rPr>
              <w:t xml:space="preserve"> Number of hectares under environmental practices (summary indicator on physical area covered by conditionality, eco-schemes, agri- and forest-environment-climate management commitments)</w:t>
            </w:r>
          </w:p>
        </w:tc>
      </w:tr>
      <w:tr w:rsidR="00825176" w:rsidRPr="006F2CA5" w14:paraId="096074C8"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7BFBE1"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Types of intervention in certain sectors (Article 47)</w:t>
            </w:r>
          </w:p>
        </w:tc>
        <w:tc>
          <w:tcPr>
            <w:tcW w:w="0" w:type="auto"/>
            <w:tcBorders>
              <w:top w:val="nil"/>
              <w:left w:val="nil"/>
              <w:bottom w:val="single" w:sz="4" w:space="0" w:color="auto"/>
              <w:right w:val="single" w:sz="4" w:space="0" w:color="auto"/>
            </w:tcBorders>
            <w:shd w:val="clear" w:color="auto" w:fill="auto"/>
            <w:vAlign w:val="center"/>
            <w:hideMark/>
          </w:tcPr>
          <w:p w14:paraId="077AB43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sz w:val="20"/>
                <w:szCs w:val="20"/>
              </w:rPr>
              <w:t>O.35 Number of supported operational programmes</w:t>
            </w:r>
          </w:p>
        </w:tc>
      </w:tr>
      <w:tr w:rsidR="00825176" w:rsidRPr="006F2CA5" w14:paraId="15DC43A5"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CC51E"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Types of intervention in the wine sector (Article 58)</w:t>
            </w:r>
          </w:p>
        </w:tc>
        <w:tc>
          <w:tcPr>
            <w:tcW w:w="0" w:type="auto"/>
            <w:tcBorders>
              <w:top w:val="nil"/>
              <w:left w:val="nil"/>
              <w:bottom w:val="single" w:sz="4" w:space="0" w:color="auto"/>
              <w:right w:val="single" w:sz="4" w:space="0" w:color="auto"/>
            </w:tcBorders>
            <w:shd w:val="clear" w:color="auto" w:fill="auto"/>
            <w:vAlign w:val="center"/>
            <w:hideMark/>
          </w:tcPr>
          <w:p w14:paraId="6BD2ED08"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O.36 Number of actions or units supported in the wine sector</w:t>
            </w:r>
          </w:p>
        </w:tc>
      </w:tr>
      <w:tr w:rsidR="00825176" w:rsidRPr="006F2CA5" w14:paraId="51E20504" w14:textId="77777777" w:rsidTr="00C64224">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BCE9C"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Types of intervention in the apiculture sector (Article 55)</w:t>
            </w:r>
          </w:p>
        </w:tc>
        <w:tc>
          <w:tcPr>
            <w:tcW w:w="0" w:type="auto"/>
            <w:tcBorders>
              <w:top w:val="nil"/>
              <w:left w:val="nil"/>
              <w:bottom w:val="single" w:sz="4" w:space="0" w:color="auto"/>
              <w:right w:val="single" w:sz="4" w:space="0" w:color="auto"/>
            </w:tcBorders>
            <w:shd w:val="clear" w:color="auto" w:fill="auto"/>
            <w:vAlign w:val="center"/>
            <w:hideMark/>
          </w:tcPr>
          <w:p w14:paraId="4BD1FCF4" w14:textId="77777777" w:rsidR="00C64224" w:rsidRPr="006F2CA5" w:rsidRDefault="00C64224" w:rsidP="00A82615">
            <w:pPr>
              <w:spacing w:after="0" w:line="264" w:lineRule="auto"/>
              <w:rPr>
                <w:rFonts w:ascii="Times New Roman" w:eastAsia="Times New Roman" w:hAnsi="Times New Roman" w:cs="Times New Roman"/>
                <w:sz w:val="20"/>
                <w:szCs w:val="20"/>
                <w:lang w:val="en-US"/>
              </w:rPr>
            </w:pPr>
            <w:r w:rsidRPr="006F2CA5">
              <w:rPr>
                <w:rFonts w:ascii="Times New Roman" w:eastAsia="Times New Roman" w:hAnsi="Times New Roman" w:cs="Times New Roman"/>
                <w:noProof/>
                <w:sz w:val="20"/>
                <w:szCs w:val="20"/>
              </w:rPr>
              <w:t>O.37 Number of actions or units for beekeeping preservation or improvement</w:t>
            </w:r>
          </w:p>
        </w:tc>
      </w:tr>
    </w:tbl>
    <w:p w14:paraId="66E74544" w14:textId="77777777" w:rsidR="00FA5BA5" w:rsidRPr="006F2CA5" w:rsidRDefault="00FA5BA5" w:rsidP="00A82615">
      <w:pPr>
        <w:spacing w:after="120" w:line="264" w:lineRule="auto"/>
        <w:jc w:val="center"/>
        <w:rPr>
          <w:rFonts w:ascii="Times New Roman" w:hAnsi="Times New Roman" w:cs="Times New Roman"/>
          <w:b/>
          <w:sz w:val="16"/>
          <w:lang w:val="en-US"/>
        </w:rPr>
      </w:pPr>
    </w:p>
    <w:p w14:paraId="5159213C" w14:textId="77777777" w:rsidR="00FA5BA5" w:rsidRPr="006F2CA5" w:rsidRDefault="00FA5BA5" w:rsidP="00A82615">
      <w:pPr>
        <w:spacing w:after="120" w:line="264" w:lineRule="auto"/>
        <w:rPr>
          <w:rFonts w:ascii="Times New Roman" w:hAnsi="Times New Roman" w:cs="Times New Roman"/>
          <w:b/>
          <w:sz w:val="16"/>
          <w:lang w:val="en-US"/>
        </w:rPr>
      </w:pPr>
    </w:p>
    <w:p w14:paraId="635CEB56" w14:textId="77777777" w:rsidR="00953CDD" w:rsidRPr="006F2CA5" w:rsidRDefault="00953CDD" w:rsidP="00A82615">
      <w:pPr>
        <w:spacing w:after="120" w:line="264" w:lineRule="auto"/>
        <w:jc w:val="both"/>
        <w:rPr>
          <w:rFonts w:ascii="Times New Roman" w:hAnsi="Times New Roman" w:cs="Times New Roman"/>
          <w:b/>
          <w:lang w:val="en-US"/>
        </w:rPr>
        <w:sectPr w:rsidR="00953CDD" w:rsidRPr="006F2CA5">
          <w:pgSz w:w="12240" w:h="15840"/>
          <w:pgMar w:top="1440" w:right="1440" w:bottom="1440" w:left="1440" w:header="708" w:footer="708" w:gutter="0"/>
          <w:cols w:space="708"/>
          <w:docGrid w:linePitch="360"/>
        </w:sectPr>
      </w:pPr>
    </w:p>
    <w:p w14:paraId="7EBD3BB3" w14:textId="77777777" w:rsidR="00FC0258" w:rsidRPr="006F2CA5" w:rsidRDefault="00FC0258" w:rsidP="00A82615">
      <w:pPr>
        <w:spacing w:after="120" w:line="264" w:lineRule="auto"/>
        <w:jc w:val="both"/>
        <w:rPr>
          <w:rFonts w:ascii="Times New Roman" w:hAnsi="Times New Roman" w:cs="Times New Roman"/>
          <w:b/>
          <w:lang w:val="en-US"/>
        </w:rPr>
      </w:pPr>
    </w:p>
    <w:p w14:paraId="3CA82CBA" w14:textId="6C60F6F5" w:rsidR="00953CDD" w:rsidRPr="000B58DB" w:rsidRDefault="00953CDD" w:rsidP="000B58DB">
      <w:pPr>
        <w:pStyle w:val="Heading1"/>
        <w:spacing w:after="240"/>
        <w:ind w:left="431" w:hanging="431"/>
        <w:rPr>
          <w:rFonts w:ascii="Times New Roman" w:hAnsi="Times New Roman" w:cs="Times New Roman"/>
          <w:color w:val="C45911" w:themeColor="accent2" w:themeShade="BF"/>
        </w:rPr>
      </w:pPr>
      <w:bookmarkStart w:id="40" w:name="_Toc126762227"/>
      <w:r w:rsidRPr="000B58DB">
        <w:rPr>
          <w:rFonts w:ascii="Times New Roman" w:hAnsi="Times New Roman" w:cs="Times New Roman"/>
          <w:color w:val="C45911" w:themeColor="accent2" w:themeShade="BF"/>
          <w:u w:val="single"/>
        </w:rPr>
        <w:t>A</w:t>
      </w:r>
      <w:r w:rsidR="007664B2" w:rsidRPr="000B58DB">
        <w:rPr>
          <w:rFonts w:ascii="Times New Roman" w:hAnsi="Times New Roman" w:cs="Times New Roman"/>
          <w:color w:val="C45911" w:themeColor="accent2" w:themeShade="BF"/>
          <w:u w:val="single"/>
        </w:rPr>
        <w:t>nnex</w:t>
      </w:r>
      <w:r w:rsidR="000B58DB" w:rsidRPr="000B58DB">
        <w:rPr>
          <w:rFonts w:ascii="Times New Roman" w:hAnsi="Times New Roman" w:cs="Times New Roman"/>
          <w:color w:val="C45911" w:themeColor="accent2" w:themeShade="BF"/>
          <w:u w:val="single"/>
        </w:rPr>
        <w:t xml:space="preserve"> II</w:t>
      </w:r>
      <w:r w:rsidR="000B58DB" w:rsidRPr="000B58DB">
        <w:rPr>
          <w:rFonts w:ascii="Times New Roman" w:hAnsi="Times New Roman" w:cs="Times New Roman"/>
          <w:color w:val="C45911" w:themeColor="accent2" w:themeShade="BF"/>
        </w:rPr>
        <w:t xml:space="preserve">: </w:t>
      </w:r>
      <w:r w:rsidRPr="000B58DB">
        <w:rPr>
          <w:rFonts w:ascii="Times New Roman" w:hAnsi="Times New Roman" w:cs="Times New Roman"/>
          <w:color w:val="C45911" w:themeColor="accent2" w:themeShade="BF"/>
        </w:rPr>
        <w:t>Possible units of measurement for outputs</w:t>
      </w:r>
      <w:bookmarkEnd w:id="40"/>
    </w:p>
    <w:tbl>
      <w:tblPr>
        <w:tblW w:w="9175" w:type="dxa"/>
        <w:tblInd w:w="113" w:type="dxa"/>
        <w:tblLook w:val="04A0" w:firstRow="1" w:lastRow="0" w:firstColumn="1" w:lastColumn="0" w:noHBand="0" w:noVBand="1"/>
      </w:tblPr>
      <w:tblGrid>
        <w:gridCol w:w="2122"/>
        <w:gridCol w:w="4961"/>
        <w:gridCol w:w="2092"/>
      </w:tblGrid>
      <w:tr w:rsidR="00953CDD" w:rsidRPr="006F2CA5" w14:paraId="56E6AAF7" w14:textId="77777777" w:rsidTr="0015400B">
        <w:trPr>
          <w:trHeight w:val="416"/>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8A839" w14:textId="77777777" w:rsidR="00953CDD" w:rsidRPr="006F2CA5" w:rsidRDefault="00953CDD" w:rsidP="00A82615">
            <w:pPr>
              <w:spacing w:after="0" w:line="264" w:lineRule="auto"/>
              <w:jc w:val="center"/>
              <w:rPr>
                <w:rFonts w:ascii="Times New Roman" w:eastAsia="Times New Roman" w:hAnsi="Times New Roman" w:cs="Times New Roman"/>
                <w:b/>
                <w:bCs/>
                <w:sz w:val="20"/>
                <w:szCs w:val="20"/>
                <w:lang w:eastAsia="en-GB"/>
              </w:rPr>
            </w:pPr>
            <w:r w:rsidRPr="006F2CA5">
              <w:rPr>
                <w:rFonts w:ascii="Times New Roman" w:eastAsia="Times New Roman" w:hAnsi="Times New Roman" w:cs="Times New Roman"/>
                <w:b/>
                <w:bCs/>
                <w:sz w:val="20"/>
                <w:szCs w:val="20"/>
                <w:lang w:eastAsia="en-GB"/>
              </w:rPr>
              <w:t>Article</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A6594" w14:textId="77777777" w:rsidR="00953CDD" w:rsidRPr="006F2CA5" w:rsidRDefault="00953CDD" w:rsidP="00A82615">
            <w:pPr>
              <w:spacing w:after="0" w:line="264" w:lineRule="auto"/>
              <w:jc w:val="center"/>
              <w:rPr>
                <w:rFonts w:ascii="Times New Roman" w:eastAsia="Times New Roman" w:hAnsi="Times New Roman" w:cs="Times New Roman"/>
                <w:b/>
                <w:bCs/>
                <w:sz w:val="20"/>
                <w:szCs w:val="20"/>
                <w:lang w:eastAsia="en-GB"/>
              </w:rPr>
            </w:pPr>
            <w:r w:rsidRPr="006F2CA5">
              <w:rPr>
                <w:rFonts w:ascii="Times New Roman" w:eastAsia="Times New Roman" w:hAnsi="Times New Roman" w:cs="Times New Roman"/>
                <w:b/>
                <w:bCs/>
                <w:sz w:val="20"/>
                <w:szCs w:val="20"/>
                <w:lang w:eastAsia="en-GB"/>
              </w:rPr>
              <w:t>Output indicators</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7B490" w14:textId="77777777" w:rsidR="00953CDD" w:rsidRPr="006F2CA5" w:rsidRDefault="00953CDD" w:rsidP="00A82615">
            <w:pPr>
              <w:spacing w:after="0" w:line="264" w:lineRule="auto"/>
              <w:jc w:val="center"/>
              <w:rPr>
                <w:rFonts w:ascii="Times New Roman" w:eastAsia="Times New Roman" w:hAnsi="Times New Roman" w:cs="Times New Roman"/>
                <w:b/>
                <w:bCs/>
                <w:sz w:val="20"/>
                <w:szCs w:val="20"/>
                <w:lang w:eastAsia="en-GB"/>
              </w:rPr>
            </w:pPr>
            <w:r w:rsidRPr="006F2CA5">
              <w:rPr>
                <w:rFonts w:ascii="Times New Roman" w:eastAsia="Times New Roman" w:hAnsi="Times New Roman" w:cs="Times New Roman"/>
                <w:b/>
                <w:bCs/>
                <w:sz w:val="20"/>
                <w:szCs w:val="20"/>
                <w:lang w:eastAsia="en-GB"/>
              </w:rPr>
              <w:t>Possible Units</w:t>
            </w:r>
          </w:p>
        </w:tc>
      </w:tr>
      <w:tr w:rsidR="00953CDD" w:rsidRPr="006F2CA5" w14:paraId="671B938D"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6A39977A" w14:textId="5B863772" w:rsidR="00953CDD" w:rsidRPr="006F2CA5" w:rsidRDefault="00AC50E1" w:rsidP="00A82615">
            <w:pPr>
              <w:spacing w:after="0" w:line="264" w:lineRule="auto"/>
              <w:rPr>
                <w:rFonts w:ascii="Times New Roman" w:hAnsi="Times New Roman" w:cs="Times New Roman"/>
                <w:sz w:val="20"/>
                <w:szCs w:val="20"/>
              </w:rPr>
            </w:pPr>
            <w:r>
              <w:rPr>
                <w:rFonts w:ascii="Times New Roman" w:eastAsia="Times New Roman" w:hAnsi="Times New Roman" w:cs="Times New Roman"/>
                <w:sz w:val="20"/>
                <w:szCs w:val="20"/>
                <w:lang w:eastAsia="en-GB"/>
              </w:rPr>
              <w:t>Cooperation (Article 77</w:t>
            </w:r>
            <w:r w:rsidR="00F23FDA">
              <w:rPr>
                <w:rFonts w:ascii="Times New Roman" w:eastAsia="Times New Roman" w:hAnsi="Times New Roman" w:cs="Times New Roman"/>
                <w:sz w:val="20"/>
                <w:szCs w:val="20"/>
                <w:lang w:eastAsia="en-GB"/>
              </w:rPr>
              <w:t xml:space="preserve"> of the SPR</w:t>
            </w:r>
            <w:r w:rsidR="00953CDD" w:rsidRPr="006F2CA5">
              <w:rPr>
                <w:rFonts w:ascii="Times New Roman" w:eastAsia="Times New Roman" w:hAnsi="Times New Roman" w:cs="Times New Roman"/>
                <w:sz w:val="20"/>
                <w:szCs w:val="20"/>
                <w:lang w:eastAsia="en-GB"/>
              </w:rPr>
              <w:t>) Knowledge exchange an</w:t>
            </w:r>
            <w:r>
              <w:rPr>
                <w:rFonts w:ascii="Times New Roman" w:eastAsia="Times New Roman" w:hAnsi="Times New Roman" w:cs="Times New Roman"/>
                <w:sz w:val="20"/>
                <w:szCs w:val="20"/>
                <w:lang w:eastAsia="en-GB"/>
              </w:rPr>
              <w:t>d information (Article 78</w:t>
            </w:r>
            <w:r w:rsidR="00953CDD" w:rsidRPr="006F2CA5">
              <w:rPr>
                <w:rFonts w:ascii="Times New Roman" w:eastAsia="Times New Roman" w:hAnsi="Times New Roman" w:cs="Times New Roman"/>
                <w:sz w:val="20"/>
                <w:szCs w:val="20"/>
                <w:lang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03AE"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O.1 Number of European Innovation Partnership (EIP) operational group projects</w:t>
            </w:r>
          </w:p>
        </w:tc>
        <w:tc>
          <w:tcPr>
            <w:tcW w:w="2092" w:type="dxa"/>
            <w:tcBorders>
              <w:top w:val="single" w:sz="4" w:space="0" w:color="auto"/>
              <w:left w:val="nil"/>
              <w:bottom w:val="single" w:sz="4" w:space="0" w:color="auto"/>
              <w:right w:val="single" w:sz="4" w:space="0" w:color="auto"/>
            </w:tcBorders>
            <w:vAlign w:val="center"/>
          </w:tcPr>
          <w:p w14:paraId="2A1AF451"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Projects</w:t>
            </w:r>
          </w:p>
        </w:tc>
      </w:tr>
      <w:tr w:rsidR="00953CDD" w:rsidRPr="006F2CA5" w14:paraId="594B5EB0" w14:textId="77777777" w:rsidTr="0015400B">
        <w:trPr>
          <w:trHeight w:val="374"/>
        </w:trPr>
        <w:tc>
          <w:tcPr>
            <w:tcW w:w="2122" w:type="dxa"/>
            <w:vMerge/>
            <w:tcBorders>
              <w:left w:val="single" w:sz="4" w:space="0" w:color="auto"/>
              <w:right w:val="single" w:sz="4" w:space="0" w:color="auto"/>
            </w:tcBorders>
            <w:vAlign w:val="center"/>
          </w:tcPr>
          <w:p w14:paraId="27F8770B"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01FBAD47"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 Number of advice actions or units to provide innovation support for preparing or implementing European Innovation Partnership (EIP) operational group projects</w:t>
            </w:r>
          </w:p>
        </w:tc>
        <w:tc>
          <w:tcPr>
            <w:tcW w:w="2092" w:type="dxa"/>
            <w:tcBorders>
              <w:top w:val="single" w:sz="4" w:space="0" w:color="auto"/>
              <w:left w:val="nil"/>
              <w:bottom w:val="single" w:sz="4" w:space="0" w:color="auto"/>
              <w:right w:val="single" w:sz="4" w:space="0" w:color="auto"/>
            </w:tcBorders>
            <w:vAlign w:val="center"/>
          </w:tcPr>
          <w:p w14:paraId="2F332CD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6D3C796F" w14:textId="77777777" w:rsidTr="0015400B">
        <w:trPr>
          <w:trHeight w:val="156"/>
        </w:trPr>
        <w:tc>
          <w:tcPr>
            <w:tcW w:w="2122" w:type="dxa"/>
            <w:vMerge/>
            <w:tcBorders>
              <w:left w:val="single" w:sz="4" w:space="0" w:color="auto"/>
              <w:right w:val="single" w:sz="4" w:space="0" w:color="auto"/>
            </w:tcBorders>
            <w:vAlign w:val="center"/>
          </w:tcPr>
          <w:p w14:paraId="3B7C7415"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307E23EB"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234C37D"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Advisors</w:t>
            </w:r>
          </w:p>
        </w:tc>
      </w:tr>
      <w:tr w:rsidR="00953CDD" w:rsidRPr="006F2CA5" w14:paraId="465D39FC" w14:textId="77777777" w:rsidTr="0015400B">
        <w:trPr>
          <w:trHeight w:val="335"/>
        </w:trPr>
        <w:tc>
          <w:tcPr>
            <w:tcW w:w="2122" w:type="dxa"/>
            <w:vMerge/>
            <w:tcBorders>
              <w:left w:val="single" w:sz="4" w:space="0" w:color="auto"/>
              <w:bottom w:val="single" w:sz="4" w:space="0" w:color="auto"/>
              <w:right w:val="single" w:sz="4" w:space="0" w:color="auto"/>
            </w:tcBorders>
            <w:vAlign w:val="center"/>
          </w:tcPr>
          <w:p w14:paraId="440B8E3C"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0A5C77D4"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186DC64D"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04A34DAD" w14:textId="77777777" w:rsidTr="0015400B">
        <w:trPr>
          <w:trHeight w:val="300"/>
        </w:trPr>
        <w:tc>
          <w:tcPr>
            <w:tcW w:w="2122" w:type="dxa"/>
            <w:tcBorders>
              <w:top w:val="single" w:sz="4" w:space="0" w:color="auto"/>
              <w:left w:val="single" w:sz="4" w:space="0" w:color="auto"/>
              <w:bottom w:val="single" w:sz="4" w:space="0" w:color="auto"/>
              <w:right w:val="single" w:sz="4" w:space="0" w:color="auto"/>
            </w:tcBorders>
            <w:vAlign w:val="center"/>
          </w:tcPr>
          <w:p w14:paraId="0186535D"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BISS</w:t>
            </w:r>
            <w:r w:rsidR="003069C4">
              <w:rPr>
                <w:rFonts w:ascii="Times New Roman" w:hAnsi="Times New Roman" w:cs="Times New Roman"/>
                <w:sz w:val="20"/>
                <w:szCs w:val="20"/>
              </w:rPr>
              <w:t xml:space="preserve"> (Article </w:t>
            </w:r>
            <w:r w:rsidR="00A32108">
              <w:rPr>
                <w:rFonts w:ascii="Times New Roman" w:hAnsi="Times New Roman" w:cs="Times New Roman"/>
                <w:sz w:val="20"/>
                <w:szCs w:val="20"/>
              </w:rPr>
              <w:t>21</w:t>
            </w:r>
            <w:r w:rsidR="003069C4">
              <w:rPr>
                <w:rFonts w:ascii="Times New Roman" w:hAnsi="Times New Roman" w:cs="Times New Roman"/>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FF5"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O.4 Number of hectares </w:t>
            </w:r>
            <w:r w:rsidR="00090BD2">
              <w:rPr>
                <w:rFonts w:ascii="Times New Roman" w:eastAsia="Times New Roman" w:hAnsi="Times New Roman" w:cs="Times New Roman"/>
                <w:sz w:val="20"/>
                <w:szCs w:val="20"/>
                <w:lang w:eastAsia="en-GB"/>
              </w:rPr>
              <w:t>benefitting from</w:t>
            </w:r>
            <w:r w:rsidR="00D9431A">
              <w:rPr>
                <w:rFonts w:ascii="Times New Roman" w:eastAsia="Times New Roman" w:hAnsi="Times New Roman" w:cs="Times New Roman"/>
                <w:sz w:val="20"/>
                <w:szCs w:val="20"/>
                <w:lang w:eastAsia="en-GB"/>
              </w:rPr>
              <w:t xml:space="preserve"> </w:t>
            </w:r>
            <w:r w:rsidRPr="006F2CA5">
              <w:rPr>
                <w:rFonts w:ascii="Times New Roman" w:eastAsia="Times New Roman" w:hAnsi="Times New Roman" w:cs="Times New Roman"/>
                <w:sz w:val="20"/>
                <w:szCs w:val="20"/>
                <w:lang w:eastAsia="en-GB"/>
              </w:rPr>
              <w:t>basic income support</w:t>
            </w:r>
          </w:p>
        </w:tc>
        <w:tc>
          <w:tcPr>
            <w:tcW w:w="2092" w:type="dxa"/>
            <w:tcBorders>
              <w:top w:val="single" w:sz="4" w:space="0" w:color="auto"/>
              <w:left w:val="nil"/>
              <w:bottom w:val="single" w:sz="4" w:space="0" w:color="auto"/>
              <w:right w:val="single" w:sz="4" w:space="0" w:color="auto"/>
            </w:tcBorders>
            <w:vAlign w:val="center"/>
          </w:tcPr>
          <w:p w14:paraId="338EB42F"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431E67A1" w14:textId="77777777" w:rsidTr="0015400B">
        <w:trPr>
          <w:trHeight w:val="268"/>
        </w:trPr>
        <w:tc>
          <w:tcPr>
            <w:tcW w:w="2122" w:type="dxa"/>
            <w:vMerge w:val="restart"/>
            <w:tcBorders>
              <w:top w:val="single" w:sz="4" w:space="0" w:color="auto"/>
              <w:left w:val="single" w:sz="4" w:space="0" w:color="auto"/>
              <w:right w:val="single" w:sz="4" w:space="0" w:color="auto"/>
            </w:tcBorders>
            <w:vAlign w:val="center"/>
          </w:tcPr>
          <w:p w14:paraId="07E79279" w14:textId="77777777" w:rsidR="00953CDD" w:rsidRPr="006F2CA5" w:rsidRDefault="00953CDD" w:rsidP="003069C4">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BISS/P</w:t>
            </w:r>
            <w:r w:rsidR="00AC50E1">
              <w:rPr>
                <w:rFonts w:ascii="Times New Roman" w:hAnsi="Times New Roman" w:cs="Times New Roman"/>
                <w:sz w:val="20"/>
                <w:szCs w:val="20"/>
              </w:rPr>
              <w:t>ayment for small farmers (Art</w:t>
            </w:r>
            <w:r w:rsidR="003069C4">
              <w:rPr>
                <w:rFonts w:ascii="Times New Roman" w:hAnsi="Times New Roman" w:cs="Times New Roman"/>
                <w:sz w:val="20"/>
                <w:szCs w:val="20"/>
              </w:rPr>
              <w:t xml:space="preserve">icle </w:t>
            </w:r>
            <w:r w:rsidR="00AC50E1">
              <w:rPr>
                <w:rFonts w:ascii="Times New Roman" w:hAnsi="Times New Roman" w:cs="Times New Roman"/>
                <w:sz w:val="20"/>
                <w:szCs w:val="20"/>
              </w:rPr>
              <w:t>28</w:t>
            </w:r>
            <w:r w:rsidRPr="006F2CA5">
              <w:rPr>
                <w:rFonts w:ascii="Times New Roman" w:hAnsi="Times New Roman" w:cs="Times New Roman"/>
                <w:sz w:val="20"/>
                <w:szCs w:val="20"/>
              </w:rPr>
              <w:t>)</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59EAD2A8"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O.5 Number of beneficiaries or hectares </w:t>
            </w:r>
            <w:r w:rsidR="00090BD2">
              <w:rPr>
                <w:rFonts w:ascii="Times New Roman" w:eastAsia="Times New Roman" w:hAnsi="Times New Roman" w:cs="Times New Roman"/>
                <w:sz w:val="20"/>
                <w:szCs w:val="20"/>
                <w:lang w:eastAsia="en-GB"/>
              </w:rPr>
              <w:t xml:space="preserve">benefitting from </w:t>
            </w:r>
            <w:r w:rsidRPr="006F2CA5">
              <w:rPr>
                <w:rFonts w:ascii="Times New Roman" w:eastAsia="Times New Roman" w:hAnsi="Times New Roman" w:cs="Times New Roman"/>
                <w:sz w:val="20"/>
                <w:szCs w:val="20"/>
                <w:lang w:eastAsia="en-GB"/>
              </w:rPr>
              <w:t xml:space="preserve"> payments for small farmers</w:t>
            </w:r>
          </w:p>
        </w:tc>
        <w:tc>
          <w:tcPr>
            <w:tcW w:w="2092" w:type="dxa"/>
            <w:tcBorders>
              <w:top w:val="single" w:sz="4" w:space="0" w:color="auto"/>
              <w:left w:val="nil"/>
              <w:bottom w:val="single" w:sz="4" w:space="0" w:color="auto"/>
              <w:right w:val="single" w:sz="4" w:space="0" w:color="auto"/>
            </w:tcBorders>
            <w:vAlign w:val="center"/>
          </w:tcPr>
          <w:p w14:paraId="20A05D0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5555AFAE" w14:textId="77777777" w:rsidTr="0015400B">
        <w:trPr>
          <w:trHeight w:val="60"/>
        </w:trPr>
        <w:tc>
          <w:tcPr>
            <w:tcW w:w="2122" w:type="dxa"/>
            <w:vMerge/>
            <w:tcBorders>
              <w:left w:val="single" w:sz="4" w:space="0" w:color="auto"/>
              <w:bottom w:val="single" w:sz="4" w:space="0" w:color="auto"/>
              <w:right w:val="single" w:sz="4" w:space="0" w:color="auto"/>
            </w:tcBorders>
            <w:vAlign w:val="center"/>
          </w:tcPr>
          <w:p w14:paraId="007A7644"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7517BBF5"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A929B1F"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70803" w:rsidRPr="006F2CA5" w14:paraId="0E78781E" w14:textId="77777777" w:rsidTr="00D53674">
        <w:trPr>
          <w:trHeight w:val="255"/>
        </w:trPr>
        <w:tc>
          <w:tcPr>
            <w:tcW w:w="2122" w:type="dxa"/>
            <w:vMerge w:val="restart"/>
            <w:tcBorders>
              <w:top w:val="single" w:sz="4" w:space="0" w:color="auto"/>
              <w:left w:val="single" w:sz="4" w:space="0" w:color="auto"/>
              <w:right w:val="single" w:sz="4" w:space="0" w:color="auto"/>
            </w:tcBorders>
            <w:vAlign w:val="center"/>
          </w:tcPr>
          <w:p w14:paraId="5341819F" w14:textId="77777777" w:rsidR="00970803" w:rsidRPr="006F2CA5" w:rsidRDefault="00970803" w:rsidP="00A32108">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CISYF</w:t>
            </w:r>
            <w:r>
              <w:rPr>
                <w:rFonts w:ascii="Times New Roman" w:hAnsi="Times New Roman" w:cs="Times New Roman"/>
                <w:sz w:val="20"/>
                <w:szCs w:val="20"/>
              </w:rPr>
              <w:t xml:space="preserve"> (Article 30) </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1316A1AF" w14:textId="77777777" w:rsidR="00970803" w:rsidRPr="006F2CA5" w:rsidRDefault="00970803"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O.6 Number of hectares </w:t>
            </w:r>
            <w:r>
              <w:rPr>
                <w:rFonts w:ascii="Times New Roman" w:eastAsia="Times New Roman" w:hAnsi="Times New Roman" w:cs="Times New Roman"/>
                <w:sz w:val="20"/>
                <w:szCs w:val="20"/>
                <w:lang w:eastAsia="en-GB"/>
              </w:rPr>
              <w:t xml:space="preserve">benefitting from </w:t>
            </w:r>
            <w:r w:rsidRPr="006F2CA5">
              <w:rPr>
                <w:rFonts w:ascii="Times New Roman" w:eastAsia="Times New Roman" w:hAnsi="Times New Roman" w:cs="Times New Roman"/>
                <w:sz w:val="20"/>
                <w:szCs w:val="20"/>
                <w:lang w:eastAsia="en-GB"/>
              </w:rPr>
              <w:t xml:space="preserve"> complementary income support for young farmers</w:t>
            </w:r>
          </w:p>
        </w:tc>
        <w:tc>
          <w:tcPr>
            <w:tcW w:w="2092" w:type="dxa"/>
            <w:tcBorders>
              <w:top w:val="single" w:sz="4" w:space="0" w:color="auto"/>
              <w:left w:val="nil"/>
              <w:bottom w:val="single" w:sz="4" w:space="0" w:color="auto"/>
              <w:right w:val="single" w:sz="4" w:space="0" w:color="auto"/>
            </w:tcBorders>
            <w:vAlign w:val="center"/>
          </w:tcPr>
          <w:p w14:paraId="66455FC8" w14:textId="77777777" w:rsidR="00970803" w:rsidRPr="006F2CA5" w:rsidRDefault="00B47EC6" w:rsidP="00B47EC6">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70803" w:rsidRPr="006F2CA5" w14:paraId="289CE0DC" w14:textId="77777777" w:rsidTr="00D53674">
        <w:trPr>
          <w:trHeight w:val="255"/>
        </w:trPr>
        <w:tc>
          <w:tcPr>
            <w:tcW w:w="2122" w:type="dxa"/>
            <w:vMerge/>
            <w:tcBorders>
              <w:left w:val="single" w:sz="4" w:space="0" w:color="auto"/>
              <w:bottom w:val="single" w:sz="4" w:space="0" w:color="auto"/>
              <w:right w:val="single" w:sz="4" w:space="0" w:color="auto"/>
            </w:tcBorders>
            <w:vAlign w:val="center"/>
          </w:tcPr>
          <w:p w14:paraId="3EA4BF0F" w14:textId="77777777" w:rsidR="00970803" w:rsidRPr="006F2CA5" w:rsidRDefault="00970803" w:rsidP="00A32108">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51428A13" w14:textId="77777777" w:rsidR="00970803" w:rsidRPr="006F2CA5" w:rsidRDefault="00970803" w:rsidP="00A82615">
            <w:pPr>
              <w:spacing w:after="0" w:line="264" w:lineRule="auto"/>
              <w:rPr>
                <w:rFonts w:ascii="Times New Roman" w:eastAsia="Times New Roman" w:hAnsi="Times New Roman" w:cs="Times New Roman"/>
                <w:sz w:val="20"/>
                <w:szCs w:val="20"/>
                <w:lang w:eastAsia="en-GB"/>
              </w:rPr>
            </w:pPr>
          </w:p>
        </w:tc>
        <w:tc>
          <w:tcPr>
            <w:tcW w:w="2092" w:type="dxa"/>
            <w:tcBorders>
              <w:top w:val="single" w:sz="4" w:space="0" w:color="auto"/>
              <w:left w:val="nil"/>
              <w:bottom w:val="single" w:sz="4" w:space="0" w:color="auto"/>
              <w:right w:val="single" w:sz="4" w:space="0" w:color="auto"/>
            </w:tcBorders>
            <w:vAlign w:val="center"/>
          </w:tcPr>
          <w:p w14:paraId="00B7DCC3" w14:textId="77777777" w:rsidR="00970803" w:rsidRPr="006F2CA5" w:rsidRDefault="00B47EC6" w:rsidP="00B47EC6">
            <w:pPr>
              <w:spacing w:after="0" w:line="264" w:lineRule="auto"/>
              <w:jc w:val="center"/>
              <w:rPr>
                <w:rFonts w:ascii="Times New Roman" w:hAnsi="Times New Roman" w:cs="Times New Roman"/>
                <w:sz w:val="20"/>
                <w:szCs w:val="20"/>
              </w:rPr>
            </w:pPr>
            <w:r>
              <w:rPr>
                <w:rFonts w:ascii="Times New Roman" w:hAnsi="Times New Roman" w:cs="Times New Roman"/>
                <w:sz w:val="20"/>
                <w:szCs w:val="20"/>
              </w:rPr>
              <w:t>Beneficiaries</w:t>
            </w:r>
          </w:p>
        </w:tc>
      </w:tr>
      <w:tr w:rsidR="00953CDD" w:rsidRPr="006F2CA5" w14:paraId="40E1E61C" w14:textId="77777777" w:rsidTr="0015400B">
        <w:trPr>
          <w:trHeight w:val="300"/>
        </w:trPr>
        <w:tc>
          <w:tcPr>
            <w:tcW w:w="2122" w:type="dxa"/>
            <w:tcBorders>
              <w:top w:val="single" w:sz="4" w:space="0" w:color="auto"/>
              <w:left w:val="single" w:sz="4" w:space="0" w:color="auto"/>
              <w:bottom w:val="single" w:sz="4" w:space="0" w:color="auto"/>
              <w:right w:val="single" w:sz="4" w:space="0" w:color="auto"/>
            </w:tcBorders>
            <w:vAlign w:val="center"/>
          </w:tcPr>
          <w:p w14:paraId="256B1E5C" w14:textId="77777777" w:rsidR="00953CDD" w:rsidRPr="006F2CA5" w:rsidRDefault="00A32108"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CRISS</w:t>
            </w:r>
            <w:r>
              <w:rPr>
                <w:rFonts w:ascii="Times New Roman" w:hAnsi="Times New Roman" w:cs="Times New Roman"/>
                <w:sz w:val="20"/>
                <w:szCs w:val="20"/>
              </w:rPr>
              <w:t xml:space="preserve"> (Article 29)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9786483"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lang w:val="en-IE"/>
              </w:rPr>
              <w:t xml:space="preserve">O.7 Number of hectares </w:t>
            </w:r>
            <w:r w:rsidR="00090BD2">
              <w:rPr>
                <w:rFonts w:ascii="Times New Roman" w:hAnsi="Times New Roman" w:cs="Times New Roman"/>
                <w:sz w:val="20"/>
                <w:szCs w:val="20"/>
                <w:lang w:val="en-IE"/>
              </w:rPr>
              <w:t>benefitting from</w:t>
            </w:r>
            <w:r w:rsidR="00090BD2" w:rsidRPr="006F2CA5">
              <w:rPr>
                <w:rFonts w:ascii="Times New Roman" w:hAnsi="Times New Roman" w:cs="Times New Roman"/>
                <w:sz w:val="20"/>
                <w:szCs w:val="20"/>
                <w:lang w:val="en-IE"/>
              </w:rPr>
              <w:t xml:space="preserve"> </w:t>
            </w:r>
            <w:r w:rsidRPr="006F2CA5">
              <w:rPr>
                <w:rFonts w:ascii="Times New Roman" w:hAnsi="Times New Roman" w:cs="Times New Roman"/>
                <w:sz w:val="20"/>
                <w:szCs w:val="20"/>
                <w:lang w:val="en-IE"/>
              </w:rPr>
              <w:t>complementary redistributive income support</w:t>
            </w:r>
          </w:p>
        </w:tc>
        <w:tc>
          <w:tcPr>
            <w:tcW w:w="2092" w:type="dxa"/>
            <w:tcBorders>
              <w:top w:val="single" w:sz="4" w:space="0" w:color="auto"/>
              <w:left w:val="nil"/>
              <w:bottom w:val="single" w:sz="4" w:space="0" w:color="auto"/>
              <w:right w:val="single" w:sz="4" w:space="0" w:color="auto"/>
            </w:tcBorders>
            <w:vAlign w:val="center"/>
          </w:tcPr>
          <w:p w14:paraId="3AB4B072"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3A51DC21"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3545967E"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 xml:space="preserve">Echo </w:t>
            </w:r>
            <w:r w:rsidR="00A32108">
              <w:rPr>
                <w:rFonts w:ascii="Times New Roman" w:hAnsi="Times New Roman" w:cs="Times New Roman"/>
                <w:sz w:val="20"/>
                <w:szCs w:val="20"/>
              </w:rPr>
              <w:t>–</w:t>
            </w:r>
            <w:r w:rsidRPr="006F2CA5">
              <w:rPr>
                <w:rFonts w:ascii="Times New Roman" w:hAnsi="Times New Roman" w:cs="Times New Roman"/>
                <w:sz w:val="20"/>
                <w:szCs w:val="20"/>
              </w:rPr>
              <w:t xml:space="preserve"> schemes</w:t>
            </w:r>
            <w:r w:rsidR="00A32108">
              <w:rPr>
                <w:rFonts w:ascii="Times New Roman" w:hAnsi="Times New Roman" w:cs="Times New Roman"/>
                <w:sz w:val="20"/>
                <w:szCs w:val="20"/>
              </w:rPr>
              <w:t xml:space="preserve"> (Article 21)</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49AB1CD7"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lang w:val="en-IE"/>
              </w:rPr>
              <w:t>O.8 Number of hectares or livestock units</w:t>
            </w:r>
            <w:r w:rsidR="00090BD2">
              <w:rPr>
                <w:rFonts w:ascii="Times New Roman" w:hAnsi="Times New Roman" w:cs="Times New Roman"/>
                <w:sz w:val="20"/>
                <w:szCs w:val="20"/>
                <w:lang w:val="en-IE"/>
              </w:rPr>
              <w:t xml:space="preserve"> benefitting from</w:t>
            </w:r>
            <w:r w:rsidRPr="006F2CA5">
              <w:rPr>
                <w:rFonts w:ascii="Times New Roman" w:hAnsi="Times New Roman" w:cs="Times New Roman"/>
                <w:sz w:val="20"/>
                <w:szCs w:val="20"/>
                <w:lang w:val="en-IE"/>
              </w:rPr>
              <w:t xml:space="preserve"> eco-schemes</w:t>
            </w:r>
          </w:p>
        </w:tc>
        <w:tc>
          <w:tcPr>
            <w:tcW w:w="2092" w:type="dxa"/>
            <w:tcBorders>
              <w:top w:val="single" w:sz="4" w:space="0" w:color="auto"/>
              <w:left w:val="nil"/>
              <w:bottom w:val="single" w:sz="4" w:space="0" w:color="auto"/>
              <w:right w:val="single" w:sz="4" w:space="0" w:color="auto"/>
            </w:tcBorders>
            <w:vAlign w:val="center"/>
          </w:tcPr>
          <w:p w14:paraId="447E3F5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7CEDD36" w14:textId="77777777" w:rsidTr="0015400B">
        <w:trPr>
          <w:trHeight w:val="300"/>
        </w:trPr>
        <w:tc>
          <w:tcPr>
            <w:tcW w:w="2122" w:type="dxa"/>
            <w:vMerge/>
            <w:tcBorders>
              <w:left w:val="single" w:sz="4" w:space="0" w:color="auto"/>
              <w:bottom w:val="single" w:sz="4" w:space="0" w:color="auto"/>
              <w:right w:val="single" w:sz="4" w:space="0" w:color="auto"/>
            </w:tcBorders>
            <w:vAlign w:val="center"/>
          </w:tcPr>
          <w:p w14:paraId="7176B5CD"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7229752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3B813B5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Livestock units</w:t>
            </w:r>
          </w:p>
        </w:tc>
      </w:tr>
      <w:tr w:rsidR="00953CDD" w:rsidRPr="006F2CA5" w14:paraId="0DC78B27"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06094194"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Risk management  (A</w:t>
            </w:r>
            <w:r w:rsidR="00AC50E1">
              <w:rPr>
                <w:rFonts w:ascii="Times New Roman" w:eastAsia="Times New Roman" w:hAnsi="Times New Roman" w:cs="Times New Roman"/>
                <w:sz w:val="20"/>
                <w:szCs w:val="20"/>
                <w:lang w:eastAsia="en-GB"/>
              </w:rPr>
              <w:t>rticle 76</w:t>
            </w:r>
            <w:r w:rsidRPr="006F2CA5">
              <w:rPr>
                <w:rFonts w:ascii="Times New Roman" w:eastAsia="Times New Roman" w:hAnsi="Times New Roman" w:cs="Times New Roman"/>
                <w:sz w:val="20"/>
                <w:szCs w:val="20"/>
                <w:lang w:eastAsia="en-GB"/>
              </w:rPr>
              <w:t>)</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2C257FE4"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O.9 Number of units covered by supported CAP risk management </w:t>
            </w:r>
            <w:r w:rsidRPr="006F2CA5">
              <w:rPr>
                <w:rFonts w:ascii="Times New Roman" w:hAnsi="Times New Roman" w:cs="Times New Roman"/>
                <w:sz w:val="20"/>
                <w:szCs w:val="20"/>
              </w:rPr>
              <w:t>tools</w:t>
            </w:r>
          </w:p>
        </w:tc>
        <w:tc>
          <w:tcPr>
            <w:tcW w:w="2092" w:type="dxa"/>
            <w:tcBorders>
              <w:top w:val="single" w:sz="4" w:space="0" w:color="auto"/>
              <w:left w:val="nil"/>
              <w:bottom w:val="single" w:sz="4" w:space="0" w:color="auto"/>
              <w:right w:val="single" w:sz="4" w:space="0" w:color="auto"/>
            </w:tcBorders>
            <w:vAlign w:val="center"/>
          </w:tcPr>
          <w:p w14:paraId="35A81F5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040D3FB4" w14:textId="77777777" w:rsidTr="0015400B">
        <w:trPr>
          <w:trHeight w:val="300"/>
        </w:trPr>
        <w:tc>
          <w:tcPr>
            <w:tcW w:w="2122" w:type="dxa"/>
            <w:vMerge/>
            <w:tcBorders>
              <w:left w:val="single" w:sz="4" w:space="0" w:color="auto"/>
              <w:right w:val="single" w:sz="4" w:space="0" w:color="auto"/>
            </w:tcBorders>
            <w:vAlign w:val="center"/>
          </w:tcPr>
          <w:p w14:paraId="3B320746"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094DD370"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09B51C59"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34129267" w14:textId="77777777" w:rsidTr="0015400B">
        <w:trPr>
          <w:trHeight w:val="300"/>
        </w:trPr>
        <w:tc>
          <w:tcPr>
            <w:tcW w:w="2122" w:type="dxa"/>
            <w:vMerge/>
            <w:tcBorders>
              <w:left w:val="single" w:sz="4" w:space="0" w:color="auto"/>
              <w:right w:val="single" w:sz="4" w:space="0" w:color="auto"/>
            </w:tcBorders>
            <w:vAlign w:val="center"/>
          </w:tcPr>
          <w:p w14:paraId="0B5186CE"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51AD38F8"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D6F5B68"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Funds</w:t>
            </w:r>
          </w:p>
        </w:tc>
      </w:tr>
      <w:tr w:rsidR="00953CDD" w:rsidRPr="006F2CA5" w14:paraId="78EA111F" w14:textId="77777777" w:rsidTr="0015400B">
        <w:trPr>
          <w:trHeight w:val="300"/>
        </w:trPr>
        <w:tc>
          <w:tcPr>
            <w:tcW w:w="2122" w:type="dxa"/>
            <w:vMerge/>
            <w:tcBorders>
              <w:left w:val="single" w:sz="4" w:space="0" w:color="auto"/>
              <w:right w:val="single" w:sz="4" w:space="0" w:color="auto"/>
            </w:tcBorders>
            <w:vAlign w:val="center"/>
          </w:tcPr>
          <w:p w14:paraId="4787495E"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2C166DB9"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37C0C20"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Livestock units</w:t>
            </w:r>
          </w:p>
        </w:tc>
      </w:tr>
      <w:tr w:rsidR="00953CDD" w:rsidRPr="006F2CA5" w14:paraId="67ECA002" w14:textId="77777777" w:rsidTr="0015400B">
        <w:trPr>
          <w:trHeight w:val="300"/>
        </w:trPr>
        <w:tc>
          <w:tcPr>
            <w:tcW w:w="2122" w:type="dxa"/>
            <w:vMerge/>
            <w:tcBorders>
              <w:left w:val="single" w:sz="4" w:space="0" w:color="auto"/>
              <w:bottom w:val="single" w:sz="4" w:space="0" w:color="auto"/>
              <w:right w:val="single" w:sz="4" w:space="0" w:color="auto"/>
            </w:tcBorders>
            <w:vAlign w:val="center"/>
          </w:tcPr>
          <w:p w14:paraId="469FC8E0"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7AEA0187"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E49952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455132D9"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7BC363A2"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CIS</w:t>
            </w:r>
            <w:r w:rsidR="003069C4">
              <w:rPr>
                <w:rFonts w:ascii="Times New Roman" w:hAnsi="Times New Roman" w:cs="Times New Roman"/>
                <w:sz w:val="20"/>
                <w:szCs w:val="20"/>
              </w:rPr>
              <w:t xml:space="preserve"> (Article 32)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482C"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O.10 Number of hectares benefitting from coupled income support</w:t>
            </w:r>
          </w:p>
        </w:tc>
        <w:tc>
          <w:tcPr>
            <w:tcW w:w="2092" w:type="dxa"/>
            <w:tcBorders>
              <w:top w:val="single" w:sz="4" w:space="0" w:color="auto"/>
              <w:left w:val="nil"/>
              <w:bottom w:val="single" w:sz="4" w:space="0" w:color="auto"/>
              <w:right w:val="single" w:sz="4" w:space="0" w:color="auto"/>
            </w:tcBorders>
            <w:vAlign w:val="center"/>
          </w:tcPr>
          <w:p w14:paraId="4B277F7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19CA5248" w14:textId="77777777" w:rsidTr="0015400B">
        <w:trPr>
          <w:trHeight w:val="300"/>
        </w:trPr>
        <w:tc>
          <w:tcPr>
            <w:tcW w:w="2122" w:type="dxa"/>
            <w:vMerge/>
            <w:tcBorders>
              <w:left w:val="single" w:sz="4" w:space="0" w:color="auto"/>
              <w:right w:val="single" w:sz="4" w:space="0" w:color="auto"/>
            </w:tcBorders>
            <w:vAlign w:val="center"/>
          </w:tcPr>
          <w:p w14:paraId="57188107"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tcBorders>
              <w:top w:val="single" w:sz="4" w:space="0" w:color="auto"/>
              <w:left w:val="single" w:sz="4" w:space="0" w:color="auto"/>
              <w:right w:val="single" w:sz="4" w:space="0" w:color="auto"/>
            </w:tcBorders>
            <w:shd w:val="clear" w:color="auto" w:fill="auto"/>
            <w:vAlign w:val="center"/>
            <w:hideMark/>
          </w:tcPr>
          <w:p w14:paraId="621ACD58"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O.11 Number of heads benefitting from coupled income support</w:t>
            </w:r>
          </w:p>
        </w:tc>
        <w:tc>
          <w:tcPr>
            <w:tcW w:w="2092" w:type="dxa"/>
            <w:tcBorders>
              <w:top w:val="single" w:sz="4" w:space="0" w:color="auto"/>
              <w:left w:val="nil"/>
              <w:bottom w:val="single" w:sz="4" w:space="0" w:color="auto"/>
              <w:right w:val="single" w:sz="4" w:space="0" w:color="auto"/>
            </w:tcBorders>
            <w:vAlign w:val="center"/>
          </w:tcPr>
          <w:p w14:paraId="3944A71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Heads</w:t>
            </w:r>
          </w:p>
        </w:tc>
      </w:tr>
      <w:tr w:rsidR="00953CDD" w:rsidRPr="006F2CA5" w14:paraId="0AE1A85D" w14:textId="77777777" w:rsidTr="0015400B">
        <w:trPr>
          <w:trHeight w:val="300"/>
        </w:trPr>
        <w:tc>
          <w:tcPr>
            <w:tcW w:w="2122" w:type="dxa"/>
            <w:tcBorders>
              <w:top w:val="single" w:sz="4" w:space="0" w:color="auto"/>
              <w:left w:val="single" w:sz="4" w:space="0" w:color="auto"/>
              <w:bottom w:val="single" w:sz="4" w:space="0" w:color="auto"/>
              <w:right w:val="single" w:sz="4" w:space="0" w:color="auto"/>
            </w:tcBorders>
            <w:vAlign w:val="center"/>
          </w:tcPr>
          <w:p w14:paraId="01C3477C"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ANC</w:t>
            </w:r>
            <w:r w:rsidR="003069C4">
              <w:rPr>
                <w:rFonts w:ascii="Times New Roman" w:hAnsi="Times New Roman" w:cs="Times New Roman"/>
                <w:sz w:val="20"/>
                <w:szCs w:val="20"/>
              </w:rPr>
              <w:t xml:space="preserve"> (Article 71)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A23C8"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O.12 Number of hectares </w:t>
            </w:r>
            <w:r w:rsidR="00090BD2">
              <w:rPr>
                <w:rFonts w:ascii="Times New Roman" w:eastAsia="Times New Roman" w:hAnsi="Times New Roman" w:cs="Times New Roman"/>
                <w:sz w:val="20"/>
                <w:szCs w:val="20"/>
                <w:lang w:eastAsia="en-GB"/>
              </w:rPr>
              <w:t>benefitting from</w:t>
            </w:r>
            <w:r w:rsidR="00090BD2" w:rsidRPr="006F2CA5">
              <w:rPr>
                <w:rFonts w:ascii="Times New Roman" w:eastAsia="Times New Roman" w:hAnsi="Times New Roman" w:cs="Times New Roman"/>
                <w:sz w:val="20"/>
                <w:szCs w:val="20"/>
                <w:lang w:eastAsia="en-GB"/>
              </w:rPr>
              <w:t xml:space="preserve"> </w:t>
            </w:r>
            <w:r w:rsidRPr="006F2CA5">
              <w:rPr>
                <w:rFonts w:ascii="Times New Roman" w:eastAsia="Times New Roman" w:hAnsi="Times New Roman" w:cs="Times New Roman"/>
                <w:sz w:val="20"/>
                <w:szCs w:val="20"/>
                <w:lang w:eastAsia="en-GB"/>
              </w:rPr>
              <w:t>support for areas facing natural or other specific constraints</w:t>
            </w:r>
            <w:r w:rsidRPr="006F2CA5">
              <w:rPr>
                <w:rFonts w:ascii="Times New Roman" w:hAnsi="Times New Roman" w:cs="Times New Roman"/>
                <w:sz w:val="20"/>
                <w:szCs w:val="20"/>
              </w:rPr>
              <w:t>, including a breakdown per type of area</w:t>
            </w:r>
          </w:p>
        </w:tc>
        <w:tc>
          <w:tcPr>
            <w:tcW w:w="2092" w:type="dxa"/>
            <w:tcBorders>
              <w:top w:val="single" w:sz="4" w:space="0" w:color="auto"/>
              <w:left w:val="nil"/>
              <w:bottom w:val="single" w:sz="4" w:space="0" w:color="auto"/>
              <w:right w:val="single" w:sz="4" w:space="0" w:color="auto"/>
            </w:tcBorders>
            <w:vAlign w:val="center"/>
          </w:tcPr>
          <w:p w14:paraId="235B914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1D2F821" w14:textId="77777777" w:rsidTr="0015400B">
        <w:trPr>
          <w:trHeight w:val="646"/>
        </w:trPr>
        <w:tc>
          <w:tcPr>
            <w:tcW w:w="2122" w:type="dxa"/>
            <w:tcBorders>
              <w:top w:val="single" w:sz="4" w:space="0" w:color="auto"/>
              <w:left w:val="single" w:sz="4" w:space="0" w:color="auto"/>
              <w:bottom w:val="single" w:sz="4" w:space="0" w:color="auto"/>
              <w:right w:val="single" w:sz="4" w:space="0" w:color="auto"/>
            </w:tcBorders>
            <w:vAlign w:val="center"/>
          </w:tcPr>
          <w:p w14:paraId="0E04C185"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Natura 2000</w:t>
            </w:r>
            <w:r w:rsidR="003069C4">
              <w:rPr>
                <w:rFonts w:ascii="Times New Roman" w:hAnsi="Times New Roman" w:cs="Times New Roman"/>
                <w:sz w:val="20"/>
                <w:szCs w:val="20"/>
              </w:rPr>
              <w:t xml:space="preserve"> (Article 72)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B49A"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O.13 Number of hectares </w:t>
            </w:r>
            <w:r w:rsidR="00090BD2">
              <w:rPr>
                <w:rFonts w:ascii="Times New Roman" w:eastAsia="Times New Roman" w:hAnsi="Times New Roman" w:cs="Times New Roman"/>
                <w:sz w:val="20"/>
                <w:szCs w:val="20"/>
                <w:lang w:eastAsia="en-GB"/>
              </w:rPr>
              <w:t>benefitting from</w:t>
            </w:r>
            <w:r w:rsidR="00090BD2" w:rsidRPr="006F2CA5">
              <w:rPr>
                <w:rFonts w:ascii="Times New Roman" w:eastAsia="Times New Roman" w:hAnsi="Times New Roman" w:cs="Times New Roman"/>
                <w:sz w:val="20"/>
                <w:szCs w:val="20"/>
                <w:lang w:eastAsia="en-GB"/>
              </w:rPr>
              <w:t xml:space="preserve"> </w:t>
            </w:r>
            <w:r w:rsidRPr="006F2CA5">
              <w:rPr>
                <w:rFonts w:ascii="Times New Roman" w:eastAsia="Times New Roman" w:hAnsi="Times New Roman" w:cs="Times New Roman"/>
                <w:sz w:val="20"/>
                <w:szCs w:val="20"/>
                <w:lang w:eastAsia="en-GB"/>
              </w:rPr>
              <w:t>support under Natura 2000 or Directive 2000/60/EC</w:t>
            </w:r>
          </w:p>
        </w:tc>
        <w:tc>
          <w:tcPr>
            <w:tcW w:w="2092" w:type="dxa"/>
            <w:tcBorders>
              <w:top w:val="single" w:sz="4" w:space="0" w:color="auto"/>
              <w:left w:val="nil"/>
              <w:bottom w:val="single" w:sz="4" w:space="0" w:color="auto"/>
              <w:right w:val="single" w:sz="4" w:space="0" w:color="auto"/>
            </w:tcBorders>
            <w:vAlign w:val="center"/>
          </w:tcPr>
          <w:p w14:paraId="4F9D5501"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2DE64EF" w14:textId="77777777" w:rsidTr="0015400B">
        <w:trPr>
          <w:trHeight w:val="414"/>
        </w:trPr>
        <w:tc>
          <w:tcPr>
            <w:tcW w:w="2122" w:type="dxa"/>
            <w:vMerge w:val="restart"/>
            <w:tcBorders>
              <w:top w:val="single" w:sz="4" w:space="0" w:color="auto"/>
              <w:left w:val="single" w:sz="4" w:space="0" w:color="auto"/>
              <w:right w:val="single" w:sz="4" w:space="0" w:color="auto"/>
            </w:tcBorders>
            <w:vAlign w:val="center"/>
          </w:tcPr>
          <w:p w14:paraId="7585F1FC"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Environmental,- climate and other ma</w:t>
            </w:r>
            <w:r w:rsidR="008C0511">
              <w:rPr>
                <w:rFonts w:ascii="Times New Roman" w:eastAsia="Times New Roman" w:hAnsi="Times New Roman" w:cs="Times New Roman"/>
                <w:sz w:val="20"/>
                <w:szCs w:val="20"/>
                <w:lang w:eastAsia="en-GB"/>
              </w:rPr>
              <w:t>nagement commitments (Article 70</w:t>
            </w:r>
            <w:r w:rsidRPr="006F2CA5">
              <w:rPr>
                <w:rFonts w:ascii="Times New Roman" w:eastAsia="Times New Roman" w:hAnsi="Times New Roman" w:cs="Times New Roman"/>
                <w:sz w:val="20"/>
                <w:szCs w:val="20"/>
                <w:lang w:eastAsia="en-GB"/>
              </w:rPr>
              <w:t>)</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2EA1553F"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O.14 Number of hectares (excluding forestry) or number of other units covered by environment</w:t>
            </w:r>
            <w:r w:rsidR="00090BD2">
              <w:rPr>
                <w:rFonts w:ascii="Times New Roman" w:eastAsia="Times New Roman" w:hAnsi="Times New Roman" w:cs="Times New Roman"/>
                <w:sz w:val="20"/>
                <w:szCs w:val="20"/>
                <w:lang w:eastAsia="en-GB"/>
              </w:rPr>
              <w:t>al  or</w:t>
            </w:r>
            <w:r w:rsidR="00D9431A">
              <w:rPr>
                <w:rFonts w:ascii="Times New Roman" w:eastAsia="Times New Roman" w:hAnsi="Times New Roman" w:cs="Times New Roman"/>
                <w:sz w:val="20"/>
                <w:szCs w:val="20"/>
                <w:lang w:eastAsia="en-GB"/>
              </w:rPr>
              <w:t xml:space="preserve"> </w:t>
            </w:r>
            <w:r w:rsidRPr="006F2CA5">
              <w:rPr>
                <w:rFonts w:ascii="Times New Roman" w:eastAsia="Times New Roman" w:hAnsi="Times New Roman" w:cs="Times New Roman"/>
                <w:sz w:val="20"/>
                <w:szCs w:val="20"/>
                <w:lang w:eastAsia="en-GB"/>
              </w:rPr>
              <w:t>climate</w:t>
            </w:r>
            <w:r w:rsidR="00090BD2">
              <w:rPr>
                <w:rFonts w:ascii="Times New Roman" w:eastAsia="Times New Roman" w:hAnsi="Times New Roman" w:cs="Times New Roman"/>
                <w:sz w:val="20"/>
                <w:szCs w:val="20"/>
                <w:lang w:eastAsia="en-GB"/>
              </w:rPr>
              <w:t>-related</w:t>
            </w:r>
            <w:r w:rsidRPr="006F2CA5">
              <w:rPr>
                <w:rFonts w:ascii="Times New Roman" w:eastAsia="Times New Roman" w:hAnsi="Times New Roman" w:cs="Times New Roman"/>
                <w:sz w:val="20"/>
                <w:szCs w:val="20"/>
                <w:lang w:eastAsia="en-GB"/>
              </w:rPr>
              <w:t xml:space="preserve"> commitments going beyond mandatory requirements</w:t>
            </w:r>
          </w:p>
        </w:tc>
        <w:tc>
          <w:tcPr>
            <w:tcW w:w="2092" w:type="dxa"/>
            <w:tcBorders>
              <w:top w:val="single" w:sz="4" w:space="0" w:color="auto"/>
              <w:left w:val="nil"/>
              <w:bottom w:val="single" w:sz="4" w:space="0" w:color="auto"/>
              <w:right w:val="single" w:sz="4" w:space="0" w:color="auto"/>
            </w:tcBorders>
            <w:vAlign w:val="center"/>
          </w:tcPr>
          <w:p w14:paraId="7E501FB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6CBD793" w14:textId="77777777" w:rsidTr="0015400B">
        <w:trPr>
          <w:trHeight w:val="350"/>
        </w:trPr>
        <w:tc>
          <w:tcPr>
            <w:tcW w:w="2122" w:type="dxa"/>
            <w:vMerge/>
            <w:tcBorders>
              <w:left w:val="single" w:sz="4" w:space="0" w:color="auto"/>
              <w:right w:val="single" w:sz="4" w:space="0" w:color="auto"/>
            </w:tcBorders>
            <w:vAlign w:val="center"/>
          </w:tcPr>
          <w:p w14:paraId="08D3058F"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22890589"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right w:val="single" w:sz="4" w:space="0" w:color="auto"/>
            </w:tcBorders>
            <w:vAlign w:val="center"/>
          </w:tcPr>
          <w:p w14:paraId="7DA6104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3877AC47" w14:textId="77777777" w:rsidTr="0015400B">
        <w:trPr>
          <w:trHeight w:val="390"/>
        </w:trPr>
        <w:tc>
          <w:tcPr>
            <w:tcW w:w="2122" w:type="dxa"/>
            <w:vMerge/>
            <w:tcBorders>
              <w:left w:val="single" w:sz="4" w:space="0" w:color="auto"/>
              <w:right w:val="single" w:sz="4" w:space="0" w:color="auto"/>
            </w:tcBorders>
            <w:vAlign w:val="center"/>
          </w:tcPr>
          <w:p w14:paraId="351A036F"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42029BC8"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O.15 Number of hectares (forestry) or number of other units covered by environment</w:t>
            </w:r>
            <w:r w:rsidR="00090BD2">
              <w:rPr>
                <w:rFonts w:ascii="Times New Roman" w:eastAsia="Times New Roman" w:hAnsi="Times New Roman" w:cs="Times New Roman"/>
                <w:sz w:val="20"/>
                <w:szCs w:val="20"/>
                <w:lang w:eastAsia="en-GB"/>
              </w:rPr>
              <w:t xml:space="preserve">al or </w:t>
            </w:r>
            <w:r w:rsidRPr="006F2CA5">
              <w:rPr>
                <w:rFonts w:ascii="Times New Roman" w:eastAsia="Times New Roman" w:hAnsi="Times New Roman" w:cs="Times New Roman"/>
                <w:sz w:val="20"/>
                <w:szCs w:val="20"/>
                <w:lang w:eastAsia="en-GB"/>
              </w:rPr>
              <w:t>climate</w:t>
            </w:r>
            <w:r w:rsidR="00090BD2">
              <w:rPr>
                <w:rFonts w:ascii="Times New Roman" w:eastAsia="Times New Roman" w:hAnsi="Times New Roman" w:cs="Times New Roman"/>
                <w:sz w:val="20"/>
                <w:szCs w:val="20"/>
                <w:lang w:eastAsia="en-GB"/>
              </w:rPr>
              <w:t>-related</w:t>
            </w:r>
            <w:r w:rsidRPr="006F2CA5">
              <w:rPr>
                <w:rFonts w:ascii="Times New Roman" w:eastAsia="Times New Roman" w:hAnsi="Times New Roman" w:cs="Times New Roman"/>
                <w:sz w:val="20"/>
                <w:szCs w:val="20"/>
                <w:lang w:eastAsia="en-GB"/>
              </w:rPr>
              <w:t xml:space="preserve"> commitments going beyond mandatory requirements</w:t>
            </w:r>
          </w:p>
        </w:tc>
        <w:tc>
          <w:tcPr>
            <w:tcW w:w="2092" w:type="dxa"/>
            <w:tcBorders>
              <w:top w:val="single" w:sz="4" w:space="0" w:color="auto"/>
              <w:left w:val="nil"/>
              <w:bottom w:val="single" w:sz="4" w:space="0" w:color="auto"/>
              <w:right w:val="single" w:sz="4" w:space="0" w:color="auto"/>
            </w:tcBorders>
            <w:vAlign w:val="center"/>
          </w:tcPr>
          <w:p w14:paraId="791F150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CC9D92F" w14:textId="77777777" w:rsidTr="0015400B">
        <w:trPr>
          <w:trHeight w:val="356"/>
        </w:trPr>
        <w:tc>
          <w:tcPr>
            <w:tcW w:w="2122" w:type="dxa"/>
            <w:vMerge/>
            <w:tcBorders>
              <w:left w:val="single" w:sz="4" w:space="0" w:color="auto"/>
              <w:right w:val="single" w:sz="4" w:space="0" w:color="auto"/>
            </w:tcBorders>
            <w:vAlign w:val="center"/>
          </w:tcPr>
          <w:p w14:paraId="6218F2BD"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7225196B"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144D1922"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Trees</w:t>
            </w:r>
          </w:p>
        </w:tc>
      </w:tr>
      <w:tr w:rsidR="00953CDD" w:rsidRPr="006F2CA5" w14:paraId="6B045823" w14:textId="77777777" w:rsidTr="0015400B">
        <w:trPr>
          <w:trHeight w:val="308"/>
        </w:trPr>
        <w:tc>
          <w:tcPr>
            <w:tcW w:w="2122" w:type="dxa"/>
            <w:vMerge/>
            <w:tcBorders>
              <w:left w:val="single" w:sz="4" w:space="0" w:color="auto"/>
              <w:right w:val="single" w:sz="4" w:space="0" w:color="auto"/>
            </w:tcBorders>
            <w:vAlign w:val="center"/>
          </w:tcPr>
          <w:p w14:paraId="169DC3E2"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3D70667B"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right w:val="single" w:sz="4" w:space="0" w:color="auto"/>
            </w:tcBorders>
            <w:vAlign w:val="center"/>
          </w:tcPr>
          <w:p w14:paraId="1C184B10"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4F647A60" w14:textId="77777777" w:rsidTr="0015400B">
        <w:trPr>
          <w:trHeight w:val="300"/>
        </w:trPr>
        <w:tc>
          <w:tcPr>
            <w:tcW w:w="2122" w:type="dxa"/>
            <w:vMerge/>
            <w:tcBorders>
              <w:left w:val="single" w:sz="4" w:space="0" w:color="auto"/>
              <w:right w:val="single" w:sz="4" w:space="0" w:color="auto"/>
            </w:tcBorders>
            <w:vAlign w:val="center"/>
          </w:tcPr>
          <w:p w14:paraId="20B620D1"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tcPr>
          <w:p w14:paraId="0615AD33"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O.16 Number of hectares or number of other units under maintenance commitments for afforestation and agroforestry</w:t>
            </w:r>
          </w:p>
        </w:tc>
        <w:tc>
          <w:tcPr>
            <w:tcW w:w="2092" w:type="dxa"/>
            <w:tcBorders>
              <w:top w:val="single" w:sz="4" w:space="0" w:color="auto"/>
              <w:left w:val="nil"/>
              <w:bottom w:val="single" w:sz="4" w:space="0" w:color="auto"/>
              <w:right w:val="single" w:sz="4" w:space="0" w:color="auto"/>
            </w:tcBorders>
            <w:vAlign w:val="center"/>
          </w:tcPr>
          <w:p w14:paraId="08A224A5"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5D44EF5E" w14:textId="77777777" w:rsidTr="0015400B">
        <w:trPr>
          <w:trHeight w:val="300"/>
        </w:trPr>
        <w:tc>
          <w:tcPr>
            <w:tcW w:w="2122" w:type="dxa"/>
            <w:vMerge/>
            <w:tcBorders>
              <w:left w:val="single" w:sz="4" w:space="0" w:color="auto"/>
              <w:right w:val="single" w:sz="4" w:space="0" w:color="auto"/>
            </w:tcBorders>
            <w:vAlign w:val="center"/>
          </w:tcPr>
          <w:p w14:paraId="5CB783B3"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0744472B"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16AE7A1"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Trees</w:t>
            </w:r>
          </w:p>
        </w:tc>
      </w:tr>
      <w:tr w:rsidR="00953CDD" w:rsidRPr="006F2CA5" w14:paraId="2A890FB9" w14:textId="77777777" w:rsidTr="0015400B">
        <w:trPr>
          <w:trHeight w:val="300"/>
        </w:trPr>
        <w:tc>
          <w:tcPr>
            <w:tcW w:w="2122" w:type="dxa"/>
            <w:vMerge/>
            <w:tcBorders>
              <w:left w:val="single" w:sz="4" w:space="0" w:color="auto"/>
              <w:right w:val="single" w:sz="4" w:space="0" w:color="auto"/>
            </w:tcBorders>
            <w:vAlign w:val="center"/>
          </w:tcPr>
          <w:p w14:paraId="389FC7DC"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64C30D2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9DD516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5EB22729" w14:textId="77777777" w:rsidTr="0015400B">
        <w:trPr>
          <w:trHeight w:val="300"/>
        </w:trPr>
        <w:tc>
          <w:tcPr>
            <w:tcW w:w="2122" w:type="dxa"/>
            <w:vMerge/>
            <w:tcBorders>
              <w:left w:val="single" w:sz="4" w:space="0" w:color="auto"/>
              <w:right w:val="single" w:sz="4" w:space="0" w:color="auto"/>
            </w:tcBorders>
            <w:vAlign w:val="center"/>
          </w:tcPr>
          <w:p w14:paraId="672CF93B"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tcPr>
          <w:p w14:paraId="43624225"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 xml:space="preserve">O.17 Number of hectares or number of other units </w:t>
            </w:r>
            <w:r w:rsidR="00090BD2">
              <w:rPr>
                <w:rFonts w:ascii="Times New Roman" w:eastAsia="Times New Roman" w:hAnsi="Times New Roman" w:cs="Times New Roman"/>
                <w:sz w:val="20"/>
                <w:szCs w:val="20"/>
                <w:lang w:eastAsia="en-GB"/>
              </w:rPr>
              <w:t>benefitting from</w:t>
            </w:r>
            <w:r w:rsidR="00090BD2" w:rsidRPr="006F2CA5">
              <w:rPr>
                <w:rFonts w:ascii="Times New Roman" w:eastAsia="Times New Roman" w:hAnsi="Times New Roman" w:cs="Times New Roman"/>
                <w:sz w:val="20"/>
                <w:szCs w:val="20"/>
                <w:lang w:eastAsia="en-GB"/>
              </w:rPr>
              <w:t xml:space="preserve"> </w:t>
            </w:r>
            <w:r w:rsidRPr="006F2CA5">
              <w:rPr>
                <w:rFonts w:ascii="Times New Roman" w:eastAsia="Times New Roman" w:hAnsi="Times New Roman" w:cs="Times New Roman"/>
                <w:sz w:val="20"/>
                <w:szCs w:val="20"/>
                <w:lang w:eastAsia="en-GB"/>
              </w:rPr>
              <w:t>support for organic farming</w:t>
            </w:r>
          </w:p>
        </w:tc>
        <w:tc>
          <w:tcPr>
            <w:tcW w:w="2092" w:type="dxa"/>
            <w:tcBorders>
              <w:top w:val="single" w:sz="4" w:space="0" w:color="auto"/>
              <w:left w:val="nil"/>
              <w:bottom w:val="single" w:sz="4" w:space="0" w:color="auto"/>
              <w:right w:val="single" w:sz="4" w:space="0" w:color="auto"/>
            </w:tcBorders>
            <w:vAlign w:val="center"/>
          </w:tcPr>
          <w:p w14:paraId="2B906CF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0409BE6A" w14:textId="77777777" w:rsidTr="0015400B">
        <w:trPr>
          <w:trHeight w:val="300"/>
        </w:trPr>
        <w:tc>
          <w:tcPr>
            <w:tcW w:w="2122" w:type="dxa"/>
            <w:vMerge/>
            <w:tcBorders>
              <w:left w:val="single" w:sz="4" w:space="0" w:color="auto"/>
              <w:right w:val="single" w:sz="4" w:space="0" w:color="auto"/>
            </w:tcBorders>
            <w:vAlign w:val="center"/>
          </w:tcPr>
          <w:p w14:paraId="73953665"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3E54AD1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51820514"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2CCD08BD" w14:textId="77777777" w:rsidTr="0015400B">
        <w:trPr>
          <w:trHeight w:val="600"/>
        </w:trPr>
        <w:tc>
          <w:tcPr>
            <w:tcW w:w="2122" w:type="dxa"/>
            <w:vMerge/>
            <w:tcBorders>
              <w:left w:val="single" w:sz="4" w:space="0" w:color="auto"/>
              <w:right w:val="single" w:sz="4" w:space="0" w:color="auto"/>
            </w:tcBorders>
            <w:vAlign w:val="center"/>
          </w:tcPr>
          <w:p w14:paraId="04DA9C70"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2371"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O.18 Number of livestock units (LU) </w:t>
            </w:r>
            <w:r w:rsidR="00090BD2">
              <w:rPr>
                <w:rFonts w:ascii="Times New Roman" w:eastAsia="Times New Roman" w:hAnsi="Times New Roman" w:cs="Times New Roman"/>
                <w:sz w:val="20"/>
                <w:szCs w:val="20"/>
                <w:lang w:eastAsia="en-GB"/>
              </w:rPr>
              <w:t>benefitting from</w:t>
            </w:r>
            <w:r w:rsidRPr="006F2CA5">
              <w:rPr>
                <w:rFonts w:ascii="Times New Roman" w:eastAsia="Times New Roman" w:hAnsi="Times New Roman" w:cs="Times New Roman"/>
                <w:sz w:val="20"/>
                <w:szCs w:val="20"/>
                <w:lang w:eastAsia="en-GB"/>
              </w:rPr>
              <w:t xml:space="preserve"> support for animal welfare, health or increased biosecurity measures</w:t>
            </w:r>
          </w:p>
        </w:tc>
        <w:tc>
          <w:tcPr>
            <w:tcW w:w="2092" w:type="dxa"/>
            <w:tcBorders>
              <w:top w:val="single" w:sz="4" w:space="0" w:color="auto"/>
              <w:left w:val="nil"/>
              <w:bottom w:val="single" w:sz="4" w:space="0" w:color="auto"/>
              <w:right w:val="single" w:sz="4" w:space="0" w:color="auto"/>
            </w:tcBorders>
            <w:vAlign w:val="center"/>
          </w:tcPr>
          <w:p w14:paraId="6D4C8D1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Livestock Units</w:t>
            </w:r>
          </w:p>
        </w:tc>
      </w:tr>
      <w:tr w:rsidR="00953CDD" w:rsidRPr="006F2CA5" w14:paraId="58F86B05" w14:textId="77777777" w:rsidTr="0015400B">
        <w:trPr>
          <w:trHeight w:val="174"/>
        </w:trPr>
        <w:tc>
          <w:tcPr>
            <w:tcW w:w="2122" w:type="dxa"/>
            <w:vMerge/>
            <w:tcBorders>
              <w:left w:val="single" w:sz="4" w:space="0" w:color="auto"/>
              <w:right w:val="single" w:sz="4" w:space="0" w:color="auto"/>
            </w:tcBorders>
            <w:vAlign w:val="center"/>
          </w:tcPr>
          <w:p w14:paraId="50D517CC"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tcPr>
          <w:p w14:paraId="19FEBE7C"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O.19 Number of operations or units supporting genetic resources</w:t>
            </w:r>
          </w:p>
        </w:tc>
        <w:tc>
          <w:tcPr>
            <w:tcW w:w="2092" w:type="dxa"/>
            <w:tcBorders>
              <w:top w:val="single" w:sz="4" w:space="0" w:color="auto"/>
              <w:left w:val="nil"/>
              <w:bottom w:val="single" w:sz="4" w:space="0" w:color="auto"/>
              <w:right w:val="single" w:sz="4" w:space="0" w:color="auto"/>
            </w:tcBorders>
            <w:vAlign w:val="center"/>
          </w:tcPr>
          <w:p w14:paraId="5CDE5890"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63701485" w14:textId="77777777" w:rsidTr="0015400B">
        <w:trPr>
          <w:trHeight w:val="264"/>
        </w:trPr>
        <w:tc>
          <w:tcPr>
            <w:tcW w:w="2122" w:type="dxa"/>
            <w:vMerge/>
            <w:tcBorders>
              <w:left w:val="single" w:sz="4" w:space="0" w:color="auto"/>
              <w:right w:val="single" w:sz="4" w:space="0" w:color="auto"/>
            </w:tcBorders>
            <w:vAlign w:val="center"/>
          </w:tcPr>
          <w:p w14:paraId="4D2E8F6F" w14:textId="77777777" w:rsidR="00953CDD" w:rsidRPr="006F2CA5" w:rsidRDefault="00953CDD" w:rsidP="00A82615">
            <w:pPr>
              <w:spacing w:after="0" w:line="264" w:lineRule="auto"/>
              <w:rPr>
                <w:rFonts w:ascii="Times New Roman" w:hAnsi="Times New Roman" w:cs="Times New Roman"/>
                <w:sz w:val="20"/>
                <w:szCs w:val="20"/>
                <w:lang w:val="es-CU"/>
              </w:rPr>
            </w:pPr>
          </w:p>
        </w:tc>
        <w:tc>
          <w:tcPr>
            <w:tcW w:w="4961" w:type="dxa"/>
            <w:vMerge/>
            <w:tcBorders>
              <w:left w:val="single" w:sz="4" w:space="0" w:color="auto"/>
              <w:right w:val="single" w:sz="4" w:space="0" w:color="auto"/>
            </w:tcBorders>
            <w:shd w:val="clear" w:color="auto" w:fill="auto"/>
            <w:vAlign w:val="center"/>
          </w:tcPr>
          <w:p w14:paraId="0E416F64" w14:textId="77777777" w:rsidR="00953CDD" w:rsidRPr="006F2CA5" w:rsidRDefault="00953CDD" w:rsidP="00A82615">
            <w:pPr>
              <w:spacing w:after="0" w:line="264" w:lineRule="auto"/>
              <w:rPr>
                <w:rFonts w:ascii="Times New Roman" w:hAnsi="Times New Roman" w:cs="Times New Roman"/>
                <w:sz w:val="20"/>
                <w:szCs w:val="20"/>
                <w:lang w:val="es-CU"/>
              </w:rPr>
            </w:pPr>
          </w:p>
        </w:tc>
        <w:tc>
          <w:tcPr>
            <w:tcW w:w="2092" w:type="dxa"/>
            <w:tcBorders>
              <w:top w:val="single" w:sz="4" w:space="0" w:color="auto"/>
              <w:left w:val="nil"/>
              <w:bottom w:val="single" w:sz="4" w:space="0" w:color="auto"/>
              <w:right w:val="single" w:sz="4" w:space="0" w:color="auto"/>
            </w:tcBorders>
            <w:vAlign w:val="center"/>
          </w:tcPr>
          <w:p w14:paraId="7F5B0F8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Livestock units</w:t>
            </w:r>
          </w:p>
        </w:tc>
      </w:tr>
      <w:tr w:rsidR="00953CDD" w:rsidRPr="006F2CA5" w14:paraId="649943CF" w14:textId="77777777" w:rsidTr="0015400B">
        <w:trPr>
          <w:trHeight w:val="282"/>
        </w:trPr>
        <w:tc>
          <w:tcPr>
            <w:tcW w:w="2122" w:type="dxa"/>
            <w:vMerge/>
            <w:tcBorders>
              <w:left w:val="single" w:sz="4" w:space="0" w:color="auto"/>
              <w:right w:val="single" w:sz="4" w:space="0" w:color="auto"/>
            </w:tcBorders>
            <w:vAlign w:val="center"/>
          </w:tcPr>
          <w:p w14:paraId="5DD02807"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159C7C19"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F517F9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4E88CC15" w14:textId="77777777" w:rsidTr="0015400B">
        <w:trPr>
          <w:trHeight w:val="116"/>
        </w:trPr>
        <w:tc>
          <w:tcPr>
            <w:tcW w:w="2122" w:type="dxa"/>
            <w:vMerge/>
            <w:tcBorders>
              <w:left w:val="single" w:sz="4" w:space="0" w:color="auto"/>
              <w:bottom w:val="single" w:sz="4" w:space="0" w:color="auto"/>
              <w:right w:val="single" w:sz="4" w:space="0" w:color="auto"/>
            </w:tcBorders>
            <w:vAlign w:val="center"/>
          </w:tcPr>
          <w:p w14:paraId="66CB489E"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1FADCF3C"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9F3F19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547DF6E5"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710A165F" w14:textId="77777777" w:rsidR="00953CDD" w:rsidRPr="006F2CA5" w:rsidRDefault="008C0511" w:rsidP="00A82615">
            <w:pPr>
              <w:spacing w:after="0" w:line="264" w:lineRule="auto"/>
              <w:rPr>
                <w:rFonts w:ascii="Times New Roman" w:hAnsi="Times New Roman" w:cs="Times New Roman"/>
                <w:sz w:val="20"/>
                <w:szCs w:val="20"/>
              </w:rPr>
            </w:pPr>
            <w:r>
              <w:rPr>
                <w:rFonts w:ascii="Times New Roman" w:hAnsi="Times New Roman" w:cs="Times New Roman"/>
                <w:sz w:val="20"/>
                <w:szCs w:val="20"/>
              </w:rPr>
              <w:t>Investments (Art</w:t>
            </w:r>
            <w:r w:rsidR="003069C4">
              <w:rPr>
                <w:rFonts w:ascii="Times New Roman" w:hAnsi="Times New Roman" w:cs="Times New Roman"/>
                <w:sz w:val="20"/>
                <w:szCs w:val="20"/>
              </w:rPr>
              <w:t>icle</w:t>
            </w:r>
            <w:r>
              <w:rPr>
                <w:rFonts w:ascii="Times New Roman" w:hAnsi="Times New Roman" w:cs="Times New Roman"/>
                <w:sz w:val="20"/>
                <w:szCs w:val="20"/>
              </w:rPr>
              <w:t xml:space="preserve"> 73</w:t>
            </w:r>
            <w:r w:rsidR="00953CDD" w:rsidRPr="006F2CA5">
              <w:rPr>
                <w:rFonts w:ascii="Times New Roman" w:hAnsi="Times New Roman" w:cs="Times New Roman"/>
                <w:sz w:val="20"/>
                <w:szCs w:val="20"/>
              </w:rPr>
              <w:t>)</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2B092510"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O.20 Number of supported on-farm productive investment</w:t>
            </w:r>
            <w:r w:rsidRPr="006F2CA5">
              <w:rPr>
                <w:rFonts w:ascii="Times New Roman" w:hAnsi="Times New Roman" w:cs="Times New Roman"/>
                <w:sz w:val="20"/>
                <w:szCs w:val="20"/>
              </w:rPr>
              <w:t xml:space="preserve"> operations or units</w:t>
            </w:r>
          </w:p>
        </w:tc>
        <w:tc>
          <w:tcPr>
            <w:tcW w:w="2092" w:type="dxa"/>
            <w:tcBorders>
              <w:top w:val="single" w:sz="4" w:space="0" w:color="auto"/>
              <w:left w:val="nil"/>
              <w:bottom w:val="single" w:sz="4" w:space="0" w:color="auto"/>
              <w:right w:val="single" w:sz="4" w:space="0" w:color="auto"/>
            </w:tcBorders>
            <w:vAlign w:val="center"/>
          </w:tcPr>
          <w:p w14:paraId="18DF95A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52E10D4A" w14:textId="77777777" w:rsidTr="0015400B">
        <w:trPr>
          <w:trHeight w:val="300"/>
        </w:trPr>
        <w:tc>
          <w:tcPr>
            <w:tcW w:w="2122" w:type="dxa"/>
            <w:vMerge/>
            <w:tcBorders>
              <w:left w:val="single" w:sz="4" w:space="0" w:color="auto"/>
              <w:right w:val="single" w:sz="4" w:space="0" w:color="auto"/>
            </w:tcBorders>
            <w:vAlign w:val="center"/>
          </w:tcPr>
          <w:p w14:paraId="7F75A25A"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5EE25DD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D37DB3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Livestock units</w:t>
            </w:r>
          </w:p>
        </w:tc>
      </w:tr>
      <w:tr w:rsidR="00953CDD" w:rsidRPr="006F2CA5" w14:paraId="7A903325" w14:textId="77777777" w:rsidTr="0015400B">
        <w:trPr>
          <w:trHeight w:val="300"/>
        </w:trPr>
        <w:tc>
          <w:tcPr>
            <w:tcW w:w="2122" w:type="dxa"/>
            <w:vMerge/>
            <w:tcBorders>
              <w:left w:val="single" w:sz="4" w:space="0" w:color="auto"/>
              <w:right w:val="single" w:sz="4" w:space="0" w:color="auto"/>
            </w:tcBorders>
            <w:vAlign w:val="center"/>
          </w:tcPr>
          <w:p w14:paraId="1EC7C0F4"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704207C9"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30319E3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435A420B" w14:textId="77777777" w:rsidTr="0015400B">
        <w:trPr>
          <w:trHeight w:val="326"/>
        </w:trPr>
        <w:tc>
          <w:tcPr>
            <w:tcW w:w="2122" w:type="dxa"/>
            <w:vMerge/>
            <w:tcBorders>
              <w:left w:val="single" w:sz="4" w:space="0" w:color="auto"/>
              <w:right w:val="single" w:sz="4" w:space="0" w:color="auto"/>
            </w:tcBorders>
            <w:vAlign w:val="center"/>
          </w:tcPr>
          <w:p w14:paraId="0906F9FF"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tcPr>
          <w:p w14:paraId="6BB1604F"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lang w:val="en-IE"/>
              </w:rPr>
              <w:t>O.21: Number of supported on-farm non-productive investment operations or units</w:t>
            </w:r>
          </w:p>
        </w:tc>
        <w:tc>
          <w:tcPr>
            <w:tcW w:w="2092" w:type="dxa"/>
            <w:tcBorders>
              <w:top w:val="single" w:sz="4" w:space="0" w:color="auto"/>
              <w:left w:val="nil"/>
              <w:bottom w:val="single" w:sz="4" w:space="0" w:color="auto"/>
              <w:right w:val="single" w:sz="4" w:space="0" w:color="auto"/>
            </w:tcBorders>
            <w:vAlign w:val="center"/>
          </w:tcPr>
          <w:p w14:paraId="0EC8AB24"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120E7329" w14:textId="77777777" w:rsidTr="0015400B">
        <w:trPr>
          <w:trHeight w:val="273"/>
        </w:trPr>
        <w:tc>
          <w:tcPr>
            <w:tcW w:w="2122" w:type="dxa"/>
            <w:vMerge/>
            <w:tcBorders>
              <w:left w:val="single" w:sz="4" w:space="0" w:color="auto"/>
              <w:right w:val="single" w:sz="4" w:space="0" w:color="auto"/>
            </w:tcBorders>
            <w:vAlign w:val="center"/>
          </w:tcPr>
          <w:p w14:paraId="78A48226"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5A21EA0F"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21D1DD6"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06397356" w14:textId="77777777" w:rsidTr="0015400B">
        <w:trPr>
          <w:trHeight w:val="300"/>
        </w:trPr>
        <w:tc>
          <w:tcPr>
            <w:tcW w:w="2122" w:type="dxa"/>
            <w:vMerge/>
            <w:tcBorders>
              <w:left w:val="single" w:sz="4" w:space="0" w:color="auto"/>
              <w:right w:val="single" w:sz="4" w:space="0" w:color="auto"/>
            </w:tcBorders>
            <w:vAlign w:val="center"/>
          </w:tcPr>
          <w:p w14:paraId="4F64AC42"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64313AF0"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O.22 Number of supported infrastructure</w:t>
            </w:r>
            <w:r>
              <w:rPr>
                <w:rStyle w:val="Hyperlink"/>
              </w:rPr>
              <w:t xml:space="preserve"> </w:t>
            </w:r>
            <w:r w:rsidRPr="006F2CA5">
              <w:rPr>
                <w:rFonts w:ascii="Times New Roman" w:hAnsi="Times New Roman" w:cs="Times New Roman"/>
                <w:sz w:val="20"/>
                <w:szCs w:val="20"/>
              </w:rPr>
              <w:t>investment operations or units</w:t>
            </w:r>
          </w:p>
        </w:tc>
        <w:tc>
          <w:tcPr>
            <w:tcW w:w="2092" w:type="dxa"/>
            <w:tcBorders>
              <w:top w:val="single" w:sz="4" w:space="0" w:color="auto"/>
              <w:left w:val="nil"/>
              <w:bottom w:val="single" w:sz="4" w:space="0" w:color="auto"/>
              <w:right w:val="single" w:sz="4" w:space="0" w:color="auto"/>
            </w:tcBorders>
            <w:vAlign w:val="center"/>
          </w:tcPr>
          <w:p w14:paraId="4FAEF6A8"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3F67BFF9" w14:textId="77777777" w:rsidTr="0015400B">
        <w:trPr>
          <w:trHeight w:val="300"/>
        </w:trPr>
        <w:tc>
          <w:tcPr>
            <w:tcW w:w="2122" w:type="dxa"/>
            <w:vMerge/>
            <w:tcBorders>
              <w:left w:val="single" w:sz="4" w:space="0" w:color="auto"/>
              <w:right w:val="single" w:sz="4" w:space="0" w:color="auto"/>
            </w:tcBorders>
            <w:vAlign w:val="center"/>
          </w:tcPr>
          <w:p w14:paraId="650A57B9"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58D437DC"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06FE316"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35CF9BA7" w14:textId="77777777" w:rsidTr="0015400B">
        <w:trPr>
          <w:trHeight w:val="300"/>
        </w:trPr>
        <w:tc>
          <w:tcPr>
            <w:tcW w:w="2122" w:type="dxa"/>
            <w:vMerge/>
            <w:tcBorders>
              <w:left w:val="single" w:sz="4" w:space="0" w:color="auto"/>
              <w:right w:val="single" w:sz="4" w:space="0" w:color="auto"/>
            </w:tcBorders>
            <w:vAlign w:val="center"/>
          </w:tcPr>
          <w:p w14:paraId="0A3C8C67"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4FE2EFD5"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O.23 Number of supported off-farm non-productive investment</w:t>
            </w:r>
            <w:r w:rsidRPr="006F2CA5">
              <w:rPr>
                <w:rFonts w:ascii="Times New Roman" w:hAnsi="Times New Roman" w:cs="Times New Roman"/>
                <w:sz w:val="20"/>
                <w:szCs w:val="20"/>
              </w:rPr>
              <w:t xml:space="preserve"> operations or units</w:t>
            </w:r>
          </w:p>
        </w:tc>
        <w:tc>
          <w:tcPr>
            <w:tcW w:w="2092" w:type="dxa"/>
            <w:tcBorders>
              <w:top w:val="single" w:sz="4" w:space="0" w:color="auto"/>
              <w:left w:val="nil"/>
              <w:bottom w:val="single" w:sz="4" w:space="0" w:color="auto"/>
              <w:right w:val="single" w:sz="4" w:space="0" w:color="auto"/>
            </w:tcBorders>
            <w:vAlign w:val="center"/>
          </w:tcPr>
          <w:p w14:paraId="5017A2D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2DCBDD4E" w14:textId="77777777" w:rsidTr="0015400B">
        <w:trPr>
          <w:trHeight w:val="300"/>
        </w:trPr>
        <w:tc>
          <w:tcPr>
            <w:tcW w:w="2122" w:type="dxa"/>
            <w:vMerge/>
            <w:tcBorders>
              <w:left w:val="single" w:sz="4" w:space="0" w:color="auto"/>
              <w:right w:val="single" w:sz="4" w:space="0" w:color="auto"/>
            </w:tcBorders>
            <w:vAlign w:val="center"/>
          </w:tcPr>
          <w:p w14:paraId="78932550"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400B717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120D92F8"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6D24E4F4" w14:textId="77777777" w:rsidTr="0015400B">
        <w:trPr>
          <w:trHeight w:val="300"/>
        </w:trPr>
        <w:tc>
          <w:tcPr>
            <w:tcW w:w="2122" w:type="dxa"/>
            <w:vMerge/>
            <w:tcBorders>
              <w:left w:val="single" w:sz="4" w:space="0" w:color="auto"/>
              <w:right w:val="single" w:sz="4" w:space="0" w:color="auto"/>
            </w:tcBorders>
            <w:vAlign w:val="center"/>
          </w:tcPr>
          <w:p w14:paraId="00F5CF6F"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71237D7C"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O.24 Number of supported off-farm productive investment</w:t>
            </w:r>
            <w:r w:rsidRPr="006F2CA5">
              <w:rPr>
                <w:rFonts w:ascii="Times New Roman" w:hAnsi="Times New Roman" w:cs="Times New Roman"/>
                <w:sz w:val="20"/>
                <w:szCs w:val="20"/>
              </w:rPr>
              <w:t xml:space="preserve"> operations or units</w:t>
            </w:r>
          </w:p>
        </w:tc>
        <w:tc>
          <w:tcPr>
            <w:tcW w:w="2092" w:type="dxa"/>
            <w:tcBorders>
              <w:top w:val="single" w:sz="4" w:space="0" w:color="auto"/>
              <w:left w:val="nil"/>
              <w:bottom w:val="single" w:sz="4" w:space="0" w:color="auto"/>
              <w:right w:val="single" w:sz="4" w:space="0" w:color="auto"/>
            </w:tcBorders>
            <w:vAlign w:val="center"/>
          </w:tcPr>
          <w:p w14:paraId="7991E5A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61AABD3A" w14:textId="77777777" w:rsidTr="0015400B">
        <w:trPr>
          <w:trHeight w:val="300"/>
        </w:trPr>
        <w:tc>
          <w:tcPr>
            <w:tcW w:w="2122" w:type="dxa"/>
            <w:vMerge/>
            <w:tcBorders>
              <w:left w:val="single" w:sz="4" w:space="0" w:color="auto"/>
              <w:bottom w:val="single" w:sz="4" w:space="0" w:color="auto"/>
              <w:right w:val="single" w:sz="4" w:space="0" w:color="auto"/>
            </w:tcBorders>
            <w:vAlign w:val="center"/>
          </w:tcPr>
          <w:p w14:paraId="3B704D04"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5E476D57"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53A891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2E351DAD"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6E2A53FA"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Setting-up</w:t>
            </w:r>
            <w:r w:rsidR="003069C4">
              <w:rPr>
                <w:rFonts w:ascii="Times New Roman" w:hAnsi="Times New Roman" w:cs="Times New Roman"/>
                <w:sz w:val="20"/>
                <w:szCs w:val="20"/>
              </w:rPr>
              <w:t xml:space="preserve"> (Article 75)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8BF6"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O.25 Number of young farmers receiving </w:t>
            </w:r>
            <w:r w:rsidR="00090BD2">
              <w:rPr>
                <w:rFonts w:ascii="Times New Roman" w:eastAsia="Times New Roman" w:hAnsi="Times New Roman" w:cs="Times New Roman"/>
                <w:sz w:val="20"/>
                <w:szCs w:val="20"/>
                <w:lang w:eastAsia="en-GB"/>
              </w:rPr>
              <w:t>setting-up</w:t>
            </w:r>
            <w:r w:rsidR="00090BD2" w:rsidRPr="006F2CA5">
              <w:rPr>
                <w:rFonts w:ascii="Times New Roman" w:eastAsia="Times New Roman" w:hAnsi="Times New Roman" w:cs="Times New Roman"/>
                <w:sz w:val="20"/>
                <w:szCs w:val="20"/>
                <w:lang w:eastAsia="en-GB"/>
              </w:rPr>
              <w:t xml:space="preserve"> </w:t>
            </w:r>
            <w:r w:rsidRPr="006F2CA5">
              <w:rPr>
                <w:rFonts w:ascii="Times New Roman" w:hAnsi="Times New Roman" w:cs="Times New Roman"/>
                <w:sz w:val="20"/>
                <w:szCs w:val="20"/>
              </w:rPr>
              <w:t>support</w:t>
            </w:r>
          </w:p>
        </w:tc>
        <w:tc>
          <w:tcPr>
            <w:tcW w:w="2092" w:type="dxa"/>
            <w:tcBorders>
              <w:top w:val="single" w:sz="4" w:space="0" w:color="auto"/>
              <w:left w:val="nil"/>
              <w:bottom w:val="single" w:sz="4" w:space="0" w:color="auto"/>
              <w:right w:val="single" w:sz="4" w:space="0" w:color="auto"/>
            </w:tcBorders>
            <w:vAlign w:val="center"/>
          </w:tcPr>
          <w:p w14:paraId="22DA5D2C"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3DECF76C" w14:textId="77777777" w:rsidTr="0015400B">
        <w:trPr>
          <w:trHeight w:val="300"/>
        </w:trPr>
        <w:tc>
          <w:tcPr>
            <w:tcW w:w="2122" w:type="dxa"/>
            <w:vMerge/>
            <w:tcBorders>
              <w:left w:val="single" w:sz="4" w:space="0" w:color="auto"/>
              <w:right w:val="single" w:sz="4" w:space="0" w:color="auto"/>
            </w:tcBorders>
            <w:vAlign w:val="center"/>
          </w:tcPr>
          <w:p w14:paraId="46C054A2"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7B9C13"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 xml:space="preserve">O.26 Number of new farmers receiving </w:t>
            </w:r>
            <w:r w:rsidR="000D0C5E">
              <w:rPr>
                <w:rFonts w:ascii="Times New Roman" w:hAnsi="Times New Roman" w:cs="Times New Roman"/>
                <w:sz w:val="20"/>
                <w:szCs w:val="20"/>
              </w:rPr>
              <w:t>setting-up</w:t>
            </w:r>
            <w:r w:rsidR="000D0C5E" w:rsidRPr="006F2CA5">
              <w:rPr>
                <w:rFonts w:ascii="Times New Roman" w:hAnsi="Times New Roman" w:cs="Times New Roman"/>
                <w:sz w:val="20"/>
                <w:szCs w:val="20"/>
              </w:rPr>
              <w:t xml:space="preserve"> </w:t>
            </w:r>
            <w:r w:rsidRPr="006F2CA5">
              <w:rPr>
                <w:rFonts w:ascii="Times New Roman" w:hAnsi="Times New Roman" w:cs="Times New Roman"/>
                <w:sz w:val="20"/>
                <w:szCs w:val="20"/>
              </w:rPr>
              <w:t>support (other than young farmers reported under O.25)</w:t>
            </w:r>
          </w:p>
        </w:tc>
        <w:tc>
          <w:tcPr>
            <w:tcW w:w="2092" w:type="dxa"/>
            <w:tcBorders>
              <w:top w:val="single" w:sz="4" w:space="0" w:color="auto"/>
              <w:left w:val="nil"/>
              <w:bottom w:val="single" w:sz="4" w:space="0" w:color="auto"/>
              <w:right w:val="single" w:sz="4" w:space="0" w:color="auto"/>
            </w:tcBorders>
            <w:vAlign w:val="center"/>
          </w:tcPr>
          <w:p w14:paraId="301F5AD9"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62589BC4" w14:textId="77777777" w:rsidTr="0015400B">
        <w:trPr>
          <w:trHeight w:val="614"/>
        </w:trPr>
        <w:tc>
          <w:tcPr>
            <w:tcW w:w="2122" w:type="dxa"/>
            <w:vMerge/>
            <w:tcBorders>
              <w:left w:val="single" w:sz="4" w:space="0" w:color="auto"/>
              <w:bottom w:val="single" w:sz="4" w:space="0" w:color="auto"/>
              <w:right w:val="single" w:sz="4" w:space="0" w:color="auto"/>
            </w:tcBorders>
            <w:vAlign w:val="center"/>
          </w:tcPr>
          <w:p w14:paraId="46DCB3BD"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83AC5"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O.27 Number of rural businesses receiving </w:t>
            </w:r>
            <w:r w:rsidRPr="006F2CA5">
              <w:rPr>
                <w:rFonts w:ascii="Times New Roman" w:hAnsi="Times New Roman" w:cs="Times New Roman"/>
                <w:sz w:val="20"/>
                <w:szCs w:val="20"/>
              </w:rPr>
              <w:t>support for start</w:t>
            </w:r>
            <w:r w:rsidR="000D0C5E">
              <w:rPr>
                <w:rFonts w:ascii="Times New Roman" w:hAnsi="Times New Roman" w:cs="Times New Roman"/>
                <w:sz w:val="20"/>
                <w:szCs w:val="20"/>
              </w:rPr>
              <w:t>-</w:t>
            </w:r>
            <w:r w:rsidRPr="006F2CA5">
              <w:rPr>
                <w:rFonts w:ascii="Times New Roman" w:hAnsi="Times New Roman" w:cs="Times New Roman"/>
                <w:sz w:val="20"/>
                <w:szCs w:val="20"/>
              </w:rPr>
              <w:t>up</w:t>
            </w:r>
          </w:p>
        </w:tc>
        <w:tc>
          <w:tcPr>
            <w:tcW w:w="2092" w:type="dxa"/>
            <w:tcBorders>
              <w:top w:val="single" w:sz="4" w:space="0" w:color="auto"/>
              <w:left w:val="nil"/>
              <w:bottom w:val="single" w:sz="4" w:space="0" w:color="auto"/>
              <w:right w:val="single" w:sz="4" w:space="0" w:color="auto"/>
            </w:tcBorders>
            <w:vAlign w:val="center"/>
          </w:tcPr>
          <w:p w14:paraId="37235AA1"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73B4DEBA"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7C5CA0C4"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Cooperation (Article 71)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74FE"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O.28 Number of supported </w:t>
            </w:r>
            <w:r w:rsidR="000D0C5E">
              <w:rPr>
                <w:rFonts w:ascii="Times New Roman" w:eastAsia="Times New Roman" w:hAnsi="Times New Roman" w:cs="Times New Roman"/>
                <w:sz w:val="20"/>
                <w:szCs w:val="20"/>
                <w:lang w:eastAsia="en-GB"/>
              </w:rPr>
              <w:t>p</w:t>
            </w:r>
            <w:r w:rsidRPr="006F2CA5">
              <w:rPr>
                <w:rFonts w:ascii="Times New Roman" w:eastAsia="Times New Roman" w:hAnsi="Times New Roman" w:cs="Times New Roman"/>
                <w:sz w:val="20"/>
                <w:szCs w:val="20"/>
                <w:lang w:eastAsia="en-GB"/>
              </w:rPr>
              <w:t xml:space="preserve">roducer </w:t>
            </w:r>
            <w:r w:rsidR="000D0C5E">
              <w:rPr>
                <w:rFonts w:ascii="Times New Roman" w:eastAsia="Times New Roman" w:hAnsi="Times New Roman" w:cs="Times New Roman"/>
                <w:sz w:val="20"/>
                <w:szCs w:val="20"/>
                <w:lang w:eastAsia="en-GB"/>
              </w:rPr>
              <w:t>g</w:t>
            </w:r>
            <w:r w:rsidRPr="006F2CA5">
              <w:rPr>
                <w:rFonts w:ascii="Times New Roman" w:eastAsia="Times New Roman" w:hAnsi="Times New Roman" w:cs="Times New Roman"/>
                <w:sz w:val="20"/>
                <w:szCs w:val="20"/>
                <w:lang w:eastAsia="en-GB"/>
              </w:rPr>
              <w:t>roups</w:t>
            </w:r>
            <w:r w:rsidR="000D0C5E">
              <w:rPr>
                <w:rFonts w:ascii="Times New Roman" w:eastAsia="Times New Roman" w:hAnsi="Times New Roman" w:cs="Times New Roman"/>
                <w:sz w:val="20"/>
                <w:szCs w:val="20"/>
                <w:lang w:eastAsia="en-GB"/>
              </w:rPr>
              <w:t xml:space="preserve"> and producer o</w:t>
            </w:r>
            <w:r w:rsidRPr="006F2CA5">
              <w:rPr>
                <w:rFonts w:ascii="Times New Roman" w:eastAsia="Times New Roman" w:hAnsi="Times New Roman" w:cs="Times New Roman"/>
                <w:sz w:val="20"/>
                <w:szCs w:val="20"/>
                <w:lang w:eastAsia="en-GB"/>
              </w:rPr>
              <w:t>rganisations</w:t>
            </w:r>
          </w:p>
        </w:tc>
        <w:tc>
          <w:tcPr>
            <w:tcW w:w="2092" w:type="dxa"/>
            <w:tcBorders>
              <w:top w:val="single" w:sz="4" w:space="0" w:color="auto"/>
              <w:left w:val="nil"/>
              <w:bottom w:val="single" w:sz="4" w:space="0" w:color="auto"/>
              <w:right w:val="single" w:sz="4" w:space="0" w:color="auto"/>
            </w:tcBorders>
            <w:vAlign w:val="center"/>
          </w:tcPr>
          <w:p w14:paraId="28E4FC6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1480EDB2" w14:textId="77777777" w:rsidTr="0015400B">
        <w:trPr>
          <w:trHeight w:val="300"/>
        </w:trPr>
        <w:tc>
          <w:tcPr>
            <w:tcW w:w="2122" w:type="dxa"/>
            <w:vMerge/>
            <w:tcBorders>
              <w:left w:val="single" w:sz="4" w:space="0" w:color="auto"/>
              <w:right w:val="single" w:sz="4" w:space="0" w:color="auto"/>
            </w:tcBorders>
            <w:vAlign w:val="center"/>
          </w:tcPr>
          <w:p w14:paraId="7CD16C72"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3A64"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O.29 Number of beneficiaries receiving support to participate in official quality schemes</w:t>
            </w:r>
          </w:p>
        </w:tc>
        <w:tc>
          <w:tcPr>
            <w:tcW w:w="2092" w:type="dxa"/>
            <w:tcBorders>
              <w:top w:val="single" w:sz="4" w:space="0" w:color="auto"/>
              <w:left w:val="nil"/>
              <w:bottom w:val="single" w:sz="4" w:space="0" w:color="auto"/>
              <w:right w:val="single" w:sz="4" w:space="0" w:color="auto"/>
            </w:tcBorders>
            <w:vAlign w:val="center"/>
          </w:tcPr>
          <w:p w14:paraId="19DED43D"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0130F3C7" w14:textId="77777777" w:rsidTr="0015400B">
        <w:trPr>
          <w:trHeight w:val="300"/>
        </w:trPr>
        <w:tc>
          <w:tcPr>
            <w:tcW w:w="2122" w:type="dxa"/>
            <w:vMerge/>
            <w:tcBorders>
              <w:left w:val="single" w:sz="4" w:space="0" w:color="auto"/>
              <w:right w:val="single" w:sz="4" w:space="0" w:color="auto"/>
            </w:tcBorders>
            <w:vAlign w:val="center"/>
          </w:tcPr>
          <w:p w14:paraId="312B8EB8"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6F0F0680"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O.30 Number of supported operations or units for generational renewal</w:t>
            </w:r>
            <w:r w:rsidRPr="006F2CA5">
              <w:rPr>
                <w:rFonts w:ascii="Times New Roman" w:hAnsi="Times New Roman" w:cs="Times New Roman"/>
                <w:sz w:val="20"/>
                <w:szCs w:val="20"/>
              </w:rPr>
              <w:t xml:space="preserve"> (excluding </w:t>
            </w:r>
            <w:r w:rsidR="000D0C5E">
              <w:rPr>
                <w:rFonts w:ascii="Times New Roman" w:hAnsi="Times New Roman" w:cs="Times New Roman"/>
                <w:sz w:val="20"/>
                <w:szCs w:val="20"/>
              </w:rPr>
              <w:t>setting-up</w:t>
            </w:r>
            <w:r w:rsidRPr="006F2CA5">
              <w:rPr>
                <w:rFonts w:ascii="Times New Roman" w:hAnsi="Times New Roman" w:cs="Times New Roman"/>
                <w:sz w:val="20"/>
                <w:szCs w:val="20"/>
              </w:rPr>
              <w:t xml:space="preserve"> support)</w:t>
            </w:r>
          </w:p>
        </w:tc>
        <w:tc>
          <w:tcPr>
            <w:tcW w:w="2092" w:type="dxa"/>
            <w:tcBorders>
              <w:top w:val="single" w:sz="4" w:space="0" w:color="auto"/>
              <w:left w:val="nil"/>
              <w:bottom w:val="single" w:sz="4" w:space="0" w:color="auto"/>
              <w:right w:val="single" w:sz="4" w:space="0" w:color="auto"/>
            </w:tcBorders>
            <w:vAlign w:val="center"/>
          </w:tcPr>
          <w:p w14:paraId="2E795EA7"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1CDE66CC" w14:textId="77777777" w:rsidTr="0015400B">
        <w:trPr>
          <w:trHeight w:val="300"/>
        </w:trPr>
        <w:tc>
          <w:tcPr>
            <w:tcW w:w="2122" w:type="dxa"/>
            <w:vMerge/>
            <w:tcBorders>
              <w:left w:val="single" w:sz="4" w:space="0" w:color="auto"/>
              <w:right w:val="single" w:sz="4" w:space="0" w:color="auto"/>
            </w:tcBorders>
            <w:vAlign w:val="center"/>
          </w:tcPr>
          <w:p w14:paraId="4E04DB3B"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2B5B3A48"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5D7A4E9"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06F51F6A" w14:textId="77777777" w:rsidTr="0015400B">
        <w:trPr>
          <w:trHeight w:val="300"/>
        </w:trPr>
        <w:tc>
          <w:tcPr>
            <w:tcW w:w="2122" w:type="dxa"/>
            <w:vMerge/>
            <w:tcBorders>
              <w:left w:val="single" w:sz="4" w:space="0" w:color="auto"/>
              <w:right w:val="single" w:sz="4" w:space="0" w:color="auto"/>
            </w:tcBorders>
            <w:vAlign w:val="center"/>
          </w:tcPr>
          <w:p w14:paraId="1B1A6605"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5EC89359"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4FC9ACC0"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24F47DCC" w14:textId="77777777" w:rsidTr="0015400B">
        <w:trPr>
          <w:trHeight w:val="300"/>
        </w:trPr>
        <w:tc>
          <w:tcPr>
            <w:tcW w:w="2122" w:type="dxa"/>
            <w:vMerge/>
            <w:tcBorders>
              <w:left w:val="single" w:sz="4" w:space="0" w:color="auto"/>
              <w:right w:val="single" w:sz="4" w:space="0" w:color="auto"/>
            </w:tcBorders>
            <w:vAlign w:val="center"/>
          </w:tcPr>
          <w:p w14:paraId="04C2DAF0"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4255C9DB"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O.31 Number of supported local development strategies (LEADER)</w:t>
            </w:r>
            <w:r w:rsidRPr="006F2CA5">
              <w:rPr>
                <w:rFonts w:ascii="Times New Roman" w:hAnsi="Times New Roman" w:cs="Times New Roman"/>
                <w:sz w:val="20"/>
                <w:szCs w:val="20"/>
              </w:rPr>
              <w:t xml:space="preserve"> or preparatory actions</w:t>
            </w:r>
          </w:p>
        </w:tc>
        <w:tc>
          <w:tcPr>
            <w:tcW w:w="2092" w:type="dxa"/>
            <w:tcBorders>
              <w:top w:val="single" w:sz="4" w:space="0" w:color="auto"/>
              <w:left w:val="nil"/>
              <w:bottom w:val="single" w:sz="4" w:space="0" w:color="auto"/>
              <w:right w:val="single" w:sz="4" w:space="0" w:color="auto"/>
            </w:tcBorders>
            <w:vAlign w:val="center"/>
          </w:tcPr>
          <w:p w14:paraId="702DB7E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Strategies</w:t>
            </w:r>
          </w:p>
        </w:tc>
      </w:tr>
      <w:tr w:rsidR="00953CDD" w:rsidRPr="006F2CA5" w14:paraId="5F11EE7B" w14:textId="77777777" w:rsidTr="0015400B">
        <w:trPr>
          <w:trHeight w:val="312"/>
        </w:trPr>
        <w:tc>
          <w:tcPr>
            <w:tcW w:w="2122" w:type="dxa"/>
            <w:vMerge/>
            <w:tcBorders>
              <w:left w:val="single" w:sz="4" w:space="0" w:color="auto"/>
              <w:right w:val="single" w:sz="4" w:space="0" w:color="auto"/>
            </w:tcBorders>
            <w:vAlign w:val="center"/>
          </w:tcPr>
          <w:p w14:paraId="528AB82D"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2EC8719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right w:val="single" w:sz="4" w:space="0" w:color="auto"/>
            </w:tcBorders>
            <w:vAlign w:val="center"/>
          </w:tcPr>
          <w:p w14:paraId="5ABB50A7"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Preparatory actions</w:t>
            </w:r>
          </w:p>
        </w:tc>
      </w:tr>
      <w:tr w:rsidR="00953CDD" w:rsidRPr="006F2CA5" w14:paraId="44073FDE" w14:textId="77777777" w:rsidTr="0015400B">
        <w:trPr>
          <w:trHeight w:val="300"/>
        </w:trPr>
        <w:tc>
          <w:tcPr>
            <w:tcW w:w="2122" w:type="dxa"/>
            <w:vMerge/>
            <w:tcBorders>
              <w:left w:val="single" w:sz="4" w:space="0" w:color="auto"/>
              <w:right w:val="single" w:sz="4" w:space="0" w:color="auto"/>
            </w:tcBorders>
            <w:vAlign w:val="center"/>
          </w:tcPr>
          <w:p w14:paraId="4DF6E064"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val="restart"/>
            <w:tcBorders>
              <w:top w:val="single" w:sz="4" w:space="0" w:color="auto"/>
              <w:left w:val="single" w:sz="4" w:space="0" w:color="auto"/>
              <w:right w:val="single" w:sz="4" w:space="0" w:color="auto"/>
            </w:tcBorders>
            <w:shd w:val="clear" w:color="auto" w:fill="auto"/>
            <w:vAlign w:val="center"/>
          </w:tcPr>
          <w:p w14:paraId="130B31E6"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O.32 Number of supported other cooperation operations or units (excluding EIP reported under O.1)</w:t>
            </w:r>
          </w:p>
        </w:tc>
        <w:tc>
          <w:tcPr>
            <w:tcW w:w="2092" w:type="dxa"/>
            <w:tcBorders>
              <w:top w:val="single" w:sz="4" w:space="0" w:color="auto"/>
              <w:left w:val="nil"/>
              <w:bottom w:val="single" w:sz="4" w:space="0" w:color="auto"/>
              <w:right w:val="single" w:sz="4" w:space="0" w:color="auto"/>
            </w:tcBorders>
            <w:vAlign w:val="center"/>
          </w:tcPr>
          <w:p w14:paraId="2F8608A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24A679A5" w14:textId="77777777" w:rsidTr="0015400B">
        <w:trPr>
          <w:trHeight w:val="520"/>
        </w:trPr>
        <w:tc>
          <w:tcPr>
            <w:tcW w:w="2122" w:type="dxa"/>
            <w:vMerge/>
            <w:tcBorders>
              <w:left w:val="single" w:sz="4" w:space="0" w:color="auto"/>
              <w:right w:val="single" w:sz="4" w:space="0" w:color="auto"/>
            </w:tcBorders>
            <w:vAlign w:val="center"/>
          </w:tcPr>
          <w:p w14:paraId="652A06E1"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1856E0C6"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right w:val="single" w:sz="4" w:space="0" w:color="auto"/>
            </w:tcBorders>
            <w:vAlign w:val="center"/>
          </w:tcPr>
          <w:p w14:paraId="57F9C925"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7CC08232" w14:textId="77777777" w:rsidTr="0015400B">
        <w:trPr>
          <w:trHeight w:val="378"/>
        </w:trPr>
        <w:tc>
          <w:tcPr>
            <w:tcW w:w="2122" w:type="dxa"/>
            <w:vMerge w:val="restart"/>
            <w:tcBorders>
              <w:top w:val="single" w:sz="4" w:space="0" w:color="auto"/>
              <w:left w:val="single" w:sz="4" w:space="0" w:color="auto"/>
              <w:right w:val="single" w:sz="4" w:space="0" w:color="auto"/>
            </w:tcBorders>
            <w:vAlign w:val="center"/>
          </w:tcPr>
          <w:p w14:paraId="21956352"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Knowledge exchange and information (Article 72)</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7B0FF2FD"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 xml:space="preserve">O.33 Number of supported training, advice and awareness  </w:t>
            </w:r>
            <w:r w:rsidRPr="006F2CA5">
              <w:rPr>
                <w:rFonts w:ascii="Times New Roman" w:hAnsi="Times New Roman" w:cs="Times New Roman"/>
                <w:sz w:val="20"/>
                <w:szCs w:val="20"/>
              </w:rPr>
              <w:t xml:space="preserve"> actions or units</w:t>
            </w:r>
          </w:p>
        </w:tc>
        <w:tc>
          <w:tcPr>
            <w:tcW w:w="2092" w:type="dxa"/>
            <w:tcBorders>
              <w:top w:val="single" w:sz="4" w:space="0" w:color="auto"/>
              <w:left w:val="nil"/>
              <w:bottom w:val="single" w:sz="4" w:space="0" w:color="auto"/>
              <w:right w:val="single" w:sz="4" w:space="0" w:color="auto"/>
            </w:tcBorders>
            <w:vAlign w:val="center"/>
          </w:tcPr>
          <w:p w14:paraId="2DE9C89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Operations</w:t>
            </w:r>
          </w:p>
        </w:tc>
      </w:tr>
      <w:tr w:rsidR="00953CDD" w:rsidRPr="006F2CA5" w14:paraId="186D4602" w14:textId="77777777" w:rsidTr="0015400B">
        <w:trPr>
          <w:trHeight w:val="303"/>
        </w:trPr>
        <w:tc>
          <w:tcPr>
            <w:tcW w:w="2122" w:type="dxa"/>
            <w:vMerge/>
            <w:tcBorders>
              <w:left w:val="single" w:sz="4" w:space="0" w:color="auto"/>
              <w:right w:val="single" w:sz="4" w:space="0" w:color="auto"/>
            </w:tcBorders>
            <w:vAlign w:val="center"/>
          </w:tcPr>
          <w:p w14:paraId="004FAD5B"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0BBA32D6"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right w:val="single" w:sz="4" w:space="0" w:color="auto"/>
            </w:tcBorders>
            <w:vAlign w:val="center"/>
          </w:tcPr>
          <w:p w14:paraId="013CE6C2"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469B686F" w14:textId="77777777" w:rsidTr="0015400B">
        <w:trPr>
          <w:trHeight w:val="378"/>
        </w:trPr>
        <w:tc>
          <w:tcPr>
            <w:tcW w:w="2122" w:type="dxa"/>
            <w:vMerge/>
            <w:tcBorders>
              <w:left w:val="single" w:sz="4" w:space="0" w:color="auto"/>
              <w:bottom w:val="single" w:sz="4" w:space="0" w:color="auto"/>
              <w:right w:val="single" w:sz="4" w:space="0" w:color="auto"/>
            </w:tcBorders>
            <w:vAlign w:val="center"/>
          </w:tcPr>
          <w:p w14:paraId="33238563"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74C0EA0B"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7DF8FC6"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2101C417" w14:textId="77777777" w:rsidTr="0015400B">
        <w:trPr>
          <w:trHeight w:val="625"/>
        </w:trPr>
        <w:tc>
          <w:tcPr>
            <w:tcW w:w="2122" w:type="dxa"/>
            <w:tcBorders>
              <w:top w:val="single" w:sz="4" w:space="0" w:color="auto"/>
              <w:left w:val="single" w:sz="4" w:space="0" w:color="auto"/>
              <w:bottom w:val="single" w:sz="4" w:space="0" w:color="auto"/>
              <w:right w:val="single" w:sz="4" w:space="0" w:color="auto"/>
            </w:tcBorders>
            <w:vAlign w:val="center"/>
          </w:tcPr>
          <w:p w14:paraId="53024B6E"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lastRenderedPageBreak/>
              <w:t>Sectoral types of interventions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A14A463" w14:textId="77777777" w:rsidR="00953CDD" w:rsidRPr="006F2CA5" w:rsidDel="00BE0E6E"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O.35 Number of supported operational program</w:t>
            </w:r>
            <w:r w:rsidRPr="006F2CA5">
              <w:rPr>
                <w:rFonts w:ascii="Times New Roman" w:hAnsi="Times New Roman" w:cs="Times New Roman"/>
                <w:sz w:val="20"/>
                <w:szCs w:val="20"/>
              </w:rPr>
              <w:t>mes</w:t>
            </w:r>
          </w:p>
        </w:tc>
        <w:tc>
          <w:tcPr>
            <w:tcW w:w="2092" w:type="dxa"/>
            <w:tcBorders>
              <w:top w:val="single" w:sz="4" w:space="0" w:color="auto"/>
              <w:left w:val="nil"/>
              <w:bottom w:val="single" w:sz="4" w:space="0" w:color="auto"/>
              <w:right w:val="single" w:sz="4" w:space="0" w:color="auto"/>
            </w:tcBorders>
            <w:vAlign w:val="center"/>
          </w:tcPr>
          <w:p w14:paraId="24F3333F"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Operational Programmes</w:t>
            </w:r>
          </w:p>
        </w:tc>
      </w:tr>
      <w:tr w:rsidR="00953CDD" w:rsidRPr="006F2CA5" w14:paraId="1C194065"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5BCC75C7"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 xml:space="preserve">Sectoral types of </w:t>
            </w:r>
            <w:r w:rsidR="00B67C2C">
              <w:rPr>
                <w:rFonts w:ascii="Times New Roman" w:eastAsia="Times New Roman" w:hAnsi="Times New Roman" w:cs="Times New Roman"/>
                <w:sz w:val="20"/>
                <w:szCs w:val="20"/>
                <w:lang w:eastAsia="en-GB"/>
              </w:rPr>
              <w:t>interventions (Article 58</w:t>
            </w:r>
            <w:r w:rsidRPr="006F2CA5">
              <w:rPr>
                <w:rFonts w:ascii="Times New Roman" w:eastAsia="Times New Roman" w:hAnsi="Times New Roman" w:cs="Times New Roman"/>
                <w:sz w:val="20"/>
                <w:szCs w:val="20"/>
                <w:lang w:eastAsia="en-GB"/>
              </w:rPr>
              <w:t>)</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4DCF41D0"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hAnsi="Times New Roman" w:cs="Times New Roman"/>
                <w:sz w:val="20"/>
                <w:szCs w:val="20"/>
              </w:rPr>
              <w:t>O.36 Number of actions or units supported in the wine sector</w:t>
            </w:r>
          </w:p>
        </w:tc>
        <w:tc>
          <w:tcPr>
            <w:tcW w:w="2092" w:type="dxa"/>
            <w:tcBorders>
              <w:top w:val="single" w:sz="4" w:space="0" w:color="auto"/>
              <w:left w:val="nil"/>
              <w:bottom w:val="single" w:sz="4" w:space="0" w:color="auto"/>
              <w:right w:val="single" w:sz="4" w:space="0" w:color="auto"/>
            </w:tcBorders>
            <w:vAlign w:val="center"/>
          </w:tcPr>
          <w:p w14:paraId="231C9F55"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Actions</w:t>
            </w:r>
          </w:p>
        </w:tc>
      </w:tr>
      <w:tr w:rsidR="00953CDD" w:rsidRPr="006F2CA5" w14:paraId="56C33B32" w14:textId="77777777" w:rsidTr="0015400B">
        <w:trPr>
          <w:trHeight w:val="300"/>
        </w:trPr>
        <w:tc>
          <w:tcPr>
            <w:tcW w:w="2122" w:type="dxa"/>
            <w:vMerge/>
            <w:tcBorders>
              <w:left w:val="single" w:sz="4" w:space="0" w:color="auto"/>
              <w:right w:val="single" w:sz="4" w:space="0" w:color="auto"/>
            </w:tcBorders>
            <w:vAlign w:val="center"/>
          </w:tcPr>
          <w:p w14:paraId="0FC8253B"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0C49074D"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68A9D7A8"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Hectares</w:t>
            </w:r>
          </w:p>
        </w:tc>
      </w:tr>
      <w:tr w:rsidR="00953CDD" w:rsidRPr="006F2CA5" w14:paraId="4C00097A" w14:textId="77777777" w:rsidTr="0015400B">
        <w:trPr>
          <w:trHeight w:val="300"/>
        </w:trPr>
        <w:tc>
          <w:tcPr>
            <w:tcW w:w="2122" w:type="dxa"/>
            <w:vMerge/>
            <w:tcBorders>
              <w:left w:val="single" w:sz="4" w:space="0" w:color="auto"/>
              <w:right w:val="single" w:sz="4" w:space="0" w:color="auto"/>
            </w:tcBorders>
            <w:vAlign w:val="center"/>
          </w:tcPr>
          <w:p w14:paraId="1AC2CDF9"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3E649702"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3402017E"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Hectolitres</w:t>
            </w:r>
          </w:p>
        </w:tc>
      </w:tr>
      <w:tr w:rsidR="00953CDD" w:rsidRPr="006F2CA5" w14:paraId="1585A17D" w14:textId="77777777" w:rsidTr="0015400B">
        <w:trPr>
          <w:trHeight w:val="300"/>
        </w:trPr>
        <w:tc>
          <w:tcPr>
            <w:tcW w:w="2122" w:type="dxa"/>
            <w:vMerge/>
            <w:tcBorders>
              <w:left w:val="single" w:sz="4" w:space="0" w:color="auto"/>
              <w:right w:val="single" w:sz="4" w:space="0" w:color="auto"/>
            </w:tcBorders>
            <w:vAlign w:val="center"/>
          </w:tcPr>
          <w:p w14:paraId="38786AD5"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7EA73B3A"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09815B5"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Plants</w:t>
            </w:r>
          </w:p>
        </w:tc>
      </w:tr>
      <w:tr w:rsidR="00953CDD" w:rsidRPr="006F2CA5" w14:paraId="37B462F1" w14:textId="77777777" w:rsidTr="0015400B">
        <w:trPr>
          <w:trHeight w:val="300"/>
        </w:trPr>
        <w:tc>
          <w:tcPr>
            <w:tcW w:w="2122" w:type="dxa"/>
            <w:vMerge/>
            <w:tcBorders>
              <w:left w:val="single" w:sz="4" w:space="0" w:color="auto"/>
              <w:right w:val="single" w:sz="4" w:space="0" w:color="auto"/>
            </w:tcBorders>
            <w:vAlign w:val="center"/>
          </w:tcPr>
          <w:p w14:paraId="4290FF11"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4F961407"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4B8B3D1D"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Beneficiaries</w:t>
            </w:r>
          </w:p>
        </w:tc>
      </w:tr>
      <w:tr w:rsidR="00953CDD" w:rsidRPr="006F2CA5" w14:paraId="64CB8057" w14:textId="77777777" w:rsidTr="0015400B">
        <w:trPr>
          <w:trHeight w:val="300"/>
        </w:trPr>
        <w:tc>
          <w:tcPr>
            <w:tcW w:w="2122" w:type="dxa"/>
            <w:vMerge/>
            <w:tcBorders>
              <w:left w:val="single" w:sz="4" w:space="0" w:color="auto"/>
              <w:bottom w:val="single" w:sz="4" w:space="0" w:color="auto"/>
              <w:right w:val="single" w:sz="4" w:space="0" w:color="auto"/>
            </w:tcBorders>
            <w:vAlign w:val="center"/>
          </w:tcPr>
          <w:p w14:paraId="1E44967D" w14:textId="77777777" w:rsidR="00953CDD" w:rsidRPr="006F2CA5" w:rsidRDefault="00953CDD" w:rsidP="00A82615">
            <w:pPr>
              <w:spacing w:after="0" w:line="264" w:lineRule="auto"/>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484DF235" w14:textId="77777777" w:rsidR="00953CDD" w:rsidRPr="006F2CA5" w:rsidRDefault="00953CDD" w:rsidP="00A82615">
            <w:pPr>
              <w:spacing w:after="0" w:line="264" w:lineRule="auto"/>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7151A8F4"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r w:rsidR="00953CDD" w:rsidRPr="006F2CA5" w14:paraId="249DA520" w14:textId="77777777" w:rsidTr="0015400B">
        <w:trPr>
          <w:trHeight w:val="300"/>
        </w:trPr>
        <w:tc>
          <w:tcPr>
            <w:tcW w:w="2122" w:type="dxa"/>
            <w:vMerge w:val="restart"/>
            <w:tcBorders>
              <w:top w:val="single" w:sz="4" w:space="0" w:color="auto"/>
              <w:left w:val="single" w:sz="4" w:space="0" w:color="auto"/>
              <w:right w:val="single" w:sz="4" w:space="0" w:color="auto"/>
            </w:tcBorders>
            <w:vAlign w:val="center"/>
          </w:tcPr>
          <w:p w14:paraId="6E07726D" w14:textId="77777777" w:rsidR="00953CDD" w:rsidRPr="006F2CA5" w:rsidRDefault="00953CDD" w:rsidP="00A82615">
            <w:pPr>
              <w:spacing w:after="0" w:line="264" w:lineRule="auto"/>
              <w:rPr>
                <w:rFonts w:ascii="Times New Roman" w:hAnsi="Times New Roman" w:cs="Times New Roman"/>
                <w:sz w:val="20"/>
                <w:szCs w:val="20"/>
              </w:rPr>
            </w:pPr>
            <w:r w:rsidRPr="006F2CA5">
              <w:rPr>
                <w:rFonts w:ascii="Times New Roman" w:eastAsia="Times New Roman" w:hAnsi="Times New Roman" w:cs="Times New Roman"/>
                <w:sz w:val="20"/>
                <w:szCs w:val="20"/>
                <w:lang w:eastAsia="en-GB"/>
              </w:rPr>
              <w:t>Sectoral ty</w:t>
            </w:r>
            <w:r w:rsidR="00AC50E1">
              <w:rPr>
                <w:rFonts w:ascii="Times New Roman" w:eastAsia="Times New Roman" w:hAnsi="Times New Roman" w:cs="Times New Roman"/>
                <w:sz w:val="20"/>
                <w:szCs w:val="20"/>
                <w:lang w:eastAsia="en-GB"/>
              </w:rPr>
              <w:t>pes of interventions (Article 55</w:t>
            </w:r>
            <w:r w:rsidRPr="006F2CA5">
              <w:rPr>
                <w:rFonts w:ascii="Times New Roman" w:eastAsia="Times New Roman" w:hAnsi="Times New Roman" w:cs="Times New Roman"/>
                <w:sz w:val="20"/>
                <w:szCs w:val="20"/>
                <w:lang w:eastAsia="en-GB"/>
              </w:rPr>
              <w:t>)</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2EBDC439" w14:textId="77777777" w:rsidR="00953CDD" w:rsidRPr="006F2CA5" w:rsidRDefault="00953CDD" w:rsidP="00A82615">
            <w:pPr>
              <w:spacing w:after="0" w:line="264" w:lineRule="auto"/>
              <w:rPr>
                <w:rFonts w:ascii="Times New Roman" w:eastAsia="Times New Roman" w:hAnsi="Times New Roman" w:cs="Times New Roman"/>
                <w:sz w:val="20"/>
                <w:szCs w:val="20"/>
                <w:lang w:eastAsia="en-GB"/>
              </w:rPr>
            </w:pPr>
            <w:r w:rsidRPr="006F2CA5">
              <w:rPr>
                <w:rFonts w:ascii="Times New Roman" w:eastAsia="Times New Roman" w:hAnsi="Times New Roman" w:cs="Times New Roman"/>
                <w:sz w:val="20"/>
                <w:szCs w:val="20"/>
                <w:lang w:eastAsia="en-GB"/>
              </w:rPr>
              <w:t>O.37 Number of actions or units for beekeeping preservation</w:t>
            </w:r>
            <w:r w:rsidR="000D0C5E">
              <w:rPr>
                <w:rFonts w:ascii="Times New Roman" w:eastAsia="Times New Roman" w:hAnsi="Times New Roman" w:cs="Times New Roman"/>
                <w:sz w:val="20"/>
                <w:szCs w:val="20"/>
                <w:lang w:eastAsia="en-GB"/>
              </w:rPr>
              <w:t xml:space="preserve"> or </w:t>
            </w:r>
            <w:r w:rsidRPr="006F2CA5">
              <w:rPr>
                <w:rFonts w:ascii="Times New Roman" w:eastAsia="Times New Roman" w:hAnsi="Times New Roman" w:cs="Times New Roman"/>
                <w:sz w:val="20"/>
                <w:szCs w:val="20"/>
                <w:lang w:eastAsia="en-GB"/>
              </w:rPr>
              <w:t>improvement</w:t>
            </w:r>
          </w:p>
        </w:tc>
        <w:tc>
          <w:tcPr>
            <w:tcW w:w="2092" w:type="dxa"/>
            <w:tcBorders>
              <w:top w:val="single" w:sz="4" w:space="0" w:color="auto"/>
              <w:left w:val="nil"/>
              <w:bottom w:val="single" w:sz="4" w:space="0" w:color="auto"/>
              <w:right w:val="single" w:sz="4" w:space="0" w:color="auto"/>
            </w:tcBorders>
            <w:vAlign w:val="center"/>
          </w:tcPr>
          <w:p w14:paraId="411D85AA"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Beekeepers</w:t>
            </w:r>
          </w:p>
        </w:tc>
      </w:tr>
      <w:tr w:rsidR="00953CDD" w:rsidRPr="006F2CA5" w14:paraId="58472231" w14:textId="77777777" w:rsidTr="0015400B">
        <w:trPr>
          <w:trHeight w:val="300"/>
        </w:trPr>
        <w:tc>
          <w:tcPr>
            <w:tcW w:w="2122" w:type="dxa"/>
            <w:vMerge/>
            <w:tcBorders>
              <w:left w:val="single" w:sz="4" w:space="0" w:color="auto"/>
              <w:right w:val="single" w:sz="4" w:space="0" w:color="auto"/>
            </w:tcBorders>
            <w:vAlign w:val="center"/>
          </w:tcPr>
          <w:p w14:paraId="4ED47259"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4733A33D"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230A2C03"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Beehives</w:t>
            </w:r>
          </w:p>
        </w:tc>
      </w:tr>
      <w:tr w:rsidR="00953CDD" w:rsidRPr="006F2CA5" w14:paraId="62CBA93B" w14:textId="77777777" w:rsidTr="0015400B">
        <w:trPr>
          <w:trHeight w:val="300"/>
        </w:trPr>
        <w:tc>
          <w:tcPr>
            <w:tcW w:w="2122" w:type="dxa"/>
            <w:vMerge/>
            <w:tcBorders>
              <w:left w:val="single" w:sz="4" w:space="0" w:color="auto"/>
              <w:right w:val="single" w:sz="4" w:space="0" w:color="auto"/>
            </w:tcBorders>
            <w:vAlign w:val="center"/>
          </w:tcPr>
          <w:p w14:paraId="3BF786FF"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4961" w:type="dxa"/>
            <w:vMerge/>
            <w:tcBorders>
              <w:left w:val="single" w:sz="4" w:space="0" w:color="auto"/>
              <w:right w:val="single" w:sz="4" w:space="0" w:color="auto"/>
            </w:tcBorders>
            <w:shd w:val="clear" w:color="auto" w:fill="auto"/>
            <w:vAlign w:val="center"/>
          </w:tcPr>
          <w:p w14:paraId="2202AC45"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5B979F6B"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Actions</w:t>
            </w:r>
          </w:p>
        </w:tc>
      </w:tr>
      <w:tr w:rsidR="00953CDD" w:rsidRPr="006F2CA5" w14:paraId="118A5CA1" w14:textId="77777777" w:rsidTr="0015400B">
        <w:trPr>
          <w:trHeight w:val="300"/>
        </w:trPr>
        <w:tc>
          <w:tcPr>
            <w:tcW w:w="2122" w:type="dxa"/>
            <w:tcBorders>
              <w:left w:val="single" w:sz="4" w:space="0" w:color="auto"/>
              <w:bottom w:val="single" w:sz="4" w:space="0" w:color="auto"/>
              <w:right w:val="single" w:sz="4" w:space="0" w:color="auto"/>
            </w:tcBorders>
            <w:vAlign w:val="center"/>
          </w:tcPr>
          <w:p w14:paraId="3A2822B6"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4961" w:type="dxa"/>
            <w:vMerge/>
            <w:tcBorders>
              <w:left w:val="single" w:sz="4" w:space="0" w:color="auto"/>
              <w:bottom w:val="single" w:sz="4" w:space="0" w:color="auto"/>
              <w:right w:val="single" w:sz="4" w:space="0" w:color="auto"/>
            </w:tcBorders>
            <w:shd w:val="clear" w:color="auto" w:fill="auto"/>
            <w:vAlign w:val="center"/>
          </w:tcPr>
          <w:p w14:paraId="30C877A2" w14:textId="77777777" w:rsidR="00953CDD" w:rsidRPr="006F2CA5" w:rsidRDefault="00953CDD" w:rsidP="00A82615">
            <w:pPr>
              <w:spacing w:after="0" w:line="264" w:lineRule="auto"/>
              <w:jc w:val="center"/>
              <w:rPr>
                <w:rFonts w:ascii="Times New Roman" w:hAnsi="Times New Roman" w:cs="Times New Roman"/>
                <w:sz w:val="20"/>
                <w:szCs w:val="20"/>
              </w:rPr>
            </w:pPr>
          </w:p>
        </w:tc>
        <w:tc>
          <w:tcPr>
            <w:tcW w:w="2092" w:type="dxa"/>
            <w:tcBorders>
              <w:top w:val="single" w:sz="4" w:space="0" w:color="auto"/>
              <w:left w:val="nil"/>
              <w:bottom w:val="single" w:sz="4" w:space="0" w:color="auto"/>
              <w:right w:val="single" w:sz="4" w:space="0" w:color="auto"/>
            </w:tcBorders>
            <w:vAlign w:val="center"/>
          </w:tcPr>
          <w:p w14:paraId="15A261B0" w14:textId="77777777" w:rsidR="00953CDD" w:rsidRPr="006F2CA5" w:rsidRDefault="00953CDD" w:rsidP="00A82615">
            <w:pPr>
              <w:spacing w:after="0" w:line="264" w:lineRule="auto"/>
              <w:jc w:val="center"/>
              <w:rPr>
                <w:rFonts w:ascii="Times New Roman" w:hAnsi="Times New Roman" w:cs="Times New Roman"/>
                <w:sz w:val="20"/>
                <w:szCs w:val="20"/>
              </w:rPr>
            </w:pPr>
            <w:r w:rsidRPr="006F2CA5">
              <w:rPr>
                <w:rFonts w:ascii="Times New Roman" w:hAnsi="Times New Roman" w:cs="Times New Roman"/>
                <w:sz w:val="20"/>
                <w:szCs w:val="20"/>
              </w:rPr>
              <w:t>Other unit</w:t>
            </w:r>
          </w:p>
        </w:tc>
      </w:tr>
    </w:tbl>
    <w:p w14:paraId="04104F1B" w14:textId="77777777" w:rsidR="00953CDD" w:rsidRPr="006F2CA5" w:rsidRDefault="00953CDD" w:rsidP="00A82615">
      <w:pPr>
        <w:spacing w:line="264" w:lineRule="auto"/>
        <w:rPr>
          <w:rFonts w:ascii="Times New Roman" w:hAnsi="Times New Roman" w:cs="Times New Roman"/>
          <w:sz w:val="20"/>
          <w:szCs w:val="20"/>
        </w:rPr>
      </w:pPr>
    </w:p>
    <w:p w14:paraId="00B75E48" w14:textId="77777777" w:rsidR="00FC0258" w:rsidRPr="006F2CA5" w:rsidRDefault="00FC0258" w:rsidP="00A82615">
      <w:pPr>
        <w:spacing w:after="120" w:line="264" w:lineRule="auto"/>
        <w:jc w:val="both"/>
        <w:rPr>
          <w:rFonts w:ascii="Times New Roman" w:hAnsi="Times New Roman" w:cs="Times New Roman"/>
          <w:b/>
        </w:rPr>
      </w:pPr>
    </w:p>
    <w:p w14:paraId="15A8AEB9" w14:textId="77777777" w:rsidR="00FC0258" w:rsidRPr="006F2CA5" w:rsidRDefault="00FC0258" w:rsidP="00A82615">
      <w:pPr>
        <w:spacing w:after="120" w:line="264" w:lineRule="auto"/>
        <w:jc w:val="both"/>
        <w:rPr>
          <w:rFonts w:ascii="Times New Roman" w:hAnsi="Times New Roman" w:cs="Times New Roman"/>
          <w:b/>
        </w:rPr>
      </w:pPr>
    </w:p>
    <w:p w14:paraId="0343BC63" w14:textId="77777777" w:rsidR="001923EC" w:rsidRPr="006F2CA5" w:rsidRDefault="001923EC" w:rsidP="00A82615">
      <w:pPr>
        <w:spacing w:after="120" w:line="264" w:lineRule="auto"/>
        <w:jc w:val="both"/>
        <w:rPr>
          <w:rFonts w:ascii="Times New Roman" w:hAnsi="Times New Roman" w:cs="Times New Roman"/>
          <w:b/>
        </w:rPr>
        <w:sectPr w:rsidR="001923EC" w:rsidRPr="006F2CA5">
          <w:pgSz w:w="12240" w:h="15840"/>
          <w:pgMar w:top="1440" w:right="1440" w:bottom="1440" w:left="1440" w:header="708" w:footer="708" w:gutter="0"/>
          <w:cols w:space="708"/>
          <w:docGrid w:linePitch="360"/>
        </w:sectPr>
      </w:pPr>
    </w:p>
    <w:p w14:paraId="589EE463" w14:textId="3F663CBB" w:rsidR="003527AF" w:rsidRPr="000B58DB" w:rsidRDefault="000B58DB" w:rsidP="000B58DB">
      <w:pPr>
        <w:pStyle w:val="Heading1"/>
        <w:rPr>
          <w:rFonts w:ascii="Times New Roman" w:hAnsi="Times New Roman" w:cs="Times New Roman"/>
          <w:color w:val="C45911" w:themeColor="accent2" w:themeShade="BF"/>
        </w:rPr>
      </w:pPr>
      <w:bookmarkStart w:id="41" w:name="_Toc126762228"/>
      <w:r w:rsidRPr="000B58DB">
        <w:rPr>
          <w:rFonts w:ascii="Times New Roman" w:hAnsi="Times New Roman" w:cs="Times New Roman"/>
          <w:color w:val="C45911" w:themeColor="accent2" w:themeShade="BF"/>
          <w:u w:val="single"/>
        </w:rPr>
        <w:lastRenderedPageBreak/>
        <w:t>Annex III</w:t>
      </w:r>
      <w:r w:rsidRPr="000B58DB">
        <w:rPr>
          <w:rFonts w:ascii="Times New Roman" w:hAnsi="Times New Roman" w:cs="Times New Roman"/>
          <w:color w:val="C45911" w:themeColor="accent2" w:themeShade="BF"/>
        </w:rPr>
        <w:t xml:space="preserve">: </w:t>
      </w:r>
      <w:r w:rsidR="009162BA" w:rsidRPr="000B58DB">
        <w:rPr>
          <w:rFonts w:ascii="Times New Roman" w:hAnsi="Times New Roman" w:cs="Times New Roman"/>
          <w:color w:val="C45911" w:themeColor="accent2" w:themeShade="BF"/>
        </w:rPr>
        <w:t>Types of i</w:t>
      </w:r>
      <w:r w:rsidR="003527AF" w:rsidRPr="000B58DB">
        <w:rPr>
          <w:rFonts w:ascii="Times New Roman" w:hAnsi="Times New Roman" w:cs="Times New Roman"/>
          <w:color w:val="C45911" w:themeColor="accent2" w:themeShade="BF"/>
        </w:rPr>
        <w:t>nterventions using financial instruments</w:t>
      </w:r>
      <w:bookmarkEnd w:id="41"/>
    </w:p>
    <w:p w14:paraId="62AC97EC" w14:textId="77777777" w:rsidR="003527AF" w:rsidRPr="00B6292A" w:rsidRDefault="004056DE" w:rsidP="000B58DB">
      <w:pPr>
        <w:spacing w:before="240" w:after="120" w:line="264" w:lineRule="auto"/>
        <w:jc w:val="center"/>
        <w:rPr>
          <w:rFonts w:ascii="Times New Roman" w:hAnsi="Times New Roman" w:cs="Times New Roman"/>
          <w:b/>
        </w:rPr>
      </w:pPr>
      <w:r w:rsidRPr="00B6292A">
        <w:rPr>
          <w:rFonts w:ascii="Times New Roman" w:hAnsi="Times New Roman" w:cs="Times New Roman"/>
          <w:b/>
        </w:rPr>
        <w:t>Link between types of interventions using financial instruments and corresponding output and result indicators</w:t>
      </w:r>
    </w:p>
    <w:p w14:paraId="124D2BC1" w14:textId="77777777" w:rsidR="00BB7A0B" w:rsidRDefault="004056DE" w:rsidP="00A970FE">
      <w:pPr>
        <w:spacing w:after="360" w:line="264" w:lineRule="auto"/>
        <w:jc w:val="both"/>
        <w:rPr>
          <w:rFonts w:ascii="Times New Roman" w:hAnsi="Times New Roman" w:cs="Times New Roman"/>
        </w:rPr>
      </w:pPr>
      <w:r w:rsidRPr="004056DE">
        <w:rPr>
          <w:rFonts w:ascii="Times New Roman" w:hAnsi="Times New Roman" w:cs="Times New Roman"/>
        </w:rPr>
        <w:t xml:space="preserve">For clearance purposes, output indicators are reported separately </w:t>
      </w:r>
      <w:r>
        <w:rPr>
          <w:rFonts w:ascii="Times New Roman" w:hAnsi="Times New Roman" w:cs="Times New Roman"/>
        </w:rPr>
        <w:t>for financial instruments (</w:t>
      </w:r>
      <w:r w:rsidRPr="00D5353E">
        <w:rPr>
          <w:rFonts w:ascii="Times New Roman" w:hAnsi="Times New Roman" w:cs="Times New Roman"/>
          <w:b/>
        </w:rPr>
        <w:t>FI</w:t>
      </w:r>
      <w:r>
        <w:rPr>
          <w:rFonts w:ascii="Times New Roman" w:hAnsi="Times New Roman" w:cs="Times New Roman"/>
        </w:rPr>
        <w:t>) and grants, i.e. two</w:t>
      </w:r>
      <w:r w:rsidRPr="004056DE">
        <w:rPr>
          <w:rFonts w:ascii="Times New Roman" w:hAnsi="Times New Roman" w:cs="Times New Roman"/>
        </w:rPr>
        <w:t xml:space="preserve"> outputs for the same project for the clearance of </w:t>
      </w:r>
      <w:r>
        <w:rPr>
          <w:rFonts w:ascii="Times New Roman" w:hAnsi="Times New Roman" w:cs="Times New Roman"/>
        </w:rPr>
        <w:t>these</w:t>
      </w:r>
      <w:r w:rsidRPr="004056DE">
        <w:rPr>
          <w:rFonts w:ascii="Times New Roman" w:hAnsi="Times New Roman" w:cs="Times New Roman"/>
        </w:rPr>
        <w:t xml:space="preserve"> diff</w:t>
      </w:r>
      <w:r>
        <w:rPr>
          <w:rFonts w:ascii="Times New Roman" w:hAnsi="Times New Roman" w:cs="Times New Roman"/>
        </w:rPr>
        <w:t>erent forms of support. However,</w:t>
      </w:r>
      <w:r w:rsidRPr="004056DE">
        <w:rPr>
          <w:rFonts w:ascii="Times New Roman" w:hAnsi="Times New Roman" w:cs="Times New Roman"/>
        </w:rPr>
        <w:t xml:space="preserve"> for aggregated outputs and result indicators the same project and beneficiary receiving grant and FI </w:t>
      </w:r>
      <w:r w:rsidR="007753EC">
        <w:rPr>
          <w:rFonts w:ascii="Times New Roman" w:hAnsi="Times New Roman" w:cs="Times New Roman"/>
        </w:rPr>
        <w:t>should</w:t>
      </w:r>
      <w:r>
        <w:rPr>
          <w:rFonts w:ascii="Times New Roman" w:hAnsi="Times New Roman" w:cs="Times New Roman"/>
        </w:rPr>
        <w:t xml:space="preserve"> be counted only once. This</w:t>
      </w:r>
      <w:r w:rsidRPr="004056DE">
        <w:rPr>
          <w:rFonts w:ascii="Times New Roman" w:hAnsi="Times New Roman" w:cs="Times New Roman"/>
        </w:rPr>
        <w:t xml:space="preserve"> implies </w:t>
      </w:r>
      <w:r>
        <w:rPr>
          <w:rFonts w:ascii="Times New Roman" w:hAnsi="Times New Roman" w:cs="Times New Roman"/>
        </w:rPr>
        <w:t xml:space="preserve">the use of </w:t>
      </w:r>
      <w:r w:rsidRPr="004056DE">
        <w:rPr>
          <w:rFonts w:ascii="Times New Roman" w:hAnsi="Times New Roman" w:cs="Times New Roman"/>
        </w:rPr>
        <w:t xml:space="preserve">a unique project identifier and </w:t>
      </w:r>
      <w:r>
        <w:rPr>
          <w:rFonts w:ascii="Times New Roman" w:hAnsi="Times New Roman" w:cs="Times New Roman"/>
        </w:rPr>
        <w:t xml:space="preserve">a </w:t>
      </w:r>
      <w:r w:rsidRPr="004056DE">
        <w:rPr>
          <w:rFonts w:ascii="Times New Roman" w:hAnsi="Times New Roman" w:cs="Times New Roman"/>
        </w:rPr>
        <w:t>unique beneficiary identifier. The list of</w:t>
      </w:r>
      <w:r>
        <w:rPr>
          <w:rFonts w:ascii="Times New Roman" w:hAnsi="Times New Roman" w:cs="Times New Roman"/>
        </w:rPr>
        <w:t xml:space="preserve"> r</w:t>
      </w:r>
      <w:r w:rsidRPr="004056DE">
        <w:rPr>
          <w:rFonts w:ascii="Times New Roman" w:hAnsi="Times New Roman" w:cs="Times New Roman"/>
        </w:rPr>
        <w:t>esult</w:t>
      </w:r>
      <w:r>
        <w:rPr>
          <w:rFonts w:ascii="Times New Roman" w:hAnsi="Times New Roman" w:cs="Times New Roman"/>
        </w:rPr>
        <w:t xml:space="preserve"> i</w:t>
      </w:r>
      <w:r w:rsidRPr="004056DE">
        <w:rPr>
          <w:rFonts w:ascii="Times New Roman" w:hAnsi="Times New Roman" w:cs="Times New Roman"/>
        </w:rPr>
        <w:t xml:space="preserve">ndicators provided </w:t>
      </w:r>
      <w:r>
        <w:rPr>
          <w:rFonts w:ascii="Times New Roman" w:hAnsi="Times New Roman" w:cs="Times New Roman"/>
        </w:rPr>
        <w:t xml:space="preserve">in this Annex </w:t>
      </w:r>
      <w:r w:rsidRPr="004056DE">
        <w:rPr>
          <w:rFonts w:ascii="Times New Roman" w:hAnsi="Times New Roman" w:cs="Times New Roman"/>
        </w:rPr>
        <w:t>is not exhaustive and other result indicators m</w:t>
      </w:r>
      <w:r>
        <w:rPr>
          <w:rFonts w:ascii="Times New Roman" w:hAnsi="Times New Roman" w:cs="Times New Roman"/>
        </w:rPr>
        <w:t>ight</w:t>
      </w:r>
      <w:r w:rsidRPr="004056DE">
        <w:rPr>
          <w:rFonts w:ascii="Times New Roman" w:hAnsi="Times New Roman" w:cs="Times New Roman"/>
        </w:rPr>
        <w:t xml:space="preserve"> be relevant depending on the design of the intervention proposed by </w:t>
      </w:r>
      <w:r>
        <w:rPr>
          <w:rFonts w:ascii="Times New Roman" w:hAnsi="Times New Roman" w:cs="Times New Roman"/>
        </w:rPr>
        <w:t>the MS.</w:t>
      </w:r>
    </w:p>
    <w:tbl>
      <w:tblPr>
        <w:tblW w:w="0" w:type="auto"/>
        <w:tblLook w:val="04A0" w:firstRow="1" w:lastRow="0" w:firstColumn="1" w:lastColumn="0" w:noHBand="0" w:noVBand="1"/>
      </w:tblPr>
      <w:tblGrid>
        <w:gridCol w:w="2663"/>
        <w:gridCol w:w="611"/>
        <w:gridCol w:w="4927"/>
        <w:gridCol w:w="600"/>
        <w:gridCol w:w="4375"/>
      </w:tblGrid>
      <w:tr w:rsidR="00BB7A0B" w:rsidRPr="00BB7A0B" w14:paraId="2AB449B2" w14:textId="77777777" w:rsidTr="00A970FE">
        <w:trPr>
          <w:trHeight w:val="300"/>
          <w:tblHeader/>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14:paraId="3594379F" w14:textId="77777777" w:rsidR="00BB7A0B" w:rsidRPr="00BB7A0B" w:rsidRDefault="00BB7A0B" w:rsidP="00BB7A0B">
            <w:pPr>
              <w:spacing w:after="0" w:line="240" w:lineRule="auto"/>
              <w:jc w:val="center"/>
              <w:rPr>
                <w:rFonts w:ascii="Times New Roman" w:eastAsia="Times New Roman" w:hAnsi="Times New Roman" w:cs="Times New Roman"/>
                <w:b/>
                <w:bCs/>
                <w:color w:val="000000"/>
                <w:sz w:val="20"/>
                <w:szCs w:val="20"/>
                <w:lang w:val="en-US"/>
              </w:rPr>
            </w:pPr>
            <w:r w:rsidRPr="00BB7A0B">
              <w:rPr>
                <w:rFonts w:ascii="Times New Roman" w:eastAsia="Times New Roman" w:hAnsi="Times New Roman" w:cs="Times New Roman"/>
                <w:b/>
                <w:bCs/>
                <w:color w:val="000000"/>
                <w:sz w:val="20"/>
                <w:szCs w:val="20"/>
                <w:lang w:val="fr-BE"/>
              </w:rPr>
              <w:t>Type of Intervention</w:t>
            </w:r>
          </w:p>
        </w:tc>
        <w:tc>
          <w:tcPr>
            <w:tcW w:w="0" w:type="auto"/>
            <w:gridSpan w:val="2"/>
            <w:tcBorders>
              <w:top w:val="single" w:sz="8" w:space="0" w:color="auto"/>
              <w:left w:val="nil"/>
              <w:bottom w:val="single" w:sz="8" w:space="0" w:color="auto"/>
              <w:right w:val="single" w:sz="8" w:space="0" w:color="000000"/>
            </w:tcBorders>
            <w:shd w:val="clear" w:color="000000" w:fill="A6A6A6"/>
            <w:vAlign w:val="center"/>
            <w:hideMark/>
          </w:tcPr>
          <w:p w14:paraId="1226A48F" w14:textId="77777777" w:rsidR="00BB7A0B" w:rsidRPr="00BB7A0B" w:rsidRDefault="00BB7A0B" w:rsidP="00BB7A0B">
            <w:pPr>
              <w:spacing w:after="0" w:line="240" w:lineRule="auto"/>
              <w:jc w:val="center"/>
              <w:rPr>
                <w:rFonts w:ascii="Times New Roman" w:eastAsia="Times New Roman" w:hAnsi="Times New Roman" w:cs="Times New Roman"/>
                <w:b/>
                <w:bCs/>
                <w:color w:val="000000"/>
                <w:sz w:val="20"/>
                <w:szCs w:val="20"/>
                <w:lang w:val="en-US"/>
              </w:rPr>
            </w:pPr>
            <w:r w:rsidRPr="00BB7A0B">
              <w:rPr>
                <w:rFonts w:ascii="Times New Roman" w:eastAsia="Times New Roman" w:hAnsi="Times New Roman" w:cs="Times New Roman"/>
                <w:b/>
                <w:bCs/>
                <w:color w:val="000000"/>
                <w:sz w:val="20"/>
                <w:szCs w:val="20"/>
                <w:lang w:val="fr-BE"/>
              </w:rPr>
              <w:t>Output indicator</w:t>
            </w:r>
          </w:p>
        </w:tc>
        <w:tc>
          <w:tcPr>
            <w:tcW w:w="0" w:type="auto"/>
            <w:gridSpan w:val="2"/>
            <w:tcBorders>
              <w:top w:val="single" w:sz="8" w:space="0" w:color="auto"/>
              <w:left w:val="nil"/>
              <w:bottom w:val="single" w:sz="8" w:space="0" w:color="auto"/>
              <w:right w:val="single" w:sz="8" w:space="0" w:color="000000"/>
            </w:tcBorders>
            <w:shd w:val="clear" w:color="000000" w:fill="A6A6A6"/>
            <w:vAlign w:val="center"/>
            <w:hideMark/>
          </w:tcPr>
          <w:p w14:paraId="6F83B499" w14:textId="77777777" w:rsidR="00BB7A0B" w:rsidRPr="00BB7A0B" w:rsidRDefault="00BB7A0B" w:rsidP="00BB7A0B">
            <w:pPr>
              <w:spacing w:after="0" w:line="240" w:lineRule="auto"/>
              <w:jc w:val="center"/>
              <w:rPr>
                <w:rFonts w:ascii="Times New Roman" w:eastAsia="Times New Roman" w:hAnsi="Times New Roman" w:cs="Times New Roman"/>
                <w:b/>
                <w:bCs/>
                <w:color w:val="000000"/>
                <w:sz w:val="20"/>
                <w:szCs w:val="20"/>
                <w:lang w:val="en-US"/>
              </w:rPr>
            </w:pPr>
            <w:r w:rsidRPr="00BB7A0B">
              <w:rPr>
                <w:rFonts w:ascii="Times New Roman" w:eastAsia="Times New Roman" w:hAnsi="Times New Roman" w:cs="Times New Roman"/>
                <w:b/>
                <w:bCs/>
                <w:color w:val="000000"/>
                <w:sz w:val="20"/>
                <w:szCs w:val="20"/>
                <w:lang w:val="fr-BE"/>
              </w:rPr>
              <w:t>Result indicator</w:t>
            </w:r>
          </w:p>
        </w:tc>
      </w:tr>
      <w:tr w:rsidR="00BB7A0B" w:rsidRPr="00BB7A0B" w14:paraId="5EF48719" w14:textId="77777777" w:rsidTr="0015400B">
        <w:trPr>
          <w:trHeight w:val="300"/>
        </w:trPr>
        <w:tc>
          <w:tcPr>
            <w:tcW w:w="0" w:type="auto"/>
            <w:tcBorders>
              <w:top w:val="nil"/>
              <w:left w:val="single" w:sz="8" w:space="0" w:color="auto"/>
              <w:bottom w:val="nil"/>
              <w:right w:val="single" w:sz="8" w:space="0" w:color="auto"/>
            </w:tcBorders>
            <w:shd w:val="clear" w:color="auto" w:fill="auto"/>
            <w:vAlign w:val="center"/>
            <w:hideMark/>
          </w:tcPr>
          <w:p w14:paraId="617BEBBB"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Risk management tools (Art.76)</w:t>
            </w:r>
          </w:p>
        </w:tc>
        <w:tc>
          <w:tcPr>
            <w:tcW w:w="0" w:type="auto"/>
            <w:tcBorders>
              <w:top w:val="nil"/>
              <w:left w:val="nil"/>
              <w:bottom w:val="nil"/>
              <w:right w:val="single" w:sz="8" w:space="0" w:color="auto"/>
            </w:tcBorders>
            <w:shd w:val="clear" w:color="auto" w:fill="auto"/>
            <w:vAlign w:val="center"/>
            <w:hideMark/>
          </w:tcPr>
          <w:p w14:paraId="6A0F5C5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fr-BE"/>
              </w:rPr>
              <w:t>O.9</w:t>
            </w:r>
          </w:p>
        </w:tc>
        <w:tc>
          <w:tcPr>
            <w:tcW w:w="0" w:type="auto"/>
            <w:tcBorders>
              <w:top w:val="nil"/>
              <w:left w:val="nil"/>
              <w:bottom w:val="nil"/>
              <w:right w:val="single" w:sz="8" w:space="0" w:color="auto"/>
            </w:tcBorders>
            <w:shd w:val="clear" w:color="auto" w:fill="auto"/>
            <w:vAlign w:val="center"/>
            <w:hideMark/>
          </w:tcPr>
          <w:p w14:paraId="6A57708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 xml:space="preserve">Number of units covered by supported CAP risk management tools </w:t>
            </w:r>
          </w:p>
        </w:tc>
        <w:tc>
          <w:tcPr>
            <w:tcW w:w="0" w:type="auto"/>
            <w:tcBorders>
              <w:top w:val="nil"/>
              <w:left w:val="nil"/>
              <w:bottom w:val="nil"/>
              <w:right w:val="single" w:sz="8" w:space="0" w:color="auto"/>
            </w:tcBorders>
            <w:shd w:val="clear" w:color="auto" w:fill="auto"/>
            <w:vAlign w:val="center"/>
            <w:hideMark/>
          </w:tcPr>
          <w:p w14:paraId="37846726"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R.5</w:t>
            </w:r>
          </w:p>
        </w:tc>
        <w:tc>
          <w:tcPr>
            <w:tcW w:w="0" w:type="auto"/>
            <w:tcBorders>
              <w:top w:val="nil"/>
              <w:left w:val="nil"/>
              <w:bottom w:val="nil"/>
              <w:right w:val="single" w:sz="8" w:space="0" w:color="auto"/>
            </w:tcBorders>
            <w:shd w:val="clear" w:color="auto" w:fill="auto"/>
            <w:vAlign w:val="center"/>
            <w:hideMark/>
          </w:tcPr>
          <w:p w14:paraId="6D75E58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Risk management</w:t>
            </w:r>
          </w:p>
        </w:tc>
      </w:tr>
      <w:tr w:rsidR="00BB7A0B" w:rsidRPr="00BB7A0B" w14:paraId="3210D74A" w14:textId="77777777" w:rsidTr="0015400B">
        <w:trPr>
          <w:trHeight w:val="5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5EFB68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Investments (Art.73 and Art. 74)</w:t>
            </w:r>
          </w:p>
        </w:tc>
        <w:tc>
          <w:tcPr>
            <w:tcW w:w="0" w:type="auto"/>
            <w:tcBorders>
              <w:top w:val="single" w:sz="8" w:space="0" w:color="auto"/>
              <w:left w:val="nil"/>
              <w:bottom w:val="nil"/>
              <w:right w:val="single" w:sz="8" w:space="0" w:color="auto"/>
            </w:tcBorders>
            <w:shd w:val="clear" w:color="auto" w:fill="auto"/>
            <w:vAlign w:val="center"/>
            <w:hideMark/>
          </w:tcPr>
          <w:p w14:paraId="38394656"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O.20</w:t>
            </w:r>
          </w:p>
        </w:tc>
        <w:tc>
          <w:tcPr>
            <w:tcW w:w="0" w:type="auto"/>
            <w:tcBorders>
              <w:top w:val="single" w:sz="8" w:space="0" w:color="auto"/>
              <w:left w:val="nil"/>
              <w:bottom w:val="nil"/>
              <w:right w:val="single" w:sz="8" w:space="0" w:color="auto"/>
            </w:tcBorders>
            <w:shd w:val="clear" w:color="auto" w:fill="auto"/>
            <w:vAlign w:val="center"/>
            <w:hideMark/>
          </w:tcPr>
          <w:p w14:paraId="084C120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on-farm productive investment operations or units</w:t>
            </w:r>
          </w:p>
        </w:tc>
        <w:tc>
          <w:tcPr>
            <w:tcW w:w="0" w:type="auto"/>
            <w:tcBorders>
              <w:top w:val="nil"/>
              <w:left w:val="nil"/>
              <w:bottom w:val="nil"/>
              <w:right w:val="single" w:sz="8" w:space="0" w:color="auto"/>
            </w:tcBorders>
            <w:shd w:val="clear" w:color="auto" w:fill="auto"/>
            <w:vAlign w:val="center"/>
            <w:hideMark/>
          </w:tcPr>
          <w:p w14:paraId="695D817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w:t>
            </w:r>
          </w:p>
        </w:tc>
        <w:tc>
          <w:tcPr>
            <w:tcW w:w="0" w:type="auto"/>
            <w:tcBorders>
              <w:top w:val="nil"/>
              <w:left w:val="nil"/>
              <w:bottom w:val="nil"/>
              <w:right w:val="single" w:sz="8" w:space="0" w:color="auto"/>
            </w:tcBorders>
            <w:shd w:val="clear" w:color="auto" w:fill="auto"/>
            <w:vAlign w:val="center"/>
            <w:hideMark/>
          </w:tcPr>
          <w:p w14:paraId="433DB9E1"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Digitalising agriculture</w:t>
            </w:r>
          </w:p>
        </w:tc>
      </w:tr>
      <w:tr w:rsidR="00BB7A0B" w:rsidRPr="00BB7A0B" w14:paraId="02C60F26"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4B1FF09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235DF8B2"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fr-BE"/>
              </w:rPr>
              <w:t>O.22</w:t>
            </w:r>
          </w:p>
        </w:tc>
        <w:tc>
          <w:tcPr>
            <w:tcW w:w="0" w:type="auto"/>
            <w:tcBorders>
              <w:top w:val="nil"/>
              <w:left w:val="nil"/>
              <w:bottom w:val="nil"/>
              <w:right w:val="single" w:sz="8" w:space="0" w:color="auto"/>
            </w:tcBorders>
            <w:shd w:val="clear" w:color="auto" w:fill="auto"/>
            <w:vAlign w:val="center"/>
            <w:hideMark/>
          </w:tcPr>
          <w:p w14:paraId="671A99B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infrastructure investment operations or units</w:t>
            </w:r>
          </w:p>
        </w:tc>
        <w:tc>
          <w:tcPr>
            <w:tcW w:w="0" w:type="auto"/>
            <w:tcBorders>
              <w:top w:val="nil"/>
              <w:left w:val="nil"/>
              <w:bottom w:val="nil"/>
              <w:right w:val="single" w:sz="8" w:space="0" w:color="auto"/>
            </w:tcBorders>
            <w:shd w:val="clear" w:color="auto" w:fill="auto"/>
            <w:vAlign w:val="center"/>
            <w:hideMark/>
          </w:tcPr>
          <w:p w14:paraId="028794D1"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R.9</w:t>
            </w:r>
          </w:p>
        </w:tc>
        <w:tc>
          <w:tcPr>
            <w:tcW w:w="0" w:type="auto"/>
            <w:tcBorders>
              <w:top w:val="nil"/>
              <w:left w:val="nil"/>
              <w:bottom w:val="nil"/>
              <w:right w:val="single" w:sz="8" w:space="0" w:color="auto"/>
            </w:tcBorders>
            <w:shd w:val="clear" w:color="auto" w:fill="auto"/>
            <w:vAlign w:val="center"/>
            <w:hideMark/>
          </w:tcPr>
          <w:p w14:paraId="2664C42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 xml:space="preserve">Farm modernisation </w:t>
            </w:r>
          </w:p>
        </w:tc>
      </w:tr>
      <w:tr w:rsidR="00BB7A0B" w:rsidRPr="00BB7A0B" w14:paraId="10D6A4E7" w14:textId="77777777" w:rsidTr="0015400B">
        <w:trPr>
          <w:trHeight w:val="520"/>
        </w:trPr>
        <w:tc>
          <w:tcPr>
            <w:tcW w:w="0" w:type="auto"/>
            <w:tcBorders>
              <w:top w:val="nil"/>
              <w:left w:val="single" w:sz="8" w:space="0" w:color="auto"/>
              <w:bottom w:val="nil"/>
              <w:right w:val="single" w:sz="8" w:space="0" w:color="auto"/>
            </w:tcBorders>
            <w:shd w:val="clear" w:color="auto" w:fill="auto"/>
            <w:vAlign w:val="center"/>
            <w:hideMark/>
          </w:tcPr>
          <w:p w14:paraId="033FDC68"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43F72CB8"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fr-BE"/>
              </w:rPr>
              <w:t>O.24</w:t>
            </w:r>
          </w:p>
        </w:tc>
        <w:tc>
          <w:tcPr>
            <w:tcW w:w="0" w:type="auto"/>
            <w:tcBorders>
              <w:top w:val="nil"/>
              <w:left w:val="nil"/>
              <w:bottom w:val="nil"/>
              <w:right w:val="single" w:sz="8" w:space="0" w:color="auto"/>
            </w:tcBorders>
            <w:shd w:val="clear" w:color="auto" w:fill="auto"/>
            <w:vAlign w:val="center"/>
            <w:hideMark/>
          </w:tcPr>
          <w:p w14:paraId="7C7B5C63"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off-farm productive investment operations or units</w:t>
            </w:r>
          </w:p>
        </w:tc>
        <w:tc>
          <w:tcPr>
            <w:tcW w:w="0" w:type="auto"/>
            <w:tcBorders>
              <w:top w:val="nil"/>
              <w:left w:val="nil"/>
              <w:bottom w:val="nil"/>
              <w:right w:val="single" w:sz="8" w:space="0" w:color="auto"/>
            </w:tcBorders>
            <w:shd w:val="clear" w:color="auto" w:fill="auto"/>
            <w:vAlign w:val="center"/>
            <w:hideMark/>
          </w:tcPr>
          <w:p w14:paraId="23943A7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R.15</w:t>
            </w:r>
          </w:p>
        </w:tc>
        <w:tc>
          <w:tcPr>
            <w:tcW w:w="0" w:type="auto"/>
            <w:tcBorders>
              <w:top w:val="nil"/>
              <w:left w:val="nil"/>
              <w:bottom w:val="nil"/>
              <w:right w:val="single" w:sz="8" w:space="0" w:color="auto"/>
            </w:tcBorders>
            <w:shd w:val="clear" w:color="auto" w:fill="auto"/>
            <w:vAlign w:val="center"/>
            <w:hideMark/>
          </w:tcPr>
          <w:p w14:paraId="08932A9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Renewable  energy from agriculture, forestry and from other renewable sources</w:t>
            </w:r>
          </w:p>
        </w:tc>
      </w:tr>
      <w:tr w:rsidR="00BB7A0B" w:rsidRPr="00BB7A0B" w14:paraId="4EB4F408"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1580D98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0B26F9C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7149DF72"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A0E1E8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R.16</w:t>
            </w:r>
          </w:p>
        </w:tc>
        <w:tc>
          <w:tcPr>
            <w:tcW w:w="0" w:type="auto"/>
            <w:tcBorders>
              <w:top w:val="nil"/>
              <w:left w:val="nil"/>
              <w:bottom w:val="nil"/>
              <w:right w:val="single" w:sz="8" w:space="0" w:color="auto"/>
            </w:tcBorders>
            <w:shd w:val="clear" w:color="auto" w:fill="auto"/>
            <w:vAlign w:val="center"/>
            <w:hideMark/>
          </w:tcPr>
          <w:p w14:paraId="4AB64D01"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Investments related to climate</w:t>
            </w:r>
          </w:p>
        </w:tc>
      </w:tr>
      <w:tr w:rsidR="00BB7A0B" w:rsidRPr="00BB7A0B" w14:paraId="0FAC3D8F"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0F02BA7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76B9103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4B11BA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097DA1C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R.18</w:t>
            </w:r>
          </w:p>
        </w:tc>
        <w:tc>
          <w:tcPr>
            <w:tcW w:w="0" w:type="auto"/>
            <w:tcBorders>
              <w:top w:val="nil"/>
              <w:left w:val="nil"/>
              <w:bottom w:val="nil"/>
              <w:right w:val="single" w:sz="8" w:space="0" w:color="auto"/>
            </w:tcBorders>
            <w:shd w:val="clear" w:color="auto" w:fill="auto"/>
            <w:vAlign w:val="center"/>
            <w:hideMark/>
          </w:tcPr>
          <w:p w14:paraId="33B3B17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Investment support to the forest sector</w:t>
            </w:r>
          </w:p>
        </w:tc>
      </w:tr>
      <w:tr w:rsidR="00BB7A0B" w:rsidRPr="00BB7A0B" w14:paraId="729F4CFF"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5DC25F2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04CA4573"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5ED7092B"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7A879FE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R.26</w:t>
            </w:r>
          </w:p>
        </w:tc>
        <w:tc>
          <w:tcPr>
            <w:tcW w:w="0" w:type="auto"/>
            <w:tcBorders>
              <w:top w:val="nil"/>
              <w:left w:val="nil"/>
              <w:bottom w:val="nil"/>
              <w:right w:val="single" w:sz="8" w:space="0" w:color="auto"/>
            </w:tcBorders>
            <w:shd w:val="clear" w:color="auto" w:fill="auto"/>
            <w:vAlign w:val="center"/>
            <w:hideMark/>
          </w:tcPr>
          <w:p w14:paraId="400DF5E6"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Investments related to natural resources</w:t>
            </w:r>
          </w:p>
        </w:tc>
      </w:tr>
      <w:tr w:rsidR="00BB7A0B" w:rsidRPr="00BB7A0B" w14:paraId="0A38C7BB" w14:textId="77777777" w:rsidTr="0015400B">
        <w:trPr>
          <w:trHeight w:val="520"/>
        </w:trPr>
        <w:tc>
          <w:tcPr>
            <w:tcW w:w="0" w:type="auto"/>
            <w:tcBorders>
              <w:top w:val="nil"/>
              <w:left w:val="single" w:sz="8" w:space="0" w:color="auto"/>
              <w:bottom w:val="nil"/>
              <w:right w:val="single" w:sz="8" w:space="0" w:color="auto"/>
            </w:tcBorders>
            <w:shd w:val="clear" w:color="auto" w:fill="auto"/>
            <w:vAlign w:val="center"/>
            <w:hideMark/>
          </w:tcPr>
          <w:p w14:paraId="6459C7AC"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634E0732"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4376F0B7"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44FD775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R.27</w:t>
            </w:r>
          </w:p>
        </w:tc>
        <w:tc>
          <w:tcPr>
            <w:tcW w:w="0" w:type="auto"/>
            <w:tcBorders>
              <w:top w:val="nil"/>
              <w:left w:val="nil"/>
              <w:bottom w:val="nil"/>
              <w:right w:val="single" w:sz="8" w:space="0" w:color="auto"/>
            </w:tcBorders>
            <w:shd w:val="clear" w:color="auto" w:fill="auto"/>
            <w:vAlign w:val="center"/>
            <w:hideMark/>
          </w:tcPr>
          <w:p w14:paraId="4AD937A6" w14:textId="77777777" w:rsidR="00BB7A0B" w:rsidRPr="00BB7A0B" w:rsidRDefault="00BB7A0B" w:rsidP="00BB7A0B">
            <w:pPr>
              <w:spacing w:after="0" w:line="240" w:lineRule="auto"/>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Environment/climate-related performance through investment in rural areas</w:t>
            </w:r>
          </w:p>
        </w:tc>
      </w:tr>
      <w:tr w:rsidR="00BB7A0B" w:rsidRPr="00BB7A0B" w14:paraId="12DDEF2B" w14:textId="77777777" w:rsidTr="0015400B">
        <w:trPr>
          <w:trHeight w:val="310"/>
        </w:trPr>
        <w:tc>
          <w:tcPr>
            <w:tcW w:w="0" w:type="auto"/>
            <w:tcBorders>
              <w:top w:val="nil"/>
              <w:left w:val="single" w:sz="8" w:space="0" w:color="auto"/>
              <w:bottom w:val="nil"/>
              <w:right w:val="single" w:sz="8" w:space="0" w:color="auto"/>
            </w:tcBorders>
            <w:shd w:val="clear" w:color="auto" w:fill="auto"/>
            <w:vAlign w:val="center"/>
            <w:hideMark/>
          </w:tcPr>
          <w:p w14:paraId="3F52FE0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6DE8ACC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123A5F9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6472B86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R.32</w:t>
            </w:r>
          </w:p>
        </w:tc>
        <w:tc>
          <w:tcPr>
            <w:tcW w:w="0" w:type="auto"/>
            <w:tcBorders>
              <w:top w:val="nil"/>
              <w:left w:val="nil"/>
              <w:bottom w:val="nil"/>
              <w:right w:val="single" w:sz="8" w:space="0" w:color="auto"/>
            </w:tcBorders>
            <w:shd w:val="clear" w:color="auto" w:fill="auto"/>
            <w:vAlign w:val="center"/>
            <w:hideMark/>
          </w:tcPr>
          <w:p w14:paraId="2019A50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Investments related to biodiversity</w:t>
            </w:r>
          </w:p>
        </w:tc>
      </w:tr>
      <w:tr w:rsidR="00BB7A0B" w:rsidRPr="00BB7A0B" w14:paraId="30FB516E"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672CF95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4367868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75A1D5A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5C8DEF8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R.37</w:t>
            </w:r>
          </w:p>
        </w:tc>
        <w:tc>
          <w:tcPr>
            <w:tcW w:w="0" w:type="auto"/>
            <w:tcBorders>
              <w:top w:val="nil"/>
              <w:left w:val="nil"/>
              <w:bottom w:val="nil"/>
              <w:right w:val="single" w:sz="8" w:space="0" w:color="auto"/>
            </w:tcBorders>
            <w:shd w:val="clear" w:color="auto" w:fill="auto"/>
            <w:vAlign w:val="center"/>
            <w:hideMark/>
          </w:tcPr>
          <w:p w14:paraId="4C2B377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Growth and jobs in rural areas</w:t>
            </w:r>
          </w:p>
        </w:tc>
      </w:tr>
      <w:tr w:rsidR="00BB7A0B" w:rsidRPr="00BB7A0B" w14:paraId="5D0B4D47"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346FBF3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E070A5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2F24FE1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93427D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R.39</w:t>
            </w:r>
          </w:p>
        </w:tc>
        <w:tc>
          <w:tcPr>
            <w:tcW w:w="0" w:type="auto"/>
            <w:tcBorders>
              <w:top w:val="nil"/>
              <w:left w:val="nil"/>
              <w:bottom w:val="nil"/>
              <w:right w:val="single" w:sz="8" w:space="0" w:color="auto"/>
            </w:tcBorders>
            <w:shd w:val="clear" w:color="auto" w:fill="auto"/>
            <w:vAlign w:val="center"/>
            <w:hideMark/>
          </w:tcPr>
          <w:p w14:paraId="20EA715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Developing the rural economy</w:t>
            </w:r>
          </w:p>
        </w:tc>
      </w:tr>
      <w:tr w:rsidR="00BB7A0B" w:rsidRPr="00BB7A0B" w14:paraId="19E922C1" w14:textId="77777777" w:rsidTr="0015400B">
        <w:trPr>
          <w:trHeight w:val="300"/>
        </w:trPr>
        <w:tc>
          <w:tcPr>
            <w:tcW w:w="0" w:type="auto"/>
            <w:tcBorders>
              <w:top w:val="nil"/>
              <w:left w:val="single" w:sz="8" w:space="0" w:color="auto"/>
              <w:bottom w:val="nil"/>
              <w:right w:val="single" w:sz="8" w:space="0" w:color="auto"/>
            </w:tcBorders>
            <w:shd w:val="clear" w:color="auto" w:fill="auto"/>
            <w:vAlign w:val="center"/>
            <w:hideMark/>
          </w:tcPr>
          <w:p w14:paraId="15A096DB"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4CC7FEE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2F8B290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08B2D3F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R.41</w:t>
            </w:r>
          </w:p>
        </w:tc>
        <w:tc>
          <w:tcPr>
            <w:tcW w:w="0" w:type="auto"/>
            <w:tcBorders>
              <w:top w:val="nil"/>
              <w:left w:val="nil"/>
              <w:bottom w:val="nil"/>
              <w:right w:val="single" w:sz="8" w:space="0" w:color="auto"/>
            </w:tcBorders>
            <w:shd w:val="clear" w:color="auto" w:fill="auto"/>
            <w:vAlign w:val="center"/>
            <w:hideMark/>
          </w:tcPr>
          <w:p w14:paraId="4F7A17A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Connecting rural Europe</w:t>
            </w:r>
          </w:p>
        </w:tc>
      </w:tr>
      <w:tr w:rsidR="00BB7A0B" w:rsidRPr="00BB7A0B" w14:paraId="74245F14" w14:textId="77777777" w:rsidTr="0015400B">
        <w:trPr>
          <w:trHeight w:val="29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FE7007C"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Installation support (Art. 75)</w:t>
            </w:r>
          </w:p>
        </w:tc>
        <w:tc>
          <w:tcPr>
            <w:tcW w:w="0" w:type="auto"/>
            <w:tcBorders>
              <w:top w:val="single" w:sz="8" w:space="0" w:color="auto"/>
              <w:left w:val="nil"/>
              <w:bottom w:val="nil"/>
              <w:right w:val="single" w:sz="8" w:space="0" w:color="auto"/>
            </w:tcBorders>
            <w:shd w:val="clear" w:color="auto" w:fill="auto"/>
            <w:vAlign w:val="center"/>
            <w:hideMark/>
          </w:tcPr>
          <w:p w14:paraId="7C0A5BA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O.25</w:t>
            </w:r>
          </w:p>
        </w:tc>
        <w:tc>
          <w:tcPr>
            <w:tcW w:w="0" w:type="auto"/>
            <w:tcBorders>
              <w:top w:val="single" w:sz="8" w:space="0" w:color="auto"/>
              <w:left w:val="nil"/>
              <w:bottom w:val="nil"/>
              <w:right w:val="single" w:sz="8" w:space="0" w:color="auto"/>
            </w:tcBorders>
            <w:shd w:val="clear" w:color="auto" w:fill="auto"/>
            <w:vAlign w:val="center"/>
            <w:hideMark/>
          </w:tcPr>
          <w:p w14:paraId="346A0D6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young farmers receiving installation support</w:t>
            </w:r>
          </w:p>
        </w:tc>
        <w:tc>
          <w:tcPr>
            <w:tcW w:w="0" w:type="auto"/>
            <w:tcBorders>
              <w:top w:val="nil"/>
              <w:left w:val="nil"/>
              <w:bottom w:val="nil"/>
              <w:right w:val="single" w:sz="8" w:space="0" w:color="auto"/>
            </w:tcBorders>
            <w:shd w:val="clear" w:color="auto" w:fill="auto"/>
            <w:vAlign w:val="center"/>
            <w:hideMark/>
          </w:tcPr>
          <w:p w14:paraId="638FE647"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R.36</w:t>
            </w:r>
          </w:p>
        </w:tc>
        <w:tc>
          <w:tcPr>
            <w:tcW w:w="0" w:type="auto"/>
            <w:tcBorders>
              <w:top w:val="single" w:sz="8" w:space="0" w:color="auto"/>
              <w:left w:val="nil"/>
              <w:bottom w:val="nil"/>
              <w:right w:val="single" w:sz="8" w:space="0" w:color="auto"/>
            </w:tcBorders>
            <w:shd w:val="clear" w:color="auto" w:fill="auto"/>
            <w:vAlign w:val="center"/>
            <w:hideMark/>
          </w:tcPr>
          <w:p w14:paraId="228219CC"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Generational renewal</w:t>
            </w:r>
          </w:p>
        </w:tc>
      </w:tr>
      <w:tr w:rsidR="00BB7A0B" w:rsidRPr="00BB7A0B" w14:paraId="0B0958C6" w14:textId="77777777" w:rsidTr="0015400B">
        <w:trPr>
          <w:trHeight w:val="520"/>
        </w:trPr>
        <w:tc>
          <w:tcPr>
            <w:tcW w:w="0" w:type="auto"/>
            <w:tcBorders>
              <w:top w:val="nil"/>
              <w:left w:val="single" w:sz="8" w:space="0" w:color="auto"/>
              <w:bottom w:val="nil"/>
              <w:right w:val="single" w:sz="8" w:space="0" w:color="auto"/>
            </w:tcBorders>
            <w:shd w:val="clear" w:color="auto" w:fill="auto"/>
            <w:vAlign w:val="center"/>
            <w:hideMark/>
          </w:tcPr>
          <w:p w14:paraId="32607668"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9AB3C3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O.26</w:t>
            </w:r>
          </w:p>
        </w:tc>
        <w:tc>
          <w:tcPr>
            <w:tcW w:w="0" w:type="auto"/>
            <w:tcBorders>
              <w:top w:val="nil"/>
              <w:left w:val="nil"/>
              <w:bottom w:val="nil"/>
              <w:right w:val="single" w:sz="8" w:space="0" w:color="auto"/>
            </w:tcBorders>
            <w:shd w:val="clear" w:color="auto" w:fill="auto"/>
            <w:vAlign w:val="center"/>
            <w:hideMark/>
          </w:tcPr>
          <w:p w14:paraId="7932BC6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new farmers receiving installation support (other than young farmers reported under O.25)</w:t>
            </w:r>
          </w:p>
        </w:tc>
        <w:tc>
          <w:tcPr>
            <w:tcW w:w="0" w:type="auto"/>
            <w:tcBorders>
              <w:top w:val="nil"/>
              <w:left w:val="nil"/>
              <w:bottom w:val="nil"/>
              <w:right w:val="single" w:sz="8" w:space="0" w:color="auto"/>
            </w:tcBorders>
            <w:shd w:val="clear" w:color="auto" w:fill="auto"/>
            <w:vAlign w:val="center"/>
            <w:hideMark/>
          </w:tcPr>
          <w:p w14:paraId="2A73EB1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R.37</w:t>
            </w:r>
          </w:p>
        </w:tc>
        <w:tc>
          <w:tcPr>
            <w:tcW w:w="0" w:type="auto"/>
            <w:tcBorders>
              <w:top w:val="nil"/>
              <w:left w:val="nil"/>
              <w:bottom w:val="nil"/>
              <w:right w:val="single" w:sz="8" w:space="0" w:color="auto"/>
            </w:tcBorders>
            <w:shd w:val="clear" w:color="auto" w:fill="auto"/>
            <w:vAlign w:val="center"/>
            <w:hideMark/>
          </w:tcPr>
          <w:p w14:paraId="3C0E48B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Growth and jobs in rural areas</w:t>
            </w:r>
          </w:p>
        </w:tc>
      </w:tr>
      <w:tr w:rsidR="00BB7A0B" w:rsidRPr="00BB7A0B" w14:paraId="67252E9A" w14:textId="77777777" w:rsidTr="0015400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9F5CC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7CB7F923"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O.27</w:t>
            </w:r>
          </w:p>
        </w:tc>
        <w:tc>
          <w:tcPr>
            <w:tcW w:w="0" w:type="auto"/>
            <w:tcBorders>
              <w:top w:val="nil"/>
              <w:left w:val="nil"/>
              <w:bottom w:val="single" w:sz="8" w:space="0" w:color="auto"/>
              <w:right w:val="single" w:sz="8" w:space="0" w:color="auto"/>
            </w:tcBorders>
            <w:shd w:val="clear" w:color="auto" w:fill="auto"/>
            <w:vAlign w:val="center"/>
            <w:hideMark/>
          </w:tcPr>
          <w:p w14:paraId="38DDBDA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rural businesses receiving support for start up</w:t>
            </w:r>
          </w:p>
        </w:tc>
        <w:tc>
          <w:tcPr>
            <w:tcW w:w="0" w:type="auto"/>
            <w:tcBorders>
              <w:top w:val="nil"/>
              <w:left w:val="nil"/>
              <w:bottom w:val="single" w:sz="8" w:space="0" w:color="auto"/>
              <w:right w:val="single" w:sz="8" w:space="0" w:color="auto"/>
            </w:tcBorders>
            <w:shd w:val="clear" w:color="auto" w:fill="auto"/>
            <w:vAlign w:val="center"/>
            <w:hideMark/>
          </w:tcPr>
          <w:p w14:paraId="2DC1CAD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R.39</w:t>
            </w:r>
          </w:p>
        </w:tc>
        <w:tc>
          <w:tcPr>
            <w:tcW w:w="0" w:type="auto"/>
            <w:tcBorders>
              <w:top w:val="nil"/>
              <w:left w:val="nil"/>
              <w:bottom w:val="single" w:sz="8" w:space="0" w:color="auto"/>
              <w:right w:val="single" w:sz="8" w:space="0" w:color="auto"/>
            </w:tcBorders>
            <w:shd w:val="clear" w:color="auto" w:fill="auto"/>
            <w:vAlign w:val="center"/>
            <w:hideMark/>
          </w:tcPr>
          <w:p w14:paraId="7E8FA11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Developing the rural economy</w:t>
            </w:r>
          </w:p>
        </w:tc>
      </w:tr>
      <w:tr w:rsidR="00BB7A0B" w:rsidRPr="00BB7A0B" w14:paraId="51CEF1CB" w14:textId="77777777" w:rsidTr="0015400B">
        <w:trPr>
          <w:trHeight w:val="520"/>
        </w:trPr>
        <w:tc>
          <w:tcPr>
            <w:tcW w:w="0" w:type="auto"/>
            <w:tcBorders>
              <w:top w:val="nil"/>
              <w:left w:val="single" w:sz="8" w:space="0" w:color="auto"/>
              <w:bottom w:val="nil"/>
              <w:right w:val="single" w:sz="8" w:space="0" w:color="auto"/>
            </w:tcBorders>
            <w:shd w:val="clear" w:color="auto" w:fill="auto"/>
            <w:vAlign w:val="center"/>
            <w:hideMark/>
          </w:tcPr>
          <w:p w14:paraId="1879AC07"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lastRenderedPageBreak/>
              <w:t>Cooperation (Art.77)</w:t>
            </w:r>
          </w:p>
        </w:tc>
        <w:tc>
          <w:tcPr>
            <w:tcW w:w="0" w:type="auto"/>
            <w:tcBorders>
              <w:top w:val="nil"/>
              <w:left w:val="nil"/>
              <w:bottom w:val="nil"/>
              <w:right w:val="single" w:sz="8" w:space="0" w:color="auto"/>
            </w:tcBorders>
            <w:shd w:val="clear" w:color="auto" w:fill="auto"/>
            <w:vAlign w:val="center"/>
            <w:hideMark/>
          </w:tcPr>
          <w:p w14:paraId="0EC95978"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O.31</w:t>
            </w:r>
          </w:p>
        </w:tc>
        <w:tc>
          <w:tcPr>
            <w:tcW w:w="0" w:type="auto"/>
            <w:tcBorders>
              <w:top w:val="nil"/>
              <w:left w:val="nil"/>
              <w:bottom w:val="nil"/>
              <w:right w:val="single" w:sz="8" w:space="0" w:color="auto"/>
            </w:tcBorders>
            <w:shd w:val="clear" w:color="auto" w:fill="auto"/>
            <w:vAlign w:val="center"/>
            <w:hideMark/>
          </w:tcPr>
          <w:p w14:paraId="5D7A0AA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local development strategies (LEADER) or preparatory actions</w:t>
            </w:r>
          </w:p>
        </w:tc>
        <w:tc>
          <w:tcPr>
            <w:tcW w:w="0" w:type="auto"/>
            <w:tcBorders>
              <w:top w:val="nil"/>
              <w:left w:val="nil"/>
              <w:bottom w:val="nil"/>
              <w:right w:val="single" w:sz="8" w:space="0" w:color="auto"/>
            </w:tcBorders>
            <w:shd w:val="clear" w:color="auto" w:fill="auto"/>
            <w:vAlign w:val="center"/>
            <w:hideMark/>
          </w:tcPr>
          <w:p w14:paraId="2DF7ECD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R.38</w:t>
            </w:r>
          </w:p>
        </w:tc>
        <w:tc>
          <w:tcPr>
            <w:tcW w:w="0" w:type="auto"/>
            <w:tcBorders>
              <w:top w:val="nil"/>
              <w:left w:val="nil"/>
              <w:bottom w:val="nil"/>
              <w:right w:val="single" w:sz="8" w:space="0" w:color="auto"/>
            </w:tcBorders>
            <w:shd w:val="clear" w:color="auto" w:fill="auto"/>
            <w:vAlign w:val="center"/>
            <w:hideMark/>
          </w:tcPr>
          <w:p w14:paraId="1B456F63"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LEADER coverage</w:t>
            </w:r>
          </w:p>
        </w:tc>
      </w:tr>
      <w:tr w:rsidR="00BB7A0B" w:rsidRPr="00BB7A0B" w14:paraId="54F14B4D" w14:textId="77777777" w:rsidTr="0015400B">
        <w:trPr>
          <w:trHeight w:val="520"/>
        </w:trPr>
        <w:tc>
          <w:tcPr>
            <w:tcW w:w="0" w:type="auto"/>
            <w:tcBorders>
              <w:top w:val="nil"/>
              <w:left w:val="single" w:sz="8" w:space="0" w:color="auto"/>
              <w:bottom w:val="nil"/>
              <w:right w:val="single" w:sz="8" w:space="0" w:color="auto"/>
            </w:tcBorders>
            <w:shd w:val="clear" w:color="auto" w:fill="auto"/>
            <w:vAlign w:val="center"/>
            <w:hideMark/>
          </w:tcPr>
          <w:p w14:paraId="0B1EE7D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3BB1F17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O.32</w:t>
            </w:r>
          </w:p>
        </w:tc>
        <w:tc>
          <w:tcPr>
            <w:tcW w:w="0" w:type="auto"/>
            <w:tcBorders>
              <w:top w:val="nil"/>
              <w:left w:val="nil"/>
              <w:bottom w:val="nil"/>
              <w:right w:val="single" w:sz="8" w:space="0" w:color="auto"/>
            </w:tcBorders>
            <w:shd w:val="clear" w:color="auto" w:fill="auto"/>
            <w:vAlign w:val="center"/>
            <w:hideMark/>
          </w:tcPr>
          <w:p w14:paraId="34881B9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other cooperation operations or units (excluding EIP reported under O.1)</w:t>
            </w:r>
          </w:p>
        </w:tc>
        <w:tc>
          <w:tcPr>
            <w:tcW w:w="0" w:type="auto"/>
            <w:tcBorders>
              <w:top w:val="nil"/>
              <w:left w:val="nil"/>
              <w:bottom w:val="nil"/>
              <w:right w:val="single" w:sz="8" w:space="0" w:color="auto"/>
            </w:tcBorders>
            <w:shd w:val="clear" w:color="auto" w:fill="auto"/>
            <w:vAlign w:val="center"/>
            <w:hideMark/>
          </w:tcPr>
          <w:p w14:paraId="6497821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R.37</w:t>
            </w:r>
          </w:p>
        </w:tc>
        <w:tc>
          <w:tcPr>
            <w:tcW w:w="0" w:type="auto"/>
            <w:tcBorders>
              <w:top w:val="nil"/>
              <w:left w:val="nil"/>
              <w:bottom w:val="nil"/>
              <w:right w:val="single" w:sz="8" w:space="0" w:color="auto"/>
            </w:tcBorders>
            <w:shd w:val="clear" w:color="auto" w:fill="auto"/>
            <w:vAlign w:val="center"/>
            <w:hideMark/>
          </w:tcPr>
          <w:p w14:paraId="236781F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Growth and jobs in rural areas</w:t>
            </w:r>
          </w:p>
        </w:tc>
      </w:tr>
      <w:tr w:rsidR="00BB7A0B" w:rsidRPr="00BB7A0B" w14:paraId="2D803B23" w14:textId="77777777" w:rsidTr="0015400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E2A4C2"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CD793D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550B358"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13FD0EF0"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R.39</w:t>
            </w:r>
          </w:p>
        </w:tc>
        <w:tc>
          <w:tcPr>
            <w:tcW w:w="0" w:type="auto"/>
            <w:tcBorders>
              <w:top w:val="nil"/>
              <w:left w:val="nil"/>
              <w:bottom w:val="single" w:sz="8" w:space="0" w:color="auto"/>
              <w:right w:val="single" w:sz="8" w:space="0" w:color="auto"/>
            </w:tcBorders>
            <w:shd w:val="clear" w:color="auto" w:fill="auto"/>
            <w:vAlign w:val="center"/>
            <w:hideMark/>
          </w:tcPr>
          <w:p w14:paraId="6E32CA1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Developing the rural economy</w:t>
            </w:r>
          </w:p>
        </w:tc>
      </w:tr>
      <w:tr w:rsidR="00BB7A0B" w:rsidRPr="00BB7A0B" w14:paraId="0E458DAA"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2B697293"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Knowledge exchange and information (Art.78)</w:t>
            </w:r>
          </w:p>
        </w:tc>
        <w:tc>
          <w:tcPr>
            <w:tcW w:w="0" w:type="auto"/>
            <w:tcBorders>
              <w:top w:val="nil"/>
              <w:left w:val="nil"/>
              <w:bottom w:val="nil"/>
              <w:right w:val="single" w:sz="8" w:space="0" w:color="auto"/>
            </w:tcBorders>
            <w:shd w:val="clear" w:color="auto" w:fill="auto"/>
            <w:vAlign w:val="center"/>
            <w:hideMark/>
          </w:tcPr>
          <w:p w14:paraId="075D487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O.33</w:t>
            </w:r>
          </w:p>
        </w:tc>
        <w:tc>
          <w:tcPr>
            <w:tcW w:w="0" w:type="auto"/>
            <w:tcBorders>
              <w:top w:val="nil"/>
              <w:left w:val="nil"/>
              <w:bottom w:val="nil"/>
              <w:right w:val="single" w:sz="8" w:space="0" w:color="auto"/>
            </w:tcBorders>
            <w:shd w:val="clear" w:color="auto" w:fill="auto"/>
            <w:vAlign w:val="center"/>
            <w:hideMark/>
          </w:tcPr>
          <w:p w14:paraId="20B1FFFC"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Number of supported training, advice and awareness actions or units</w:t>
            </w:r>
          </w:p>
        </w:tc>
        <w:tc>
          <w:tcPr>
            <w:tcW w:w="0" w:type="auto"/>
            <w:tcBorders>
              <w:top w:val="nil"/>
              <w:left w:val="nil"/>
              <w:bottom w:val="nil"/>
              <w:right w:val="single" w:sz="8" w:space="0" w:color="auto"/>
            </w:tcBorders>
            <w:shd w:val="clear" w:color="auto" w:fill="auto"/>
            <w:vAlign w:val="center"/>
            <w:hideMark/>
          </w:tcPr>
          <w:p w14:paraId="67B61899"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 xml:space="preserve">R.1 </w:t>
            </w:r>
          </w:p>
        </w:tc>
        <w:tc>
          <w:tcPr>
            <w:tcW w:w="0" w:type="auto"/>
            <w:tcBorders>
              <w:top w:val="nil"/>
              <w:left w:val="nil"/>
              <w:bottom w:val="nil"/>
              <w:right w:val="single" w:sz="8" w:space="0" w:color="auto"/>
            </w:tcBorders>
            <w:shd w:val="clear" w:color="auto" w:fill="auto"/>
            <w:vAlign w:val="center"/>
            <w:hideMark/>
          </w:tcPr>
          <w:p w14:paraId="4FDA8C4F"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Enhancing performance through knowledge and innovation</w:t>
            </w:r>
          </w:p>
        </w:tc>
      </w:tr>
      <w:tr w:rsidR="00BB7A0B" w:rsidRPr="00BB7A0B" w14:paraId="44BCE3DB" w14:textId="77777777" w:rsidTr="0015400B">
        <w:trPr>
          <w:trHeight w:val="290"/>
        </w:trPr>
        <w:tc>
          <w:tcPr>
            <w:tcW w:w="0" w:type="auto"/>
            <w:tcBorders>
              <w:top w:val="nil"/>
              <w:left w:val="single" w:sz="8" w:space="0" w:color="auto"/>
              <w:bottom w:val="nil"/>
              <w:right w:val="single" w:sz="8" w:space="0" w:color="auto"/>
            </w:tcBorders>
            <w:shd w:val="clear" w:color="auto" w:fill="auto"/>
            <w:vAlign w:val="center"/>
            <w:hideMark/>
          </w:tcPr>
          <w:p w14:paraId="1D5879DE"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6647FB9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728B7D56"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nil"/>
              <w:right w:val="single" w:sz="8" w:space="0" w:color="auto"/>
            </w:tcBorders>
            <w:shd w:val="clear" w:color="auto" w:fill="auto"/>
            <w:vAlign w:val="center"/>
            <w:hideMark/>
          </w:tcPr>
          <w:p w14:paraId="6C542FE5"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R.3</w:t>
            </w:r>
          </w:p>
        </w:tc>
        <w:tc>
          <w:tcPr>
            <w:tcW w:w="0" w:type="auto"/>
            <w:tcBorders>
              <w:top w:val="nil"/>
              <w:left w:val="nil"/>
              <w:bottom w:val="nil"/>
              <w:right w:val="single" w:sz="8" w:space="0" w:color="auto"/>
            </w:tcBorders>
            <w:shd w:val="clear" w:color="auto" w:fill="auto"/>
            <w:vAlign w:val="center"/>
            <w:hideMark/>
          </w:tcPr>
          <w:p w14:paraId="74BE5482"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Digitalising agriculture</w:t>
            </w:r>
          </w:p>
        </w:tc>
      </w:tr>
      <w:tr w:rsidR="00BB7A0B" w:rsidRPr="00BB7A0B" w14:paraId="2889640E" w14:textId="77777777" w:rsidTr="0015400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7E204D"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0AA9F85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35A94806"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3A3CD1EA"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 xml:space="preserve">R.24 </w:t>
            </w:r>
          </w:p>
        </w:tc>
        <w:tc>
          <w:tcPr>
            <w:tcW w:w="0" w:type="auto"/>
            <w:tcBorders>
              <w:top w:val="nil"/>
              <w:left w:val="nil"/>
              <w:bottom w:val="single" w:sz="8" w:space="0" w:color="auto"/>
              <w:right w:val="single" w:sz="8" w:space="0" w:color="auto"/>
            </w:tcBorders>
            <w:shd w:val="clear" w:color="auto" w:fill="auto"/>
            <w:vAlign w:val="center"/>
            <w:hideMark/>
          </w:tcPr>
          <w:p w14:paraId="4A4DDFA4" w14:textId="77777777" w:rsidR="00BB7A0B" w:rsidRPr="00BB7A0B" w:rsidRDefault="00BB7A0B" w:rsidP="00BB7A0B">
            <w:pPr>
              <w:spacing w:after="0" w:line="240" w:lineRule="auto"/>
              <w:jc w:val="both"/>
              <w:rPr>
                <w:rFonts w:ascii="Times New Roman" w:eastAsia="Times New Roman" w:hAnsi="Times New Roman" w:cs="Times New Roman"/>
                <w:color w:val="000000"/>
                <w:sz w:val="20"/>
                <w:szCs w:val="20"/>
                <w:lang w:val="en-US"/>
              </w:rPr>
            </w:pPr>
            <w:r w:rsidRPr="00BB7A0B">
              <w:rPr>
                <w:rFonts w:ascii="Times New Roman" w:eastAsia="Times New Roman" w:hAnsi="Times New Roman" w:cs="Times New Roman"/>
                <w:color w:val="000000"/>
                <w:sz w:val="20"/>
                <w:szCs w:val="20"/>
              </w:rPr>
              <w:t>Environmental/climate performance through knowledge and innovation</w:t>
            </w:r>
          </w:p>
        </w:tc>
      </w:tr>
    </w:tbl>
    <w:p w14:paraId="39D03FE2" w14:textId="77777777" w:rsidR="00BB7A0B" w:rsidRDefault="00BB7A0B" w:rsidP="004056DE">
      <w:pPr>
        <w:spacing w:after="120" w:line="264" w:lineRule="auto"/>
        <w:rPr>
          <w:rFonts w:ascii="Times New Roman" w:hAnsi="Times New Roman" w:cs="Times New Roman"/>
        </w:rPr>
        <w:sectPr w:rsidR="00BB7A0B" w:rsidSect="00BB7A0B">
          <w:pgSz w:w="15840" w:h="12240" w:orient="landscape"/>
          <w:pgMar w:top="1440" w:right="1440" w:bottom="1440" w:left="1440" w:header="708" w:footer="708" w:gutter="0"/>
          <w:cols w:space="708"/>
          <w:docGrid w:linePitch="360"/>
        </w:sectPr>
      </w:pPr>
    </w:p>
    <w:p w14:paraId="052F8FEE" w14:textId="23DB5FE3" w:rsidR="00CF33EF" w:rsidRPr="000B58DB" w:rsidRDefault="000B58DB" w:rsidP="000B58DB">
      <w:pPr>
        <w:pStyle w:val="Heading1"/>
        <w:rPr>
          <w:rFonts w:ascii="Times New Roman" w:hAnsi="Times New Roman" w:cs="Times New Roman"/>
          <w:color w:val="C45911" w:themeColor="accent2" w:themeShade="BF"/>
        </w:rPr>
      </w:pPr>
      <w:bookmarkStart w:id="42" w:name="_Toc126762229"/>
      <w:r w:rsidRPr="000B58DB">
        <w:rPr>
          <w:rFonts w:ascii="Times New Roman" w:hAnsi="Times New Roman" w:cs="Times New Roman"/>
          <w:color w:val="C45911" w:themeColor="accent2" w:themeShade="BF"/>
          <w:u w:val="single"/>
        </w:rPr>
        <w:lastRenderedPageBreak/>
        <w:t>Annex IV</w:t>
      </w:r>
      <w:r w:rsidRPr="000B58DB">
        <w:rPr>
          <w:rFonts w:ascii="Times New Roman" w:hAnsi="Times New Roman" w:cs="Times New Roman"/>
          <w:color w:val="C45911" w:themeColor="accent2" w:themeShade="BF"/>
        </w:rPr>
        <w:t xml:space="preserve">: </w:t>
      </w:r>
      <w:r w:rsidR="00CF33EF" w:rsidRPr="000B58DB">
        <w:rPr>
          <w:rFonts w:ascii="Times New Roman" w:hAnsi="Times New Roman" w:cs="Times New Roman"/>
          <w:color w:val="C45911" w:themeColor="accent2" w:themeShade="BF"/>
        </w:rPr>
        <w:t>Coefficients to convert animals in livestock units</w:t>
      </w:r>
      <w:bookmarkEnd w:id="42"/>
    </w:p>
    <w:p w14:paraId="0CB1543D" w14:textId="77777777" w:rsidR="00B52AD0" w:rsidRDefault="00B52AD0" w:rsidP="000B58DB">
      <w:pPr>
        <w:spacing w:before="240" w:after="120" w:line="264" w:lineRule="auto"/>
        <w:jc w:val="center"/>
        <w:rPr>
          <w:rFonts w:ascii="Times New Roman" w:hAnsi="Times New Roman" w:cs="Times New Roman"/>
          <w:b/>
        </w:rPr>
      </w:pPr>
      <w:r>
        <w:rPr>
          <w:rFonts w:ascii="Times New Roman" w:hAnsi="Times New Roman" w:cs="Times New Roman"/>
          <w:b/>
        </w:rPr>
        <w:t>Table 1</w:t>
      </w:r>
    </w:p>
    <w:p w14:paraId="09F9532C" w14:textId="77777777" w:rsidR="002C635A" w:rsidRDefault="002C635A" w:rsidP="00012C0B">
      <w:pPr>
        <w:spacing w:after="120" w:line="264" w:lineRule="auto"/>
        <w:jc w:val="center"/>
        <w:rPr>
          <w:rFonts w:ascii="Times New Roman" w:hAnsi="Times New Roman" w:cs="Times New Roman"/>
          <w:b/>
        </w:rPr>
      </w:pPr>
      <w:r>
        <w:rPr>
          <w:rFonts w:ascii="Times New Roman" w:hAnsi="Times New Roman" w:cs="Times New Roman"/>
          <w:b/>
        </w:rPr>
        <w:t xml:space="preserve">Eurostat coefficients </w:t>
      </w:r>
      <w:r w:rsidR="007F2F2F">
        <w:rPr>
          <w:rFonts w:ascii="Times New Roman" w:hAnsi="Times New Roman" w:cs="Times New Roman"/>
          <w:b/>
        </w:rPr>
        <w:t>to</w:t>
      </w:r>
      <w:r>
        <w:rPr>
          <w:rFonts w:ascii="Times New Roman" w:hAnsi="Times New Roman" w:cs="Times New Roman"/>
          <w:b/>
        </w:rPr>
        <w:t xml:space="preserve"> convert animals in livestock units</w:t>
      </w:r>
    </w:p>
    <w:tbl>
      <w:tblPr>
        <w:tblW w:w="8600" w:type="dxa"/>
        <w:jc w:val="center"/>
        <w:tblLook w:val="04A0" w:firstRow="1" w:lastRow="0" w:firstColumn="1" w:lastColumn="0" w:noHBand="0" w:noVBand="1"/>
      </w:tblPr>
      <w:tblGrid>
        <w:gridCol w:w="3720"/>
        <w:gridCol w:w="3920"/>
        <w:gridCol w:w="960"/>
      </w:tblGrid>
      <w:tr w:rsidR="003048D0" w:rsidRPr="003048D0" w14:paraId="39A7A314" w14:textId="77777777" w:rsidTr="0015400B">
        <w:trPr>
          <w:trHeight w:val="290"/>
          <w:jc w:val="center"/>
        </w:trPr>
        <w:tc>
          <w:tcPr>
            <w:tcW w:w="3720" w:type="dxa"/>
            <w:tcBorders>
              <w:top w:val="single" w:sz="8" w:space="0" w:color="auto"/>
              <w:left w:val="single" w:sz="12" w:space="0" w:color="auto"/>
              <w:bottom w:val="nil"/>
              <w:right w:val="single" w:sz="12" w:space="0" w:color="auto"/>
            </w:tcBorders>
            <w:shd w:val="clear" w:color="auto" w:fill="auto"/>
            <w:noWrap/>
            <w:vAlign w:val="bottom"/>
            <w:hideMark/>
          </w:tcPr>
          <w:p w14:paraId="3CF87C80"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Bovine animals</w:t>
            </w:r>
          </w:p>
        </w:tc>
        <w:tc>
          <w:tcPr>
            <w:tcW w:w="3920" w:type="dxa"/>
            <w:tcBorders>
              <w:top w:val="single" w:sz="8" w:space="0" w:color="auto"/>
              <w:left w:val="single" w:sz="12" w:space="0" w:color="auto"/>
              <w:bottom w:val="nil"/>
              <w:right w:val="single" w:sz="12" w:space="0" w:color="auto"/>
            </w:tcBorders>
            <w:shd w:val="clear" w:color="auto" w:fill="auto"/>
            <w:noWrap/>
            <w:vAlign w:val="bottom"/>
            <w:hideMark/>
          </w:tcPr>
          <w:p w14:paraId="23CD1936"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Under 1 year old</w:t>
            </w:r>
          </w:p>
        </w:tc>
        <w:tc>
          <w:tcPr>
            <w:tcW w:w="960" w:type="dxa"/>
            <w:tcBorders>
              <w:top w:val="single" w:sz="8" w:space="0" w:color="auto"/>
              <w:left w:val="single" w:sz="12" w:space="0" w:color="auto"/>
              <w:bottom w:val="nil"/>
              <w:right w:val="single" w:sz="12" w:space="0" w:color="auto"/>
            </w:tcBorders>
            <w:shd w:val="clear" w:color="auto" w:fill="auto"/>
            <w:noWrap/>
            <w:vAlign w:val="bottom"/>
            <w:hideMark/>
          </w:tcPr>
          <w:p w14:paraId="0E4CF6E0" w14:textId="77777777" w:rsidR="003048D0" w:rsidRPr="003048D0" w:rsidRDefault="003048D0" w:rsidP="00B47EC6">
            <w:pPr>
              <w:spacing w:after="0" w:line="240" w:lineRule="auto"/>
              <w:jc w:val="right"/>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0</w:t>
            </w:r>
            <w:r w:rsidR="00B47EC6">
              <w:rPr>
                <w:rFonts w:ascii="Times New Roman" w:eastAsia="Times New Roman" w:hAnsi="Times New Roman" w:cs="Times New Roman"/>
                <w:color w:val="000000"/>
                <w:lang w:val="en-US"/>
              </w:rPr>
              <w:t>.4</w:t>
            </w:r>
          </w:p>
        </w:tc>
      </w:tr>
      <w:tr w:rsidR="003048D0" w:rsidRPr="003048D0" w14:paraId="70D87EDB"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6F27F67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6B2799B5"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1 but less than 2 years old</w:t>
            </w:r>
          </w:p>
        </w:tc>
        <w:tc>
          <w:tcPr>
            <w:tcW w:w="960" w:type="dxa"/>
            <w:tcBorders>
              <w:top w:val="nil"/>
              <w:left w:val="single" w:sz="12" w:space="0" w:color="auto"/>
              <w:bottom w:val="nil"/>
              <w:right w:val="single" w:sz="12" w:space="0" w:color="auto"/>
            </w:tcBorders>
            <w:shd w:val="clear" w:color="auto" w:fill="auto"/>
            <w:noWrap/>
            <w:vAlign w:val="bottom"/>
            <w:hideMark/>
          </w:tcPr>
          <w:p w14:paraId="6940AA77"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0.7</w:t>
            </w:r>
          </w:p>
        </w:tc>
      </w:tr>
      <w:tr w:rsidR="003048D0" w:rsidRPr="003048D0" w14:paraId="51EE7C12"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3C87796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3449BA0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Male, 2 years old and over</w:t>
            </w:r>
          </w:p>
        </w:tc>
        <w:tc>
          <w:tcPr>
            <w:tcW w:w="960" w:type="dxa"/>
            <w:tcBorders>
              <w:top w:val="nil"/>
              <w:left w:val="single" w:sz="12" w:space="0" w:color="auto"/>
              <w:bottom w:val="nil"/>
              <w:right w:val="single" w:sz="12" w:space="0" w:color="auto"/>
            </w:tcBorders>
            <w:shd w:val="clear" w:color="auto" w:fill="auto"/>
            <w:noWrap/>
            <w:vAlign w:val="bottom"/>
            <w:hideMark/>
          </w:tcPr>
          <w:p w14:paraId="0B72E601" w14:textId="77777777" w:rsidR="003048D0" w:rsidRPr="003048D0" w:rsidRDefault="003048D0" w:rsidP="00B47EC6">
            <w:pPr>
              <w:spacing w:after="0" w:line="240" w:lineRule="auto"/>
              <w:jc w:val="right"/>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1</w:t>
            </w:r>
          </w:p>
        </w:tc>
      </w:tr>
      <w:tr w:rsidR="003048D0" w:rsidRPr="003048D0" w14:paraId="7BC1BBDA"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451A91DC"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275A7E2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Heifers, 2 years old and over</w:t>
            </w:r>
          </w:p>
        </w:tc>
        <w:tc>
          <w:tcPr>
            <w:tcW w:w="960" w:type="dxa"/>
            <w:tcBorders>
              <w:top w:val="nil"/>
              <w:left w:val="single" w:sz="12" w:space="0" w:color="auto"/>
              <w:bottom w:val="nil"/>
              <w:right w:val="single" w:sz="12" w:space="0" w:color="auto"/>
            </w:tcBorders>
            <w:shd w:val="clear" w:color="auto" w:fill="auto"/>
            <w:noWrap/>
            <w:vAlign w:val="bottom"/>
            <w:hideMark/>
          </w:tcPr>
          <w:p w14:paraId="55A6D18C"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w:t>
            </w:r>
          </w:p>
        </w:tc>
      </w:tr>
      <w:tr w:rsidR="003048D0" w:rsidRPr="003048D0" w14:paraId="7150D833"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52508BC9"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770F85F1"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Dairy cows</w:t>
            </w:r>
          </w:p>
        </w:tc>
        <w:tc>
          <w:tcPr>
            <w:tcW w:w="960" w:type="dxa"/>
            <w:tcBorders>
              <w:top w:val="nil"/>
              <w:left w:val="single" w:sz="12" w:space="0" w:color="auto"/>
              <w:bottom w:val="nil"/>
              <w:right w:val="single" w:sz="12" w:space="0" w:color="auto"/>
            </w:tcBorders>
            <w:shd w:val="clear" w:color="auto" w:fill="auto"/>
            <w:noWrap/>
            <w:vAlign w:val="bottom"/>
            <w:hideMark/>
          </w:tcPr>
          <w:p w14:paraId="29926C48"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3048D0" w:rsidRPr="003048D0" w14:paraId="40101C4A" w14:textId="77777777" w:rsidTr="0015400B">
        <w:trPr>
          <w:trHeight w:val="300"/>
          <w:jc w:val="center"/>
        </w:trPr>
        <w:tc>
          <w:tcPr>
            <w:tcW w:w="3720" w:type="dxa"/>
            <w:tcBorders>
              <w:top w:val="nil"/>
              <w:left w:val="single" w:sz="12" w:space="0" w:color="auto"/>
              <w:bottom w:val="single" w:sz="8" w:space="0" w:color="auto"/>
              <w:right w:val="single" w:sz="12" w:space="0" w:color="auto"/>
            </w:tcBorders>
            <w:shd w:val="clear" w:color="auto" w:fill="auto"/>
            <w:noWrap/>
            <w:vAlign w:val="bottom"/>
            <w:hideMark/>
          </w:tcPr>
          <w:p w14:paraId="458318C2"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single" w:sz="8" w:space="0" w:color="auto"/>
              <w:right w:val="single" w:sz="12" w:space="0" w:color="auto"/>
            </w:tcBorders>
            <w:shd w:val="clear" w:color="auto" w:fill="auto"/>
            <w:noWrap/>
            <w:vAlign w:val="bottom"/>
            <w:hideMark/>
          </w:tcPr>
          <w:p w14:paraId="5159AA9C"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Other cows, 2 years old and over</w:t>
            </w:r>
          </w:p>
        </w:tc>
        <w:tc>
          <w:tcPr>
            <w:tcW w:w="960" w:type="dxa"/>
            <w:tcBorders>
              <w:top w:val="nil"/>
              <w:left w:val="single" w:sz="12" w:space="0" w:color="auto"/>
              <w:bottom w:val="single" w:sz="8" w:space="0" w:color="auto"/>
              <w:right w:val="single" w:sz="12" w:space="0" w:color="auto"/>
            </w:tcBorders>
            <w:shd w:val="clear" w:color="auto" w:fill="auto"/>
            <w:noWrap/>
            <w:vAlign w:val="bottom"/>
            <w:hideMark/>
          </w:tcPr>
          <w:p w14:paraId="77F2FE3B"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w:t>
            </w:r>
          </w:p>
        </w:tc>
      </w:tr>
      <w:tr w:rsidR="003048D0" w:rsidRPr="003048D0" w14:paraId="43464155" w14:textId="77777777" w:rsidTr="0015400B">
        <w:trPr>
          <w:trHeight w:val="300"/>
          <w:jc w:val="center"/>
        </w:trPr>
        <w:tc>
          <w:tcPr>
            <w:tcW w:w="3720"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451A0A4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Sheep and goats</w:t>
            </w:r>
          </w:p>
        </w:tc>
        <w:tc>
          <w:tcPr>
            <w:tcW w:w="3920"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130996B2"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960"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71E6EE06"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0.1</w:t>
            </w:r>
          </w:p>
        </w:tc>
      </w:tr>
      <w:tr w:rsidR="003048D0" w:rsidRPr="003048D0" w14:paraId="76FFD4B8" w14:textId="77777777" w:rsidTr="0015400B">
        <w:trPr>
          <w:trHeight w:val="300"/>
          <w:jc w:val="center"/>
        </w:trPr>
        <w:tc>
          <w:tcPr>
            <w:tcW w:w="3720" w:type="dxa"/>
            <w:tcBorders>
              <w:top w:val="nil"/>
              <w:left w:val="single" w:sz="12" w:space="0" w:color="auto"/>
              <w:bottom w:val="single" w:sz="8" w:space="0" w:color="auto"/>
              <w:right w:val="single" w:sz="12" w:space="0" w:color="auto"/>
            </w:tcBorders>
            <w:shd w:val="clear" w:color="auto" w:fill="auto"/>
            <w:noWrap/>
            <w:vAlign w:val="bottom"/>
            <w:hideMark/>
          </w:tcPr>
          <w:p w14:paraId="79453C1B"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Equidae</w:t>
            </w:r>
          </w:p>
        </w:tc>
        <w:tc>
          <w:tcPr>
            <w:tcW w:w="3920" w:type="dxa"/>
            <w:tcBorders>
              <w:top w:val="nil"/>
              <w:left w:val="single" w:sz="12" w:space="0" w:color="auto"/>
              <w:bottom w:val="single" w:sz="8" w:space="0" w:color="auto"/>
              <w:right w:val="single" w:sz="12" w:space="0" w:color="auto"/>
            </w:tcBorders>
            <w:shd w:val="clear" w:color="auto" w:fill="auto"/>
            <w:noWrap/>
            <w:vAlign w:val="bottom"/>
            <w:hideMark/>
          </w:tcPr>
          <w:p w14:paraId="701FDD07"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960" w:type="dxa"/>
            <w:tcBorders>
              <w:top w:val="nil"/>
              <w:left w:val="single" w:sz="12" w:space="0" w:color="auto"/>
              <w:bottom w:val="single" w:sz="8" w:space="0" w:color="auto"/>
              <w:right w:val="single" w:sz="12" w:space="0" w:color="auto"/>
            </w:tcBorders>
            <w:shd w:val="clear" w:color="auto" w:fill="auto"/>
            <w:noWrap/>
            <w:vAlign w:val="bottom"/>
            <w:hideMark/>
          </w:tcPr>
          <w:p w14:paraId="116F5440"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0.8</w:t>
            </w:r>
          </w:p>
        </w:tc>
      </w:tr>
      <w:tr w:rsidR="003048D0" w:rsidRPr="003048D0" w14:paraId="46690C00"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4F907CE5"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Pigs</w:t>
            </w:r>
          </w:p>
        </w:tc>
        <w:tc>
          <w:tcPr>
            <w:tcW w:w="3920" w:type="dxa"/>
            <w:tcBorders>
              <w:top w:val="nil"/>
              <w:left w:val="single" w:sz="12" w:space="0" w:color="auto"/>
              <w:bottom w:val="nil"/>
              <w:right w:val="single" w:sz="12" w:space="0" w:color="auto"/>
            </w:tcBorders>
            <w:shd w:val="clear" w:color="auto" w:fill="auto"/>
            <w:noWrap/>
            <w:vAlign w:val="bottom"/>
            <w:hideMark/>
          </w:tcPr>
          <w:p w14:paraId="75144650"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Piglets having a live weight of under 20 kg</w:t>
            </w:r>
          </w:p>
        </w:tc>
        <w:tc>
          <w:tcPr>
            <w:tcW w:w="960" w:type="dxa"/>
            <w:tcBorders>
              <w:top w:val="nil"/>
              <w:left w:val="single" w:sz="12" w:space="0" w:color="auto"/>
              <w:bottom w:val="nil"/>
              <w:right w:val="single" w:sz="12" w:space="0" w:color="auto"/>
            </w:tcBorders>
            <w:shd w:val="clear" w:color="auto" w:fill="auto"/>
            <w:noWrap/>
            <w:vAlign w:val="bottom"/>
            <w:hideMark/>
          </w:tcPr>
          <w:p w14:paraId="25DA6533"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3048D0" w:rsidRPr="003048D0">
              <w:rPr>
                <w:rFonts w:ascii="Times New Roman" w:eastAsia="Times New Roman" w:hAnsi="Times New Roman" w:cs="Times New Roman"/>
                <w:color w:val="000000"/>
                <w:lang w:val="en-US"/>
              </w:rPr>
              <w:t>027</w:t>
            </w:r>
          </w:p>
        </w:tc>
      </w:tr>
      <w:tr w:rsidR="003048D0" w:rsidRPr="003048D0" w14:paraId="2075B647"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46FE37DD"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21B1E74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Breeding sows weighing 50 kg and over</w:t>
            </w:r>
          </w:p>
        </w:tc>
        <w:tc>
          <w:tcPr>
            <w:tcW w:w="960" w:type="dxa"/>
            <w:tcBorders>
              <w:top w:val="nil"/>
              <w:left w:val="single" w:sz="12" w:space="0" w:color="auto"/>
              <w:bottom w:val="nil"/>
              <w:right w:val="single" w:sz="12" w:space="0" w:color="auto"/>
            </w:tcBorders>
            <w:shd w:val="clear" w:color="auto" w:fill="auto"/>
            <w:noWrap/>
            <w:vAlign w:val="bottom"/>
            <w:hideMark/>
          </w:tcPr>
          <w:p w14:paraId="4102B8BB" w14:textId="77777777" w:rsidR="003048D0" w:rsidRPr="003048D0" w:rsidRDefault="003048D0" w:rsidP="003048D0">
            <w:pPr>
              <w:spacing w:after="0" w:line="240" w:lineRule="auto"/>
              <w:jc w:val="right"/>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0</w:t>
            </w:r>
            <w:r w:rsidR="00B47EC6">
              <w:rPr>
                <w:rFonts w:ascii="Times New Roman" w:eastAsia="Times New Roman" w:hAnsi="Times New Roman" w:cs="Times New Roman"/>
                <w:color w:val="000000"/>
                <w:lang w:val="en-US"/>
              </w:rPr>
              <w:t>.5</w:t>
            </w:r>
          </w:p>
        </w:tc>
      </w:tr>
      <w:tr w:rsidR="003048D0" w:rsidRPr="003048D0" w14:paraId="648F2DF7" w14:textId="77777777" w:rsidTr="0015400B">
        <w:trPr>
          <w:trHeight w:val="30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5EDE7B30"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1828BF86"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Other pigs</w:t>
            </w:r>
          </w:p>
        </w:tc>
        <w:tc>
          <w:tcPr>
            <w:tcW w:w="960" w:type="dxa"/>
            <w:tcBorders>
              <w:top w:val="nil"/>
              <w:left w:val="single" w:sz="12" w:space="0" w:color="auto"/>
              <w:bottom w:val="nil"/>
              <w:right w:val="single" w:sz="12" w:space="0" w:color="auto"/>
            </w:tcBorders>
            <w:shd w:val="clear" w:color="auto" w:fill="auto"/>
            <w:noWrap/>
            <w:vAlign w:val="bottom"/>
            <w:hideMark/>
          </w:tcPr>
          <w:p w14:paraId="6E483E69"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w:t>
            </w:r>
          </w:p>
        </w:tc>
      </w:tr>
      <w:tr w:rsidR="003048D0" w:rsidRPr="003048D0" w14:paraId="2502C432" w14:textId="77777777" w:rsidTr="0015400B">
        <w:trPr>
          <w:trHeight w:val="290"/>
          <w:jc w:val="center"/>
        </w:trPr>
        <w:tc>
          <w:tcPr>
            <w:tcW w:w="3720" w:type="dxa"/>
            <w:tcBorders>
              <w:top w:val="single" w:sz="8" w:space="0" w:color="auto"/>
              <w:left w:val="single" w:sz="12" w:space="0" w:color="auto"/>
              <w:bottom w:val="nil"/>
              <w:right w:val="single" w:sz="12" w:space="0" w:color="auto"/>
            </w:tcBorders>
            <w:shd w:val="clear" w:color="auto" w:fill="auto"/>
            <w:noWrap/>
            <w:vAlign w:val="bottom"/>
            <w:hideMark/>
          </w:tcPr>
          <w:p w14:paraId="63E34541"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Poultry</w:t>
            </w:r>
          </w:p>
        </w:tc>
        <w:tc>
          <w:tcPr>
            <w:tcW w:w="3920" w:type="dxa"/>
            <w:tcBorders>
              <w:top w:val="single" w:sz="8" w:space="0" w:color="auto"/>
              <w:left w:val="single" w:sz="12" w:space="0" w:color="auto"/>
              <w:bottom w:val="nil"/>
              <w:right w:val="single" w:sz="12" w:space="0" w:color="auto"/>
            </w:tcBorders>
            <w:shd w:val="clear" w:color="auto" w:fill="auto"/>
            <w:noWrap/>
            <w:vAlign w:val="bottom"/>
            <w:hideMark/>
          </w:tcPr>
          <w:p w14:paraId="20E4B75E"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Bro</w:t>
            </w:r>
            <w:r w:rsidR="009162BA">
              <w:rPr>
                <w:rFonts w:ascii="Times New Roman" w:eastAsia="Times New Roman" w:hAnsi="Times New Roman" w:cs="Times New Roman"/>
                <w:color w:val="000000"/>
                <w:lang w:val="en-US"/>
              </w:rPr>
              <w:t>i</w:t>
            </w:r>
            <w:r w:rsidRPr="003048D0">
              <w:rPr>
                <w:rFonts w:ascii="Times New Roman" w:eastAsia="Times New Roman" w:hAnsi="Times New Roman" w:cs="Times New Roman"/>
                <w:color w:val="000000"/>
                <w:lang w:val="en-US"/>
              </w:rPr>
              <w:t>lers</w:t>
            </w:r>
          </w:p>
        </w:tc>
        <w:tc>
          <w:tcPr>
            <w:tcW w:w="960" w:type="dxa"/>
            <w:tcBorders>
              <w:top w:val="single" w:sz="8" w:space="0" w:color="auto"/>
              <w:left w:val="single" w:sz="12" w:space="0" w:color="auto"/>
              <w:bottom w:val="nil"/>
              <w:right w:val="single" w:sz="12" w:space="0" w:color="auto"/>
            </w:tcBorders>
            <w:shd w:val="clear" w:color="auto" w:fill="auto"/>
            <w:noWrap/>
            <w:vAlign w:val="bottom"/>
            <w:hideMark/>
          </w:tcPr>
          <w:p w14:paraId="015B4215"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3048D0" w:rsidRPr="003048D0">
              <w:rPr>
                <w:rFonts w:ascii="Times New Roman" w:eastAsia="Times New Roman" w:hAnsi="Times New Roman" w:cs="Times New Roman"/>
                <w:color w:val="000000"/>
                <w:lang w:val="en-US"/>
              </w:rPr>
              <w:t>007</w:t>
            </w:r>
          </w:p>
        </w:tc>
      </w:tr>
      <w:tr w:rsidR="003048D0" w:rsidRPr="003048D0" w14:paraId="6BA50876"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762D7E37"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4A4FF755"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Laying hens</w:t>
            </w:r>
          </w:p>
        </w:tc>
        <w:tc>
          <w:tcPr>
            <w:tcW w:w="960" w:type="dxa"/>
            <w:tcBorders>
              <w:top w:val="nil"/>
              <w:left w:val="single" w:sz="12" w:space="0" w:color="auto"/>
              <w:bottom w:val="nil"/>
              <w:right w:val="single" w:sz="12" w:space="0" w:color="auto"/>
            </w:tcBorders>
            <w:shd w:val="clear" w:color="auto" w:fill="auto"/>
            <w:noWrap/>
            <w:vAlign w:val="bottom"/>
            <w:hideMark/>
          </w:tcPr>
          <w:p w14:paraId="78D056F6"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3048D0" w:rsidRPr="003048D0">
              <w:rPr>
                <w:rFonts w:ascii="Times New Roman" w:eastAsia="Times New Roman" w:hAnsi="Times New Roman" w:cs="Times New Roman"/>
                <w:color w:val="000000"/>
                <w:lang w:val="en-US"/>
              </w:rPr>
              <w:t>014</w:t>
            </w:r>
          </w:p>
        </w:tc>
      </w:tr>
      <w:tr w:rsidR="003048D0" w:rsidRPr="003048D0" w14:paraId="2F8771B1" w14:textId="77777777" w:rsidTr="0015400B">
        <w:trPr>
          <w:trHeight w:val="290"/>
          <w:jc w:val="center"/>
        </w:trPr>
        <w:tc>
          <w:tcPr>
            <w:tcW w:w="3720" w:type="dxa"/>
            <w:tcBorders>
              <w:top w:val="nil"/>
              <w:left w:val="single" w:sz="12" w:space="0" w:color="auto"/>
              <w:bottom w:val="nil"/>
              <w:right w:val="single" w:sz="12" w:space="0" w:color="auto"/>
            </w:tcBorders>
            <w:shd w:val="clear" w:color="auto" w:fill="auto"/>
            <w:noWrap/>
            <w:vAlign w:val="bottom"/>
            <w:hideMark/>
          </w:tcPr>
          <w:p w14:paraId="354282B1"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nil"/>
              <w:right w:val="single" w:sz="12" w:space="0" w:color="auto"/>
            </w:tcBorders>
            <w:shd w:val="clear" w:color="auto" w:fill="auto"/>
            <w:noWrap/>
            <w:vAlign w:val="bottom"/>
            <w:hideMark/>
          </w:tcPr>
          <w:p w14:paraId="539C8276"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Ostriches</w:t>
            </w:r>
          </w:p>
        </w:tc>
        <w:tc>
          <w:tcPr>
            <w:tcW w:w="960" w:type="dxa"/>
            <w:tcBorders>
              <w:top w:val="nil"/>
              <w:left w:val="single" w:sz="12" w:space="0" w:color="auto"/>
              <w:bottom w:val="nil"/>
              <w:right w:val="single" w:sz="12" w:space="0" w:color="auto"/>
            </w:tcBorders>
            <w:shd w:val="clear" w:color="auto" w:fill="auto"/>
            <w:noWrap/>
            <w:vAlign w:val="bottom"/>
            <w:hideMark/>
          </w:tcPr>
          <w:p w14:paraId="3645D19E"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0.35</w:t>
            </w:r>
          </w:p>
        </w:tc>
      </w:tr>
      <w:tr w:rsidR="003048D0" w:rsidRPr="003048D0" w14:paraId="6A7504E5" w14:textId="77777777" w:rsidTr="0015400B">
        <w:trPr>
          <w:trHeight w:val="300"/>
          <w:jc w:val="center"/>
        </w:trPr>
        <w:tc>
          <w:tcPr>
            <w:tcW w:w="3720" w:type="dxa"/>
            <w:tcBorders>
              <w:top w:val="nil"/>
              <w:left w:val="single" w:sz="12" w:space="0" w:color="auto"/>
              <w:bottom w:val="single" w:sz="8" w:space="0" w:color="auto"/>
              <w:right w:val="single" w:sz="12" w:space="0" w:color="auto"/>
            </w:tcBorders>
            <w:shd w:val="clear" w:color="auto" w:fill="auto"/>
            <w:noWrap/>
            <w:vAlign w:val="bottom"/>
            <w:hideMark/>
          </w:tcPr>
          <w:p w14:paraId="7A215E3A"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3920" w:type="dxa"/>
            <w:tcBorders>
              <w:top w:val="nil"/>
              <w:left w:val="single" w:sz="12" w:space="0" w:color="auto"/>
              <w:bottom w:val="single" w:sz="8" w:space="0" w:color="auto"/>
              <w:right w:val="single" w:sz="12" w:space="0" w:color="auto"/>
            </w:tcBorders>
            <w:shd w:val="clear" w:color="auto" w:fill="auto"/>
            <w:noWrap/>
            <w:vAlign w:val="bottom"/>
            <w:hideMark/>
          </w:tcPr>
          <w:p w14:paraId="6D28C97C"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Other poultry</w:t>
            </w:r>
          </w:p>
        </w:tc>
        <w:tc>
          <w:tcPr>
            <w:tcW w:w="960" w:type="dxa"/>
            <w:tcBorders>
              <w:top w:val="nil"/>
              <w:left w:val="single" w:sz="12" w:space="0" w:color="auto"/>
              <w:bottom w:val="single" w:sz="8" w:space="0" w:color="auto"/>
              <w:right w:val="single" w:sz="12" w:space="0" w:color="auto"/>
            </w:tcBorders>
            <w:shd w:val="clear" w:color="auto" w:fill="auto"/>
            <w:noWrap/>
            <w:vAlign w:val="bottom"/>
            <w:hideMark/>
          </w:tcPr>
          <w:p w14:paraId="50C681F9"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0.03</w:t>
            </w:r>
          </w:p>
        </w:tc>
      </w:tr>
      <w:tr w:rsidR="003048D0" w:rsidRPr="003048D0" w14:paraId="7B33EBEF" w14:textId="77777777" w:rsidTr="0015400B">
        <w:trPr>
          <w:trHeight w:val="300"/>
          <w:jc w:val="center"/>
        </w:trPr>
        <w:tc>
          <w:tcPr>
            <w:tcW w:w="3720" w:type="dxa"/>
            <w:tcBorders>
              <w:top w:val="nil"/>
              <w:left w:val="single" w:sz="12" w:space="0" w:color="auto"/>
              <w:bottom w:val="single" w:sz="12" w:space="0" w:color="auto"/>
              <w:right w:val="single" w:sz="12" w:space="0" w:color="auto"/>
            </w:tcBorders>
            <w:shd w:val="clear" w:color="auto" w:fill="auto"/>
            <w:noWrap/>
            <w:vAlign w:val="bottom"/>
            <w:hideMark/>
          </w:tcPr>
          <w:p w14:paraId="2649C46C"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Rabbits, breeding females</w:t>
            </w:r>
          </w:p>
        </w:tc>
        <w:tc>
          <w:tcPr>
            <w:tcW w:w="3920" w:type="dxa"/>
            <w:tcBorders>
              <w:top w:val="nil"/>
              <w:left w:val="single" w:sz="12" w:space="0" w:color="auto"/>
              <w:bottom w:val="single" w:sz="12" w:space="0" w:color="auto"/>
              <w:right w:val="single" w:sz="12" w:space="0" w:color="auto"/>
            </w:tcBorders>
            <w:shd w:val="clear" w:color="auto" w:fill="auto"/>
            <w:noWrap/>
            <w:vAlign w:val="bottom"/>
            <w:hideMark/>
          </w:tcPr>
          <w:p w14:paraId="7701270B" w14:textId="77777777" w:rsidR="003048D0" w:rsidRPr="003048D0" w:rsidRDefault="003048D0" w:rsidP="003048D0">
            <w:pPr>
              <w:spacing w:after="0" w:line="240" w:lineRule="auto"/>
              <w:rPr>
                <w:rFonts w:ascii="Times New Roman" w:eastAsia="Times New Roman" w:hAnsi="Times New Roman" w:cs="Times New Roman"/>
                <w:color w:val="000000"/>
                <w:lang w:val="en-US"/>
              </w:rPr>
            </w:pPr>
            <w:r w:rsidRPr="003048D0">
              <w:rPr>
                <w:rFonts w:ascii="Times New Roman" w:eastAsia="Times New Roman" w:hAnsi="Times New Roman" w:cs="Times New Roman"/>
                <w:color w:val="000000"/>
                <w:lang w:val="en-US"/>
              </w:rPr>
              <w:t> </w:t>
            </w:r>
          </w:p>
        </w:tc>
        <w:tc>
          <w:tcPr>
            <w:tcW w:w="960" w:type="dxa"/>
            <w:tcBorders>
              <w:top w:val="nil"/>
              <w:left w:val="single" w:sz="12" w:space="0" w:color="auto"/>
              <w:bottom w:val="single" w:sz="12" w:space="0" w:color="auto"/>
              <w:right w:val="single" w:sz="12" w:space="0" w:color="auto"/>
            </w:tcBorders>
            <w:shd w:val="clear" w:color="auto" w:fill="auto"/>
            <w:noWrap/>
            <w:vAlign w:val="bottom"/>
            <w:hideMark/>
          </w:tcPr>
          <w:p w14:paraId="0243B99A" w14:textId="77777777" w:rsidR="003048D0" w:rsidRPr="003048D0" w:rsidRDefault="00B47EC6" w:rsidP="003048D0">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003048D0" w:rsidRPr="003048D0">
              <w:rPr>
                <w:rFonts w:ascii="Times New Roman" w:eastAsia="Times New Roman" w:hAnsi="Times New Roman" w:cs="Times New Roman"/>
                <w:color w:val="000000"/>
                <w:lang w:val="en-US"/>
              </w:rPr>
              <w:t>02</w:t>
            </w:r>
          </w:p>
        </w:tc>
      </w:tr>
    </w:tbl>
    <w:p w14:paraId="11EF295D" w14:textId="77777777" w:rsidR="002C635A" w:rsidRDefault="002C635A" w:rsidP="003048D0">
      <w:pPr>
        <w:spacing w:after="120" w:line="264" w:lineRule="auto"/>
        <w:rPr>
          <w:rFonts w:ascii="Times New Roman" w:hAnsi="Times New Roman" w:cs="Times New Roman"/>
          <w:b/>
        </w:rPr>
      </w:pPr>
    </w:p>
    <w:p w14:paraId="1F1290CE" w14:textId="77777777" w:rsidR="002C635A" w:rsidRDefault="002C635A" w:rsidP="00012C0B">
      <w:pPr>
        <w:spacing w:after="120" w:line="264" w:lineRule="auto"/>
        <w:jc w:val="center"/>
        <w:rPr>
          <w:rFonts w:ascii="Times New Roman" w:hAnsi="Times New Roman" w:cs="Times New Roman"/>
          <w:b/>
        </w:rPr>
      </w:pPr>
    </w:p>
    <w:p w14:paraId="2649F545" w14:textId="77777777" w:rsidR="002C635A" w:rsidRDefault="002C635A" w:rsidP="00012C0B">
      <w:pPr>
        <w:spacing w:after="120" w:line="264" w:lineRule="auto"/>
        <w:jc w:val="center"/>
        <w:rPr>
          <w:rFonts w:ascii="Times New Roman" w:hAnsi="Times New Roman" w:cs="Times New Roman"/>
          <w:b/>
        </w:rPr>
      </w:pPr>
      <w:r>
        <w:rPr>
          <w:rFonts w:ascii="Times New Roman" w:hAnsi="Times New Roman" w:cs="Times New Roman"/>
          <w:b/>
        </w:rPr>
        <w:t>Table 2</w:t>
      </w:r>
    </w:p>
    <w:p w14:paraId="7E532803" w14:textId="77777777" w:rsidR="00012C0B" w:rsidRPr="006F2CA5" w:rsidRDefault="002C635A" w:rsidP="00012C0B">
      <w:pPr>
        <w:spacing w:after="120" w:line="264" w:lineRule="auto"/>
        <w:jc w:val="center"/>
        <w:rPr>
          <w:rFonts w:ascii="Times New Roman" w:hAnsi="Times New Roman" w:cs="Times New Roman"/>
          <w:b/>
        </w:rPr>
      </w:pPr>
      <w:r>
        <w:rPr>
          <w:rFonts w:ascii="Times New Roman" w:hAnsi="Times New Roman" w:cs="Times New Roman"/>
          <w:b/>
        </w:rPr>
        <w:t>Alternative c</w:t>
      </w:r>
      <w:r w:rsidR="00012C0B" w:rsidRPr="006F2CA5">
        <w:rPr>
          <w:rFonts w:ascii="Times New Roman" w:hAnsi="Times New Roman" w:cs="Times New Roman"/>
          <w:b/>
        </w:rPr>
        <w:t>oefficients to convert animals in livestock units</w:t>
      </w:r>
    </w:p>
    <w:tbl>
      <w:tblPr>
        <w:tblW w:w="0" w:type="auto"/>
        <w:jc w:val="center"/>
        <w:tblLook w:val="04A0" w:firstRow="1" w:lastRow="0" w:firstColumn="1" w:lastColumn="0" w:noHBand="0" w:noVBand="1"/>
      </w:tblPr>
      <w:tblGrid>
        <w:gridCol w:w="1646"/>
        <w:gridCol w:w="2618"/>
        <w:gridCol w:w="1206"/>
      </w:tblGrid>
      <w:tr w:rsidR="00012C0B" w:rsidRPr="006F2CA5" w14:paraId="1DF22C2E" w14:textId="77777777" w:rsidTr="00006DC6">
        <w:trPr>
          <w:trHeight w:val="300"/>
          <w:jc w:val="center"/>
        </w:trPr>
        <w:tc>
          <w:tcPr>
            <w:tcW w:w="0" w:type="auto"/>
            <w:tcBorders>
              <w:top w:val="single" w:sz="12" w:space="0" w:color="auto"/>
              <w:left w:val="single" w:sz="12" w:space="0" w:color="auto"/>
              <w:bottom w:val="single" w:sz="8" w:space="0" w:color="auto"/>
              <w:right w:val="single" w:sz="8" w:space="0" w:color="auto"/>
            </w:tcBorders>
            <w:shd w:val="clear" w:color="auto" w:fill="FFFFFF" w:themeFill="background1"/>
            <w:noWrap/>
            <w:vAlign w:val="center"/>
            <w:hideMark/>
          </w:tcPr>
          <w:p w14:paraId="5732F406" w14:textId="77777777" w:rsidR="00012C0B" w:rsidRPr="00006DC6" w:rsidRDefault="00012C0B" w:rsidP="00006DC6">
            <w:pPr>
              <w:spacing w:after="0" w:line="240" w:lineRule="auto"/>
              <w:rPr>
                <w:rFonts w:ascii="Times New Roman" w:eastAsia="Times New Roman" w:hAnsi="Times New Roman" w:cs="Times New Roman"/>
                <w:color w:val="000000"/>
                <w:lang w:val="en-US"/>
              </w:rPr>
            </w:pPr>
            <w:r w:rsidRPr="00006DC6">
              <w:rPr>
                <w:rFonts w:ascii="Times New Roman" w:eastAsia="Times New Roman" w:hAnsi="Times New Roman" w:cs="Times New Roman"/>
                <w:color w:val="000000"/>
                <w:lang w:val="en-US"/>
              </w:rPr>
              <w:t>Species</w:t>
            </w:r>
          </w:p>
        </w:tc>
        <w:tc>
          <w:tcPr>
            <w:tcW w:w="0" w:type="auto"/>
            <w:tcBorders>
              <w:top w:val="single" w:sz="12" w:space="0" w:color="auto"/>
              <w:left w:val="nil"/>
              <w:bottom w:val="single" w:sz="8" w:space="0" w:color="auto"/>
              <w:right w:val="single" w:sz="8" w:space="0" w:color="auto"/>
            </w:tcBorders>
            <w:shd w:val="clear" w:color="auto" w:fill="FFFFFF" w:themeFill="background1"/>
            <w:noWrap/>
            <w:vAlign w:val="center"/>
            <w:hideMark/>
          </w:tcPr>
          <w:p w14:paraId="58C86A9C" w14:textId="77777777" w:rsidR="00012C0B" w:rsidRPr="00006DC6" w:rsidRDefault="00012C0B" w:rsidP="00006DC6">
            <w:pPr>
              <w:spacing w:after="0" w:line="240" w:lineRule="auto"/>
              <w:rPr>
                <w:rFonts w:ascii="Times New Roman" w:eastAsia="Times New Roman" w:hAnsi="Times New Roman" w:cs="Times New Roman"/>
                <w:color w:val="000000"/>
                <w:lang w:val="en-US"/>
              </w:rPr>
            </w:pPr>
            <w:r w:rsidRPr="00006DC6">
              <w:rPr>
                <w:rFonts w:ascii="Times New Roman" w:eastAsia="Times New Roman" w:hAnsi="Times New Roman" w:cs="Times New Roman"/>
                <w:color w:val="000000"/>
                <w:lang w:val="en-US"/>
              </w:rPr>
              <w:t>Age / category</w:t>
            </w:r>
          </w:p>
        </w:tc>
        <w:tc>
          <w:tcPr>
            <w:tcW w:w="0" w:type="auto"/>
            <w:tcBorders>
              <w:top w:val="single" w:sz="12" w:space="0" w:color="auto"/>
              <w:left w:val="nil"/>
              <w:bottom w:val="single" w:sz="8" w:space="0" w:color="auto"/>
              <w:right w:val="single" w:sz="12" w:space="0" w:color="auto"/>
            </w:tcBorders>
            <w:shd w:val="clear" w:color="auto" w:fill="FFFFFF" w:themeFill="background1"/>
            <w:noWrap/>
            <w:vAlign w:val="center"/>
            <w:hideMark/>
          </w:tcPr>
          <w:p w14:paraId="1BAEDA1C" w14:textId="77777777" w:rsidR="00012C0B" w:rsidRPr="00006DC6" w:rsidRDefault="00012C0B" w:rsidP="00006DC6">
            <w:pPr>
              <w:spacing w:after="0" w:line="240" w:lineRule="auto"/>
              <w:rPr>
                <w:rFonts w:ascii="Times New Roman" w:eastAsia="Times New Roman" w:hAnsi="Times New Roman" w:cs="Times New Roman"/>
                <w:color w:val="000000"/>
                <w:lang w:val="en-US"/>
              </w:rPr>
            </w:pPr>
            <w:r w:rsidRPr="00006DC6">
              <w:rPr>
                <w:rFonts w:ascii="Times New Roman" w:eastAsia="Times New Roman" w:hAnsi="Times New Roman" w:cs="Times New Roman"/>
                <w:color w:val="000000"/>
                <w:lang w:val="en-US"/>
              </w:rPr>
              <w:t>Coefficient</w:t>
            </w:r>
          </w:p>
        </w:tc>
      </w:tr>
      <w:tr w:rsidR="00012C0B" w:rsidRPr="006F2CA5" w14:paraId="6A66CA45" w14:textId="77777777" w:rsidTr="00ED41EC">
        <w:trPr>
          <w:trHeight w:val="290"/>
          <w:jc w:val="center"/>
        </w:trPr>
        <w:tc>
          <w:tcPr>
            <w:tcW w:w="0" w:type="auto"/>
            <w:tcBorders>
              <w:top w:val="nil"/>
              <w:left w:val="single" w:sz="12" w:space="0" w:color="auto"/>
              <w:bottom w:val="nil"/>
              <w:right w:val="single" w:sz="8" w:space="0" w:color="auto"/>
            </w:tcBorders>
            <w:shd w:val="clear" w:color="auto" w:fill="auto"/>
            <w:noWrap/>
            <w:vAlign w:val="center"/>
            <w:hideMark/>
          </w:tcPr>
          <w:p w14:paraId="6E95A98A"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Bovine animals</w:t>
            </w:r>
          </w:p>
        </w:tc>
        <w:tc>
          <w:tcPr>
            <w:tcW w:w="0" w:type="auto"/>
            <w:tcBorders>
              <w:top w:val="nil"/>
              <w:left w:val="nil"/>
              <w:bottom w:val="nil"/>
              <w:right w:val="single" w:sz="8" w:space="0" w:color="auto"/>
            </w:tcBorders>
            <w:shd w:val="clear" w:color="auto" w:fill="auto"/>
            <w:noWrap/>
            <w:vAlign w:val="center"/>
            <w:hideMark/>
          </w:tcPr>
          <w:p w14:paraId="7E96023F" w14:textId="77777777" w:rsidR="00012C0B" w:rsidRPr="006F2CA5" w:rsidRDefault="00274A6D"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B</w:t>
            </w:r>
            <w:r w:rsidR="00012C0B" w:rsidRPr="006F2CA5">
              <w:rPr>
                <w:rFonts w:ascii="Times New Roman" w:eastAsia="Times New Roman" w:hAnsi="Times New Roman" w:cs="Times New Roman"/>
                <w:lang w:val="en-US"/>
              </w:rPr>
              <w:t>elow six months</w:t>
            </w:r>
          </w:p>
        </w:tc>
        <w:tc>
          <w:tcPr>
            <w:tcW w:w="0" w:type="auto"/>
            <w:tcBorders>
              <w:top w:val="nil"/>
              <w:left w:val="nil"/>
              <w:bottom w:val="nil"/>
              <w:right w:val="single" w:sz="12" w:space="0" w:color="auto"/>
            </w:tcBorders>
            <w:shd w:val="clear" w:color="auto" w:fill="auto"/>
            <w:noWrap/>
            <w:vAlign w:val="center"/>
            <w:hideMark/>
          </w:tcPr>
          <w:p w14:paraId="5BE13979"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0.4</w:t>
            </w:r>
          </w:p>
        </w:tc>
      </w:tr>
      <w:tr w:rsidR="00012C0B" w:rsidRPr="006F2CA5" w14:paraId="3C6AC2B4" w14:textId="77777777" w:rsidTr="00ED41EC">
        <w:trPr>
          <w:trHeight w:val="290"/>
          <w:jc w:val="center"/>
        </w:trPr>
        <w:tc>
          <w:tcPr>
            <w:tcW w:w="0" w:type="auto"/>
            <w:tcBorders>
              <w:top w:val="nil"/>
              <w:left w:val="single" w:sz="12" w:space="0" w:color="auto"/>
              <w:bottom w:val="nil"/>
              <w:right w:val="single" w:sz="8" w:space="0" w:color="auto"/>
            </w:tcBorders>
            <w:shd w:val="clear" w:color="auto" w:fill="auto"/>
            <w:noWrap/>
            <w:vAlign w:val="center"/>
            <w:hideMark/>
          </w:tcPr>
          <w:p w14:paraId="046AA7D0"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 </w:t>
            </w:r>
          </w:p>
        </w:tc>
        <w:tc>
          <w:tcPr>
            <w:tcW w:w="0" w:type="auto"/>
            <w:tcBorders>
              <w:top w:val="nil"/>
              <w:left w:val="nil"/>
              <w:bottom w:val="nil"/>
              <w:right w:val="single" w:sz="8" w:space="0" w:color="auto"/>
            </w:tcBorders>
            <w:shd w:val="clear" w:color="auto" w:fill="auto"/>
            <w:noWrap/>
            <w:vAlign w:val="center"/>
            <w:hideMark/>
          </w:tcPr>
          <w:p w14:paraId="0AB49BE0" w14:textId="77777777" w:rsidR="00012C0B" w:rsidRPr="006F2CA5" w:rsidRDefault="00274A6D"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F</w:t>
            </w:r>
            <w:r w:rsidR="00012C0B" w:rsidRPr="006F2CA5">
              <w:rPr>
                <w:rFonts w:ascii="Times New Roman" w:eastAsia="Times New Roman" w:hAnsi="Times New Roman" w:cs="Times New Roman"/>
                <w:lang w:val="en-US"/>
              </w:rPr>
              <w:t>rom six months to 2 years</w:t>
            </w:r>
          </w:p>
        </w:tc>
        <w:tc>
          <w:tcPr>
            <w:tcW w:w="0" w:type="auto"/>
            <w:tcBorders>
              <w:top w:val="nil"/>
              <w:left w:val="nil"/>
              <w:bottom w:val="nil"/>
              <w:right w:val="single" w:sz="12" w:space="0" w:color="auto"/>
            </w:tcBorders>
            <w:shd w:val="clear" w:color="auto" w:fill="auto"/>
            <w:noWrap/>
            <w:vAlign w:val="center"/>
            <w:hideMark/>
          </w:tcPr>
          <w:p w14:paraId="4DCC9486"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0.6</w:t>
            </w:r>
          </w:p>
        </w:tc>
      </w:tr>
      <w:tr w:rsidR="00012C0B" w:rsidRPr="006F2CA5" w14:paraId="041947FD" w14:textId="77777777" w:rsidTr="00ED41EC">
        <w:trPr>
          <w:trHeight w:val="300"/>
          <w:jc w:val="center"/>
        </w:trPr>
        <w:tc>
          <w:tcPr>
            <w:tcW w:w="0" w:type="auto"/>
            <w:tcBorders>
              <w:top w:val="nil"/>
              <w:left w:val="single" w:sz="12" w:space="0" w:color="auto"/>
              <w:bottom w:val="nil"/>
              <w:right w:val="single" w:sz="8" w:space="0" w:color="auto"/>
            </w:tcBorders>
            <w:shd w:val="clear" w:color="auto" w:fill="auto"/>
            <w:noWrap/>
            <w:vAlign w:val="center"/>
            <w:hideMark/>
          </w:tcPr>
          <w:p w14:paraId="66BC4E0D"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 </w:t>
            </w:r>
          </w:p>
        </w:tc>
        <w:tc>
          <w:tcPr>
            <w:tcW w:w="0" w:type="auto"/>
            <w:tcBorders>
              <w:top w:val="nil"/>
              <w:left w:val="nil"/>
              <w:bottom w:val="nil"/>
              <w:right w:val="single" w:sz="8" w:space="0" w:color="auto"/>
            </w:tcBorders>
            <w:shd w:val="clear" w:color="auto" w:fill="auto"/>
            <w:noWrap/>
            <w:vAlign w:val="center"/>
            <w:hideMark/>
          </w:tcPr>
          <w:p w14:paraId="610B40AE" w14:textId="77777777" w:rsidR="00012C0B" w:rsidRPr="006F2CA5" w:rsidRDefault="00274A6D"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O</w:t>
            </w:r>
            <w:r w:rsidR="00012C0B" w:rsidRPr="006F2CA5">
              <w:rPr>
                <w:rFonts w:ascii="Times New Roman" w:eastAsia="Times New Roman" w:hAnsi="Times New Roman" w:cs="Times New Roman"/>
                <w:lang w:val="en-US"/>
              </w:rPr>
              <w:t>ver 2 years</w:t>
            </w:r>
          </w:p>
        </w:tc>
        <w:tc>
          <w:tcPr>
            <w:tcW w:w="0" w:type="auto"/>
            <w:tcBorders>
              <w:top w:val="nil"/>
              <w:left w:val="nil"/>
              <w:bottom w:val="nil"/>
              <w:right w:val="single" w:sz="12" w:space="0" w:color="auto"/>
            </w:tcBorders>
            <w:shd w:val="clear" w:color="auto" w:fill="auto"/>
            <w:noWrap/>
            <w:vAlign w:val="center"/>
            <w:hideMark/>
          </w:tcPr>
          <w:p w14:paraId="07BD4C00" w14:textId="77777777" w:rsidR="00012C0B" w:rsidRPr="006F2CA5" w:rsidRDefault="0081365E" w:rsidP="00012C0B">
            <w:pPr>
              <w:spacing w:after="0" w:line="264"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1</w:t>
            </w:r>
          </w:p>
        </w:tc>
      </w:tr>
      <w:tr w:rsidR="00012C0B" w:rsidRPr="006F2CA5" w14:paraId="2D642667" w14:textId="77777777" w:rsidTr="00ED41EC">
        <w:trPr>
          <w:trHeight w:val="300"/>
          <w:jc w:val="center"/>
        </w:trPr>
        <w:tc>
          <w:tcPr>
            <w:tcW w:w="0" w:type="auto"/>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58EB59EC"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Equine animals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7E5A898" w14:textId="77777777" w:rsidR="00012C0B" w:rsidRPr="006F2CA5" w:rsidRDefault="00274A6D"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O</w:t>
            </w:r>
            <w:r w:rsidR="00012C0B" w:rsidRPr="006F2CA5">
              <w:rPr>
                <w:rFonts w:ascii="Times New Roman" w:eastAsia="Times New Roman" w:hAnsi="Times New Roman" w:cs="Times New Roman"/>
                <w:lang w:val="en-US"/>
              </w:rPr>
              <w:t>ver 6 months</w:t>
            </w:r>
          </w:p>
        </w:tc>
        <w:tc>
          <w:tcPr>
            <w:tcW w:w="0" w:type="auto"/>
            <w:tcBorders>
              <w:top w:val="single" w:sz="8" w:space="0" w:color="auto"/>
              <w:left w:val="nil"/>
              <w:bottom w:val="single" w:sz="8" w:space="0" w:color="auto"/>
              <w:right w:val="single" w:sz="12" w:space="0" w:color="auto"/>
            </w:tcBorders>
            <w:shd w:val="clear" w:color="auto" w:fill="auto"/>
            <w:noWrap/>
            <w:vAlign w:val="center"/>
            <w:hideMark/>
          </w:tcPr>
          <w:p w14:paraId="2081C4B5" w14:textId="77777777" w:rsidR="00012C0B" w:rsidRPr="006F2CA5" w:rsidRDefault="0081365E" w:rsidP="00012C0B">
            <w:pPr>
              <w:spacing w:after="0" w:line="264"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1</w:t>
            </w:r>
          </w:p>
        </w:tc>
      </w:tr>
      <w:tr w:rsidR="00012C0B" w:rsidRPr="006F2CA5" w14:paraId="4027CC3D" w14:textId="77777777" w:rsidTr="00ED41EC">
        <w:trPr>
          <w:trHeight w:val="300"/>
          <w:jc w:val="center"/>
        </w:trPr>
        <w:tc>
          <w:tcPr>
            <w:tcW w:w="0" w:type="auto"/>
            <w:tcBorders>
              <w:top w:val="nil"/>
              <w:left w:val="single" w:sz="12" w:space="0" w:color="auto"/>
              <w:bottom w:val="nil"/>
              <w:right w:val="single" w:sz="8" w:space="0" w:color="auto"/>
            </w:tcBorders>
            <w:shd w:val="clear" w:color="auto" w:fill="auto"/>
            <w:noWrap/>
            <w:vAlign w:val="center"/>
            <w:hideMark/>
          </w:tcPr>
          <w:p w14:paraId="7621FE4E"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Sheep and goats</w:t>
            </w:r>
          </w:p>
        </w:tc>
        <w:tc>
          <w:tcPr>
            <w:tcW w:w="0" w:type="auto"/>
            <w:tcBorders>
              <w:top w:val="nil"/>
              <w:left w:val="nil"/>
              <w:bottom w:val="nil"/>
              <w:right w:val="single" w:sz="8" w:space="0" w:color="auto"/>
            </w:tcBorders>
            <w:shd w:val="clear" w:color="auto" w:fill="auto"/>
            <w:noWrap/>
            <w:vAlign w:val="center"/>
            <w:hideMark/>
          </w:tcPr>
          <w:p w14:paraId="1125DBB8" w14:textId="77777777" w:rsidR="00012C0B" w:rsidRPr="006F2CA5" w:rsidRDefault="00012C0B" w:rsidP="00012C0B">
            <w:pPr>
              <w:spacing w:after="0" w:line="264" w:lineRule="auto"/>
              <w:jc w:val="both"/>
              <w:rPr>
                <w:rFonts w:ascii="Times New Roman" w:eastAsia="Times New Roman" w:hAnsi="Times New Roman" w:cs="Times New Roman"/>
                <w:lang w:val="en-US"/>
              </w:rPr>
            </w:pPr>
          </w:p>
        </w:tc>
        <w:tc>
          <w:tcPr>
            <w:tcW w:w="0" w:type="auto"/>
            <w:tcBorders>
              <w:top w:val="nil"/>
              <w:left w:val="nil"/>
              <w:bottom w:val="nil"/>
              <w:right w:val="single" w:sz="12" w:space="0" w:color="auto"/>
            </w:tcBorders>
            <w:shd w:val="clear" w:color="auto" w:fill="auto"/>
            <w:noWrap/>
            <w:vAlign w:val="center"/>
            <w:hideMark/>
          </w:tcPr>
          <w:p w14:paraId="746ACC2D"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0.15</w:t>
            </w:r>
          </w:p>
        </w:tc>
      </w:tr>
      <w:tr w:rsidR="00012C0B" w:rsidRPr="006F2CA5" w14:paraId="67EBC755" w14:textId="77777777" w:rsidTr="00ED41EC">
        <w:trPr>
          <w:trHeight w:val="113"/>
          <w:jc w:val="center"/>
        </w:trPr>
        <w:tc>
          <w:tcPr>
            <w:tcW w:w="0" w:type="auto"/>
            <w:tcBorders>
              <w:top w:val="single" w:sz="8" w:space="0" w:color="auto"/>
              <w:left w:val="single" w:sz="12" w:space="0" w:color="auto"/>
              <w:bottom w:val="nil"/>
              <w:right w:val="single" w:sz="8" w:space="0" w:color="auto"/>
            </w:tcBorders>
            <w:shd w:val="clear" w:color="auto" w:fill="auto"/>
            <w:noWrap/>
            <w:vAlign w:val="center"/>
            <w:hideMark/>
          </w:tcPr>
          <w:p w14:paraId="51D31D98"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Pigs</w:t>
            </w:r>
          </w:p>
        </w:tc>
        <w:tc>
          <w:tcPr>
            <w:tcW w:w="0" w:type="auto"/>
            <w:tcBorders>
              <w:top w:val="single" w:sz="8" w:space="0" w:color="auto"/>
              <w:left w:val="nil"/>
              <w:bottom w:val="nil"/>
              <w:right w:val="single" w:sz="8" w:space="0" w:color="auto"/>
            </w:tcBorders>
            <w:shd w:val="clear" w:color="auto" w:fill="auto"/>
            <w:vAlign w:val="center"/>
            <w:hideMark/>
          </w:tcPr>
          <w:p w14:paraId="2B233D77" w14:textId="77777777" w:rsidR="00012C0B" w:rsidRPr="006F2CA5" w:rsidRDefault="00274A6D"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B</w:t>
            </w:r>
            <w:r w:rsidR="00012C0B" w:rsidRPr="006F2CA5">
              <w:rPr>
                <w:rFonts w:ascii="Times New Roman" w:eastAsia="Times New Roman" w:hAnsi="Times New Roman" w:cs="Times New Roman"/>
                <w:lang w:val="en-US"/>
              </w:rPr>
              <w:t>reeding sows &gt; 50kg</w:t>
            </w:r>
          </w:p>
        </w:tc>
        <w:tc>
          <w:tcPr>
            <w:tcW w:w="0" w:type="auto"/>
            <w:tcBorders>
              <w:top w:val="single" w:sz="8" w:space="0" w:color="auto"/>
              <w:left w:val="nil"/>
              <w:bottom w:val="nil"/>
              <w:right w:val="single" w:sz="12" w:space="0" w:color="auto"/>
            </w:tcBorders>
            <w:shd w:val="clear" w:color="auto" w:fill="auto"/>
            <w:noWrap/>
            <w:vAlign w:val="center"/>
            <w:hideMark/>
          </w:tcPr>
          <w:p w14:paraId="01F9D1A1"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0.5</w:t>
            </w:r>
          </w:p>
        </w:tc>
      </w:tr>
      <w:tr w:rsidR="00012C0B" w:rsidRPr="006F2CA5" w14:paraId="06A8B827" w14:textId="77777777" w:rsidTr="00ED41EC">
        <w:trPr>
          <w:trHeight w:val="113"/>
          <w:jc w:val="center"/>
        </w:trPr>
        <w:tc>
          <w:tcPr>
            <w:tcW w:w="0" w:type="auto"/>
            <w:tcBorders>
              <w:top w:val="nil"/>
              <w:left w:val="single" w:sz="12" w:space="0" w:color="auto"/>
              <w:bottom w:val="single" w:sz="8" w:space="0" w:color="auto"/>
              <w:right w:val="single" w:sz="8" w:space="0" w:color="auto"/>
            </w:tcBorders>
            <w:shd w:val="clear" w:color="auto" w:fill="auto"/>
            <w:noWrap/>
            <w:vAlign w:val="center"/>
            <w:hideMark/>
          </w:tcPr>
          <w:p w14:paraId="5B4AEA69"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640FA984" w14:textId="77777777" w:rsidR="00012C0B" w:rsidRPr="006F2CA5" w:rsidRDefault="00006DC6"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O</w:t>
            </w:r>
            <w:r w:rsidR="00012C0B" w:rsidRPr="006F2CA5">
              <w:rPr>
                <w:rFonts w:ascii="Times New Roman" w:eastAsia="Times New Roman" w:hAnsi="Times New Roman" w:cs="Times New Roman"/>
                <w:lang w:val="en-US"/>
              </w:rPr>
              <w:t>ther pigs</w:t>
            </w:r>
          </w:p>
        </w:tc>
        <w:tc>
          <w:tcPr>
            <w:tcW w:w="0" w:type="auto"/>
            <w:tcBorders>
              <w:top w:val="nil"/>
              <w:left w:val="nil"/>
              <w:bottom w:val="single" w:sz="8" w:space="0" w:color="auto"/>
              <w:right w:val="single" w:sz="12" w:space="0" w:color="auto"/>
            </w:tcBorders>
            <w:shd w:val="clear" w:color="auto" w:fill="auto"/>
            <w:noWrap/>
            <w:vAlign w:val="center"/>
            <w:hideMark/>
          </w:tcPr>
          <w:p w14:paraId="47E711F5"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0.3</w:t>
            </w:r>
          </w:p>
        </w:tc>
      </w:tr>
      <w:tr w:rsidR="00012C0B" w:rsidRPr="006F2CA5" w14:paraId="63B943FF" w14:textId="77777777" w:rsidTr="00ED41EC">
        <w:trPr>
          <w:trHeight w:val="290"/>
          <w:jc w:val="center"/>
        </w:trPr>
        <w:tc>
          <w:tcPr>
            <w:tcW w:w="0" w:type="auto"/>
            <w:tcBorders>
              <w:top w:val="single" w:sz="8" w:space="0" w:color="auto"/>
              <w:left w:val="single" w:sz="12" w:space="0" w:color="auto"/>
              <w:bottom w:val="nil"/>
              <w:right w:val="single" w:sz="8" w:space="0" w:color="auto"/>
            </w:tcBorders>
            <w:shd w:val="clear" w:color="auto" w:fill="auto"/>
            <w:noWrap/>
            <w:vAlign w:val="center"/>
            <w:hideMark/>
          </w:tcPr>
          <w:p w14:paraId="11AD62F9"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Poultry</w:t>
            </w:r>
          </w:p>
        </w:tc>
        <w:tc>
          <w:tcPr>
            <w:tcW w:w="0" w:type="auto"/>
            <w:tcBorders>
              <w:top w:val="nil"/>
              <w:left w:val="nil"/>
              <w:bottom w:val="nil"/>
              <w:right w:val="single" w:sz="8" w:space="0" w:color="auto"/>
            </w:tcBorders>
            <w:shd w:val="clear" w:color="auto" w:fill="auto"/>
            <w:noWrap/>
            <w:vAlign w:val="center"/>
            <w:hideMark/>
          </w:tcPr>
          <w:p w14:paraId="43BAA3C7" w14:textId="77777777" w:rsidR="00012C0B" w:rsidRPr="006F2CA5" w:rsidRDefault="00006DC6"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L</w:t>
            </w:r>
            <w:r w:rsidR="00274A6D" w:rsidRPr="006F2CA5">
              <w:rPr>
                <w:rFonts w:ascii="Times New Roman" w:eastAsia="Times New Roman" w:hAnsi="Times New Roman" w:cs="Times New Roman"/>
                <w:lang w:val="en-US"/>
              </w:rPr>
              <w:t>aying hens</w:t>
            </w:r>
          </w:p>
        </w:tc>
        <w:tc>
          <w:tcPr>
            <w:tcW w:w="0" w:type="auto"/>
            <w:tcBorders>
              <w:top w:val="nil"/>
              <w:left w:val="nil"/>
              <w:bottom w:val="nil"/>
              <w:right w:val="single" w:sz="12" w:space="0" w:color="auto"/>
            </w:tcBorders>
            <w:shd w:val="clear" w:color="auto" w:fill="auto"/>
            <w:noWrap/>
            <w:vAlign w:val="center"/>
            <w:hideMark/>
          </w:tcPr>
          <w:p w14:paraId="6A29E168" w14:textId="77777777" w:rsidR="00012C0B" w:rsidRPr="006F2CA5" w:rsidRDefault="00274A6D"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0.014</w:t>
            </w:r>
          </w:p>
        </w:tc>
      </w:tr>
      <w:tr w:rsidR="00012C0B" w:rsidRPr="006F2CA5" w14:paraId="6ADC30A1" w14:textId="77777777" w:rsidTr="00ED41EC">
        <w:trPr>
          <w:trHeight w:val="290"/>
          <w:jc w:val="center"/>
        </w:trPr>
        <w:tc>
          <w:tcPr>
            <w:tcW w:w="0" w:type="auto"/>
            <w:tcBorders>
              <w:top w:val="nil"/>
              <w:left w:val="single" w:sz="12" w:space="0" w:color="auto"/>
              <w:bottom w:val="single" w:sz="12" w:space="0" w:color="auto"/>
              <w:right w:val="single" w:sz="8" w:space="0" w:color="auto"/>
            </w:tcBorders>
            <w:shd w:val="clear" w:color="auto" w:fill="auto"/>
            <w:noWrap/>
            <w:vAlign w:val="center"/>
            <w:hideMark/>
          </w:tcPr>
          <w:p w14:paraId="55727915" w14:textId="77777777" w:rsidR="00012C0B" w:rsidRPr="006F2CA5" w:rsidRDefault="00012C0B" w:rsidP="00012C0B">
            <w:pPr>
              <w:spacing w:after="0" w:line="264" w:lineRule="auto"/>
              <w:jc w:val="both"/>
              <w:rPr>
                <w:rFonts w:ascii="Times New Roman" w:eastAsia="Times New Roman" w:hAnsi="Times New Roman" w:cs="Times New Roman"/>
                <w:lang w:val="en-US"/>
              </w:rPr>
            </w:pPr>
            <w:r w:rsidRPr="006F2CA5">
              <w:rPr>
                <w:rFonts w:ascii="Times New Roman" w:eastAsia="Times New Roman" w:hAnsi="Times New Roman" w:cs="Times New Roman"/>
                <w:lang w:val="en-US"/>
              </w:rPr>
              <w:t> </w:t>
            </w:r>
          </w:p>
        </w:tc>
        <w:tc>
          <w:tcPr>
            <w:tcW w:w="0" w:type="auto"/>
            <w:tcBorders>
              <w:top w:val="nil"/>
              <w:left w:val="nil"/>
              <w:bottom w:val="single" w:sz="12" w:space="0" w:color="auto"/>
              <w:right w:val="single" w:sz="8" w:space="0" w:color="auto"/>
            </w:tcBorders>
            <w:shd w:val="clear" w:color="auto" w:fill="auto"/>
            <w:noWrap/>
            <w:vAlign w:val="center"/>
            <w:hideMark/>
          </w:tcPr>
          <w:p w14:paraId="239C069A" w14:textId="77777777" w:rsidR="00012C0B" w:rsidRPr="006F2CA5" w:rsidRDefault="00006DC6" w:rsidP="00012C0B">
            <w:pPr>
              <w:spacing w:after="0" w:line="264"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O</w:t>
            </w:r>
            <w:r w:rsidR="00274A6D" w:rsidRPr="006F2CA5">
              <w:rPr>
                <w:rFonts w:ascii="Times New Roman" w:eastAsia="Times New Roman" w:hAnsi="Times New Roman" w:cs="Times New Roman"/>
                <w:lang w:val="en-US"/>
              </w:rPr>
              <w:t>ther poultry</w:t>
            </w:r>
          </w:p>
        </w:tc>
        <w:tc>
          <w:tcPr>
            <w:tcW w:w="0" w:type="auto"/>
            <w:tcBorders>
              <w:top w:val="nil"/>
              <w:left w:val="nil"/>
              <w:bottom w:val="single" w:sz="12" w:space="0" w:color="auto"/>
              <w:right w:val="single" w:sz="12" w:space="0" w:color="auto"/>
            </w:tcBorders>
            <w:shd w:val="clear" w:color="auto" w:fill="auto"/>
            <w:noWrap/>
            <w:vAlign w:val="center"/>
            <w:hideMark/>
          </w:tcPr>
          <w:p w14:paraId="33B611F8" w14:textId="77777777" w:rsidR="00012C0B" w:rsidRPr="006F2CA5" w:rsidRDefault="00012C0B" w:rsidP="00012C0B">
            <w:pPr>
              <w:spacing w:after="0" w:line="264" w:lineRule="auto"/>
              <w:jc w:val="right"/>
              <w:rPr>
                <w:rFonts w:ascii="Times New Roman" w:eastAsia="Times New Roman" w:hAnsi="Times New Roman" w:cs="Times New Roman"/>
                <w:lang w:val="en-US"/>
              </w:rPr>
            </w:pPr>
            <w:r w:rsidRPr="006F2CA5">
              <w:rPr>
                <w:rFonts w:ascii="Times New Roman" w:eastAsia="Times New Roman" w:hAnsi="Times New Roman" w:cs="Times New Roman"/>
                <w:lang w:val="en-US"/>
              </w:rPr>
              <w:t>0.</w:t>
            </w:r>
            <w:r w:rsidR="00274A6D" w:rsidRPr="006F2CA5">
              <w:rPr>
                <w:rFonts w:ascii="Times New Roman" w:eastAsia="Times New Roman" w:hAnsi="Times New Roman" w:cs="Times New Roman"/>
                <w:lang w:val="en-US"/>
              </w:rPr>
              <w:t>03</w:t>
            </w:r>
          </w:p>
        </w:tc>
      </w:tr>
    </w:tbl>
    <w:p w14:paraId="1C429304" w14:textId="77777777" w:rsidR="00012C0B" w:rsidRPr="006F2CA5" w:rsidRDefault="00012C0B" w:rsidP="00012C0B">
      <w:pPr>
        <w:spacing w:after="120" w:line="264" w:lineRule="auto"/>
        <w:jc w:val="center"/>
        <w:rPr>
          <w:rFonts w:ascii="Times New Roman" w:hAnsi="Times New Roman" w:cs="Times New Roman"/>
          <w:b/>
        </w:rPr>
      </w:pPr>
    </w:p>
    <w:p w14:paraId="410EC41D" w14:textId="77777777" w:rsidR="00012C0B" w:rsidRPr="004056DE" w:rsidRDefault="00012C0B" w:rsidP="004056DE">
      <w:pPr>
        <w:spacing w:after="120" w:line="264" w:lineRule="auto"/>
        <w:rPr>
          <w:rFonts w:ascii="Times New Roman" w:hAnsi="Times New Roman" w:cs="Times New Roman"/>
        </w:rPr>
      </w:pPr>
    </w:p>
    <w:p w14:paraId="61721128" w14:textId="77777777" w:rsidR="00D37ABD" w:rsidRDefault="00D37ABD" w:rsidP="00A82615">
      <w:pPr>
        <w:spacing w:after="120" w:line="264" w:lineRule="auto"/>
        <w:jc w:val="center"/>
        <w:rPr>
          <w:rFonts w:ascii="Times New Roman" w:hAnsi="Times New Roman" w:cs="Times New Roman"/>
          <w:b/>
        </w:rPr>
        <w:sectPr w:rsidR="00D37ABD">
          <w:pgSz w:w="12240" w:h="15840"/>
          <w:pgMar w:top="1440" w:right="1440" w:bottom="1440" w:left="1440" w:header="708" w:footer="708" w:gutter="0"/>
          <w:cols w:space="708"/>
          <w:docGrid w:linePitch="360"/>
        </w:sectPr>
      </w:pPr>
    </w:p>
    <w:p w14:paraId="70BF9A96" w14:textId="45039DB5" w:rsidR="00F72188" w:rsidRPr="00F72188" w:rsidRDefault="00D37ABD" w:rsidP="00F72188">
      <w:pPr>
        <w:pStyle w:val="Heading1"/>
        <w:rPr>
          <w:rFonts w:ascii="Times New Roman" w:hAnsi="Times New Roman" w:cs="Times New Roman"/>
          <w:color w:val="C45911" w:themeColor="accent2" w:themeShade="BF"/>
        </w:rPr>
      </w:pPr>
      <w:bookmarkStart w:id="43" w:name="_Toc126762230"/>
      <w:r w:rsidRPr="00D37ABD">
        <w:rPr>
          <w:rFonts w:ascii="Times New Roman" w:hAnsi="Times New Roman" w:cs="Times New Roman"/>
          <w:color w:val="C45911" w:themeColor="accent2" w:themeShade="BF"/>
          <w:u w:val="single"/>
        </w:rPr>
        <w:lastRenderedPageBreak/>
        <w:t>Annex V</w:t>
      </w:r>
      <w:r w:rsidRPr="00D37ABD">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 xml:space="preserve">How to calculate partial outputs for non-IACS interventions </w:t>
      </w:r>
      <w:r w:rsidR="00E84661">
        <w:rPr>
          <w:rFonts w:ascii="Times New Roman" w:hAnsi="Times New Roman" w:cs="Times New Roman"/>
          <w:color w:val="C45911" w:themeColor="accent2" w:themeShade="BF"/>
        </w:rPr>
        <w:t xml:space="preserve">when </w:t>
      </w:r>
      <w:r>
        <w:rPr>
          <w:rFonts w:ascii="Times New Roman" w:hAnsi="Times New Roman" w:cs="Times New Roman"/>
          <w:color w:val="C45911" w:themeColor="accent2" w:themeShade="BF"/>
        </w:rPr>
        <w:t>a</w:t>
      </w:r>
      <w:r w:rsidRPr="00D37ABD">
        <w:rPr>
          <w:rFonts w:ascii="Times New Roman" w:hAnsi="Times New Roman" w:cs="Times New Roman"/>
          <w:color w:val="C45911" w:themeColor="accent2" w:themeShade="BF"/>
        </w:rPr>
        <w:t>dditional national financing</w:t>
      </w:r>
      <w:r w:rsidR="00E84661">
        <w:rPr>
          <w:rFonts w:ascii="Times New Roman" w:hAnsi="Times New Roman" w:cs="Times New Roman"/>
          <w:color w:val="C45911" w:themeColor="accent2" w:themeShade="BF"/>
        </w:rPr>
        <w:t xml:space="preserve"> is provided</w:t>
      </w:r>
      <w:r w:rsidR="000414EA">
        <w:rPr>
          <w:rFonts w:ascii="Times New Roman" w:hAnsi="Times New Roman" w:cs="Times New Roman"/>
          <w:color w:val="C45911" w:themeColor="accent2" w:themeShade="BF"/>
        </w:rPr>
        <w:t xml:space="preserve"> for these interventions</w:t>
      </w:r>
      <w:bookmarkEnd w:id="43"/>
    </w:p>
    <w:p w14:paraId="2DB403E6" w14:textId="0495A265" w:rsidR="00B4106E" w:rsidRPr="00DB3E14" w:rsidRDefault="00DB3E14" w:rsidP="00F72188">
      <w:pPr>
        <w:spacing w:before="120" w:after="0" w:line="264" w:lineRule="auto"/>
        <w:rPr>
          <w:rFonts w:ascii="Times New Roman" w:hAnsi="Times New Roman" w:cs="Times New Roman"/>
          <w:b/>
        </w:rPr>
      </w:pPr>
      <w:r w:rsidRPr="00DB3E14">
        <w:rPr>
          <w:rFonts w:ascii="Times New Roman" w:hAnsi="Times New Roman" w:cs="Times New Roman"/>
          <w:b/>
        </w:rPr>
        <w:t>Assumptions:</w:t>
      </w:r>
    </w:p>
    <w:p w14:paraId="1B33F895" w14:textId="6BCE7583" w:rsidR="00F72188" w:rsidRDefault="00F71BD2" w:rsidP="005F3442">
      <w:pPr>
        <w:pStyle w:val="ListParagraph"/>
        <w:numPr>
          <w:ilvl w:val="0"/>
          <w:numId w:val="33"/>
        </w:numPr>
        <w:spacing w:after="0"/>
        <w:ind w:left="567" w:hanging="283"/>
        <w:contextualSpacing w:val="0"/>
        <w:rPr>
          <w:rFonts w:ascii="Times New Roman" w:hAnsi="Times New Roman" w:cs="Times New Roman"/>
        </w:rPr>
      </w:pPr>
      <w:r>
        <w:rPr>
          <w:rFonts w:ascii="Times New Roman" w:hAnsi="Times New Roman" w:cs="Times New Roman"/>
        </w:rPr>
        <w:t>I</w:t>
      </w:r>
      <w:r w:rsidR="00F72188" w:rsidRPr="00BD0477">
        <w:rPr>
          <w:rFonts w:ascii="Times New Roman" w:hAnsi="Times New Roman" w:cs="Times New Roman"/>
        </w:rPr>
        <w:t>nvestment intervention</w:t>
      </w:r>
      <w:r>
        <w:rPr>
          <w:rFonts w:ascii="Times New Roman" w:hAnsi="Times New Roman" w:cs="Times New Roman"/>
        </w:rPr>
        <w:t xml:space="preserve"> with 2 unit amounts,</w:t>
      </w:r>
      <w:r w:rsidR="005F3442">
        <w:rPr>
          <w:rFonts w:ascii="Times New Roman" w:hAnsi="Times New Roman" w:cs="Times New Roman"/>
        </w:rPr>
        <w:t xml:space="preserve"> </w:t>
      </w:r>
      <w:r w:rsidR="00F72188" w:rsidRPr="00BD0477">
        <w:rPr>
          <w:rFonts w:ascii="Times New Roman" w:hAnsi="Times New Roman" w:cs="Times New Roman"/>
        </w:rPr>
        <w:t xml:space="preserve">paid </w:t>
      </w:r>
      <w:r>
        <w:rPr>
          <w:rFonts w:ascii="Times New Roman" w:hAnsi="Times New Roman" w:cs="Times New Roman"/>
        </w:rPr>
        <w:t xml:space="preserve">per operation, </w:t>
      </w:r>
      <w:r w:rsidR="00380874">
        <w:rPr>
          <w:rFonts w:ascii="Times New Roman" w:hAnsi="Times New Roman" w:cs="Times New Roman"/>
        </w:rPr>
        <w:t xml:space="preserve">some of which are exclusively </w:t>
      </w:r>
      <w:r>
        <w:rPr>
          <w:rFonts w:ascii="Times New Roman" w:hAnsi="Times New Roman" w:cs="Times New Roman"/>
        </w:rPr>
        <w:t>funded with</w:t>
      </w:r>
      <w:r w:rsidR="005F3442">
        <w:rPr>
          <w:rFonts w:ascii="Times New Roman" w:hAnsi="Times New Roman" w:cs="Times New Roman"/>
        </w:rPr>
        <w:t xml:space="preserve"> </w:t>
      </w:r>
      <w:r w:rsidR="005F3442" w:rsidRPr="005F3442">
        <w:rPr>
          <w:rFonts w:ascii="Times New Roman" w:hAnsi="Times New Roman" w:cs="Times New Roman"/>
        </w:rPr>
        <w:t>additio</w:t>
      </w:r>
      <w:r w:rsidR="005F3442">
        <w:rPr>
          <w:rFonts w:ascii="Times New Roman" w:hAnsi="Times New Roman" w:cs="Times New Roman"/>
        </w:rPr>
        <w:t>nal national financing (top-up).</w:t>
      </w:r>
    </w:p>
    <w:p w14:paraId="39400312" w14:textId="2A4F313E" w:rsidR="00124D5C" w:rsidRPr="00BD0477" w:rsidRDefault="00124D5C" w:rsidP="005F3442">
      <w:pPr>
        <w:pStyle w:val="ListParagraph"/>
        <w:numPr>
          <w:ilvl w:val="0"/>
          <w:numId w:val="33"/>
        </w:numPr>
        <w:spacing w:after="0"/>
        <w:ind w:left="567" w:hanging="283"/>
        <w:contextualSpacing w:val="0"/>
        <w:rPr>
          <w:rFonts w:ascii="Times New Roman" w:hAnsi="Times New Roman" w:cs="Times New Roman"/>
        </w:rPr>
      </w:pPr>
      <w:r>
        <w:rPr>
          <w:rFonts w:ascii="Times New Roman" w:hAnsi="Times New Roman" w:cs="Times New Roman"/>
        </w:rPr>
        <w:t xml:space="preserve">Payment </w:t>
      </w:r>
      <w:r w:rsidRPr="00BD0477">
        <w:rPr>
          <w:rFonts w:ascii="Times New Roman" w:hAnsi="Times New Roman" w:cs="Times New Roman"/>
        </w:rPr>
        <w:t>in 3 instalments</w:t>
      </w:r>
      <w:r>
        <w:rPr>
          <w:rFonts w:ascii="Times New Roman" w:hAnsi="Times New Roman" w:cs="Times New Roman"/>
        </w:rPr>
        <w:t>, 35%, 45% and 20%</w:t>
      </w:r>
      <w:r w:rsidR="0098674A">
        <w:rPr>
          <w:rFonts w:ascii="Times New Roman" w:hAnsi="Times New Roman" w:cs="Times New Roman"/>
        </w:rPr>
        <w:t xml:space="preserve"> of the estimated cost paid in</w:t>
      </w:r>
      <w:r w:rsidRPr="00BD0477">
        <w:rPr>
          <w:rFonts w:ascii="Times New Roman" w:hAnsi="Times New Roman" w:cs="Times New Roman"/>
        </w:rPr>
        <w:t xml:space="preserve"> </w:t>
      </w:r>
      <w:r>
        <w:rPr>
          <w:rFonts w:ascii="Times New Roman" w:hAnsi="Times New Roman" w:cs="Times New Roman"/>
        </w:rPr>
        <w:t xml:space="preserve">FY </w:t>
      </w:r>
      <w:r w:rsidRPr="00BD0477">
        <w:rPr>
          <w:rFonts w:ascii="Times New Roman" w:hAnsi="Times New Roman" w:cs="Times New Roman"/>
        </w:rPr>
        <w:t>2024, 2025 and 2026</w:t>
      </w:r>
      <w:r>
        <w:rPr>
          <w:rFonts w:ascii="Times New Roman" w:hAnsi="Times New Roman" w:cs="Times New Roman"/>
        </w:rPr>
        <w:t xml:space="preserve"> respectively</w:t>
      </w:r>
      <w:r w:rsidR="00653876">
        <w:rPr>
          <w:rFonts w:ascii="Times New Roman" w:hAnsi="Times New Roman" w:cs="Times New Roman"/>
        </w:rPr>
        <w:t>.</w:t>
      </w:r>
    </w:p>
    <w:p w14:paraId="66886CF4" w14:textId="77777777" w:rsidR="00F72188" w:rsidRPr="00F72188" w:rsidRDefault="00F72188" w:rsidP="00F72188">
      <w:pPr>
        <w:spacing w:after="0"/>
        <w:rPr>
          <w:rFonts w:ascii="Times New Roman" w:hAnsi="Times New Roman" w:cs="Times New Roman"/>
          <w:b/>
        </w:rPr>
      </w:pPr>
      <w:r w:rsidRPr="00F72188">
        <w:rPr>
          <w:rFonts w:ascii="Times New Roman" w:hAnsi="Times New Roman" w:cs="Times New Roman"/>
          <w:b/>
        </w:rPr>
        <w:t>Planning</w:t>
      </w:r>
    </w:p>
    <w:p w14:paraId="6B0555D7" w14:textId="5E4ECFF9" w:rsidR="00F71BD2" w:rsidRDefault="005504DB" w:rsidP="00F71BD2">
      <w:pPr>
        <w:pStyle w:val="ListParagraph"/>
        <w:numPr>
          <w:ilvl w:val="0"/>
          <w:numId w:val="33"/>
        </w:numPr>
        <w:spacing w:after="0"/>
        <w:ind w:left="568" w:hanging="284"/>
        <w:contextualSpacing w:val="0"/>
        <w:rPr>
          <w:rFonts w:ascii="Times New Roman" w:hAnsi="Times New Roman" w:cs="Times New Roman"/>
        </w:rPr>
      </w:pPr>
      <w:r w:rsidRPr="00BD0477">
        <w:rPr>
          <w:rFonts w:ascii="Times New Roman" w:hAnsi="Times New Roman" w:cs="Times New Roman"/>
        </w:rPr>
        <w:t>O</w:t>
      </w:r>
      <w:r w:rsidR="00E67A8C">
        <w:rPr>
          <w:rFonts w:ascii="Times New Roman" w:hAnsi="Times New Roman" w:cs="Times New Roman"/>
        </w:rPr>
        <w:t>utputs (i.e. operations)</w:t>
      </w:r>
      <w:r w:rsidRPr="00BD0477">
        <w:rPr>
          <w:rFonts w:ascii="Times New Roman" w:hAnsi="Times New Roman" w:cs="Times New Roman"/>
        </w:rPr>
        <w:t xml:space="preserve"> are </w:t>
      </w:r>
      <w:r w:rsidR="00D26588" w:rsidRPr="00BD0477">
        <w:rPr>
          <w:rFonts w:ascii="Times New Roman" w:hAnsi="Times New Roman" w:cs="Times New Roman"/>
        </w:rPr>
        <w:t>planned in full</w:t>
      </w:r>
      <w:r w:rsidR="00DB3E14">
        <w:rPr>
          <w:rFonts w:ascii="Times New Roman" w:hAnsi="Times New Roman" w:cs="Times New Roman"/>
        </w:rPr>
        <w:t xml:space="preserve"> </w:t>
      </w:r>
      <w:r w:rsidR="00D26588" w:rsidRPr="00BD0477">
        <w:rPr>
          <w:rFonts w:ascii="Times New Roman" w:hAnsi="Times New Roman" w:cs="Times New Roman"/>
        </w:rPr>
        <w:t xml:space="preserve">since the </w:t>
      </w:r>
      <w:r w:rsidR="00CC43EB">
        <w:rPr>
          <w:rFonts w:ascii="Times New Roman" w:hAnsi="Times New Roman" w:cs="Times New Roman"/>
        </w:rPr>
        <w:t>FY o</w:t>
      </w:r>
      <w:r w:rsidR="00D26588" w:rsidRPr="00BD0477">
        <w:rPr>
          <w:rFonts w:ascii="Times New Roman" w:hAnsi="Times New Roman" w:cs="Times New Roman"/>
        </w:rPr>
        <w:t>f first payment</w:t>
      </w:r>
      <w:r w:rsidRPr="00BD0477">
        <w:rPr>
          <w:rFonts w:ascii="Times New Roman" w:hAnsi="Times New Roman" w:cs="Times New Roman"/>
        </w:rPr>
        <w:t>, which is</w:t>
      </w:r>
      <w:r w:rsidR="00D26588" w:rsidRPr="00BD0477">
        <w:rPr>
          <w:rFonts w:ascii="Times New Roman" w:hAnsi="Times New Roman" w:cs="Times New Roman"/>
        </w:rPr>
        <w:t xml:space="preserve"> </w:t>
      </w:r>
      <w:r w:rsidR="00F72188">
        <w:rPr>
          <w:rFonts w:ascii="Times New Roman" w:hAnsi="Times New Roman" w:cs="Times New Roman"/>
        </w:rPr>
        <w:t xml:space="preserve">FY </w:t>
      </w:r>
      <w:r w:rsidR="005F3442">
        <w:rPr>
          <w:rFonts w:ascii="Times New Roman" w:hAnsi="Times New Roman" w:cs="Times New Roman"/>
        </w:rPr>
        <w:t>2024</w:t>
      </w:r>
      <w:r w:rsidR="00F71BD2">
        <w:rPr>
          <w:rFonts w:ascii="Times New Roman" w:hAnsi="Times New Roman" w:cs="Times New Roman"/>
        </w:rPr>
        <w:t xml:space="preserve"> in this example, and include the outputs </w:t>
      </w:r>
      <w:r w:rsidR="00F71BD2" w:rsidRPr="00BD0477">
        <w:rPr>
          <w:rFonts w:ascii="Times New Roman" w:hAnsi="Times New Roman" w:cs="Times New Roman"/>
        </w:rPr>
        <w:t xml:space="preserve">exclusively generated by </w:t>
      </w:r>
      <w:r w:rsidR="00F71BD2">
        <w:rPr>
          <w:rFonts w:ascii="Times New Roman" w:hAnsi="Times New Roman" w:cs="Times New Roman"/>
        </w:rPr>
        <w:t>top-ups</w:t>
      </w:r>
      <w:r w:rsidR="005F3442">
        <w:rPr>
          <w:rFonts w:ascii="Times New Roman" w:hAnsi="Times New Roman" w:cs="Times New Roman"/>
        </w:rPr>
        <w:t xml:space="preserve">. </w:t>
      </w:r>
    </w:p>
    <w:p w14:paraId="05C3292C" w14:textId="15C73862" w:rsidR="00B4106E" w:rsidRPr="00BD0477" w:rsidRDefault="005F3442" w:rsidP="00653876">
      <w:pPr>
        <w:pStyle w:val="ListParagraph"/>
        <w:numPr>
          <w:ilvl w:val="0"/>
          <w:numId w:val="33"/>
        </w:numPr>
        <w:spacing w:after="0"/>
        <w:ind w:left="568" w:hanging="284"/>
        <w:contextualSpacing w:val="0"/>
        <w:rPr>
          <w:rFonts w:ascii="Times New Roman" w:hAnsi="Times New Roman" w:cs="Times New Roman"/>
        </w:rPr>
      </w:pPr>
      <w:r>
        <w:rPr>
          <w:rFonts w:ascii="Times New Roman" w:hAnsi="Times New Roman" w:cs="Times New Roman"/>
        </w:rPr>
        <w:t>The total number of pl</w:t>
      </w:r>
      <w:r w:rsidR="005504DB" w:rsidRPr="00BD0477">
        <w:rPr>
          <w:rFonts w:ascii="Times New Roman" w:hAnsi="Times New Roman" w:cs="Times New Roman"/>
        </w:rPr>
        <w:t xml:space="preserve">anned </w:t>
      </w:r>
      <w:r w:rsidR="00B4106E" w:rsidRPr="00BD0477">
        <w:rPr>
          <w:rFonts w:ascii="Times New Roman" w:hAnsi="Times New Roman" w:cs="Times New Roman"/>
        </w:rPr>
        <w:t>outputs</w:t>
      </w:r>
      <w:r>
        <w:rPr>
          <w:rFonts w:ascii="Times New Roman" w:hAnsi="Times New Roman" w:cs="Times New Roman"/>
        </w:rPr>
        <w:t xml:space="preserve"> for this in</w:t>
      </w:r>
      <w:r w:rsidR="00CC43EB">
        <w:rPr>
          <w:rFonts w:ascii="Times New Roman" w:hAnsi="Times New Roman" w:cs="Times New Roman"/>
        </w:rPr>
        <w:t>tervention</w:t>
      </w:r>
      <w:r w:rsidR="00B4106E" w:rsidRPr="00BD0477">
        <w:rPr>
          <w:rFonts w:ascii="Times New Roman" w:hAnsi="Times New Roman" w:cs="Times New Roman"/>
        </w:rPr>
        <w:t xml:space="preserve"> </w:t>
      </w:r>
      <w:r>
        <w:rPr>
          <w:rFonts w:ascii="Times New Roman" w:hAnsi="Times New Roman" w:cs="Times New Roman"/>
        </w:rPr>
        <w:t>is</w:t>
      </w:r>
      <w:r w:rsidR="00DB3E14">
        <w:rPr>
          <w:rFonts w:ascii="Times New Roman" w:hAnsi="Times New Roman" w:cs="Times New Roman"/>
        </w:rPr>
        <w:t xml:space="preserve"> 255 operations</w:t>
      </w:r>
      <w:r w:rsidR="00124D5C">
        <w:rPr>
          <w:rFonts w:ascii="Times New Roman" w:hAnsi="Times New Roman" w:cs="Times New Roman"/>
        </w:rPr>
        <w:t>, 190 for unit amount 1 and 65 for unit amount 2</w:t>
      </w:r>
      <w:r w:rsidR="00F71BD2">
        <w:rPr>
          <w:rFonts w:ascii="Times New Roman" w:hAnsi="Times New Roman" w:cs="Times New Roman"/>
        </w:rPr>
        <w:t xml:space="preserve">, out of which </w:t>
      </w:r>
      <w:r w:rsidR="007B7715" w:rsidRPr="0078537F">
        <w:rPr>
          <w:rFonts w:ascii="Times New Roman" w:hAnsi="Times New Roman" w:cs="Times New Roman"/>
        </w:rPr>
        <w:t>55</w:t>
      </w:r>
      <w:r w:rsidR="007B7715">
        <w:rPr>
          <w:rFonts w:ascii="Times New Roman" w:hAnsi="Times New Roman" w:cs="Times New Roman"/>
        </w:rPr>
        <w:t xml:space="preserve"> </w:t>
      </w:r>
      <w:r w:rsidR="00F71BD2">
        <w:rPr>
          <w:rFonts w:ascii="Times New Roman" w:hAnsi="Times New Roman" w:cs="Times New Roman"/>
        </w:rPr>
        <w:t>are generated by top-ups</w:t>
      </w:r>
      <w:r w:rsidR="00C90985">
        <w:rPr>
          <w:rFonts w:ascii="Times New Roman" w:hAnsi="Times New Roman" w:cs="Times New Roman"/>
        </w:rPr>
        <w:t xml:space="preserve"> (40 for unit amount 1 and 15 for unit amount 2)</w:t>
      </w:r>
      <w:r w:rsidR="00BE6441">
        <w:rPr>
          <w:rFonts w:ascii="Times New Roman" w:hAnsi="Times New Roman" w:cs="Times New Roman"/>
        </w:rPr>
        <w:t>.</w:t>
      </w:r>
      <w:r w:rsidR="00124D5C">
        <w:rPr>
          <w:rFonts w:ascii="Times New Roman" w:hAnsi="Times New Roman" w:cs="Times New Roman"/>
        </w:rPr>
        <w:t xml:space="preserve"> </w:t>
      </w:r>
    </w:p>
    <w:p w14:paraId="45E936E2" w14:textId="446B3A23" w:rsidR="005504DB" w:rsidRPr="00BD0477" w:rsidRDefault="00BD0477" w:rsidP="00BD0477">
      <w:pPr>
        <w:spacing w:after="0"/>
        <w:rPr>
          <w:rFonts w:ascii="Times New Roman" w:hAnsi="Times New Roman" w:cs="Times New Roman"/>
          <w:b/>
        </w:rPr>
      </w:pPr>
      <w:r>
        <w:rPr>
          <w:rFonts w:ascii="Times New Roman" w:hAnsi="Times New Roman" w:cs="Times New Roman"/>
          <w:b/>
        </w:rPr>
        <w:t>Reporting</w:t>
      </w:r>
    </w:p>
    <w:p w14:paraId="67ABEF88" w14:textId="16CACB44" w:rsidR="00C90985" w:rsidRDefault="00C90985" w:rsidP="00BE6441">
      <w:pPr>
        <w:pStyle w:val="ListParagraph"/>
        <w:numPr>
          <w:ilvl w:val="0"/>
          <w:numId w:val="35"/>
        </w:numPr>
        <w:spacing w:after="0"/>
        <w:ind w:left="567" w:hanging="283"/>
        <w:rPr>
          <w:rFonts w:ascii="Times New Roman" w:hAnsi="Times New Roman" w:cs="Times New Roman"/>
        </w:rPr>
      </w:pPr>
      <w:r>
        <w:rPr>
          <w:rFonts w:ascii="Times New Roman" w:hAnsi="Times New Roman" w:cs="Times New Roman"/>
        </w:rPr>
        <w:t>It is assumed that the execution follows exactly the planning and that there are 255 beneficiaries</w:t>
      </w:r>
      <w:r w:rsidR="005B1AFC">
        <w:rPr>
          <w:rFonts w:ascii="Times New Roman" w:hAnsi="Times New Roman" w:cs="Times New Roman"/>
        </w:rPr>
        <w:t xml:space="preserve"> (i.e. 1 operation per 1 beneficiary)</w:t>
      </w:r>
      <w:r>
        <w:rPr>
          <w:rFonts w:ascii="Times New Roman" w:hAnsi="Times New Roman" w:cs="Times New Roman"/>
        </w:rPr>
        <w:t>.</w:t>
      </w:r>
    </w:p>
    <w:p w14:paraId="4A969C11" w14:textId="5DB79A6B" w:rsidR="00BE6441" w:rsidRPr="00BE6441" w:rsidRDefault="00124D5C" w:rsidP="00BE6441">
      <w:pPr>
        <w:pStyle w:val="ListParagraph"/>
        <w:numPr>
          <w:ilvl w:val="0"/>
          <w:numId w:val="35"/>
        </w:numPr>
        <w:spacing w:after="0"/>
        <w:ind w:left="567" w:hanging="283"/>
        <w:rPr>
          <w:rFonts w:ascii="Times New Roman" w:hAnsi="Times New Roman" w:cs="Times New Roman"/>
        </w:rPr>
      </w:pPr>
      <w:r>
        <w:rPr>
          <w:rFonts w:ascii="Times New Roman" w:hAnsi="Times New Roman" w:cs="Times New Roman"/>
        </w:rPr>
        <w:t>The 200</w:t>
      </w:r>
      <w:r w:rsidRPr="00BD0477">
        <w:rPr>
          <w:rFonts w:ascii="Times New Roman" w:hAnsi="Times New Roman" w:cs="Times New Roman"/>
        </w:rPr>
        <w:t xml:space="preserve"> </w:t>
      </w:r>
      <w:r w:rsidR="005504DB" w:rsidRPr="00BD0477">
        <w:rPr>
          <w:rFonts w:ascii="Times New Roman" w:hAnsi="Times New Roman" w:cs="Times New Roman"/>
        </w:rPr>
        <w:t>outputs</w:t>
      </w:r>
      <w:r w:rsidR="00532676">
        <w:rPr>
          <w:rFonts w:ascii="Times New Roman" w:hAnsi="Times New Roman" w:cs="Times New Roman"/>
        </w:rPr>
        <w:t xml:space="preserve"> </w:t>
      </w:r>
      <w:r w:rsidR="00BE6441">
        <w:rPr>
          <w:rFonts w:ascii="Times New Roman" w:hAnsi="Times New Roman" w:cs="Times New Roman"/>
        </w:rPr>
        <w:t>other than those</w:t>
      </w:r>
      <w:r w:rsidR="00532676">
        <w:rPr>
          <w:rFonts w:ascii="Times New Roman" w:hAnsi="Times New Roman" w:cs="Times New Roman"/>
        </w:rPr>
        <w:t xml:space="preserve"> </w:t>
      </w:r>
      <w:r w:rsidR="00532676" w:rsidRPr="00532676">
        <w:rPr>
          <w:rFonts w:ascii="Times New Roman" w:hAnsi="Times New Roman" w:cs="Times New Roman"/>
        </w:rPr>
        <w:t>exclusively generated by top-up</w:t>
      </w:r>
      <w:r w:rsidR="005504DB" w:rsidRPr="00BD0477">
        <w:rPr>
          <w:rFonts w:ascii="Times New Roman" w:hAnsi="Times New Roman" w:cs="Times New Roman"/>
        </w:rPr>
        <w:t xml:space="preserve"> are reported </w:t>
      </w:r>
      <w:r>
        <w:rPr>
          <w:rFonts w:ascii="Times New Roman" w:hAnsi="Times New Roman" w:cs="Times New Roman"/>
        </w:rPr>
        <w:t xml:space="preserve">as partial outputs </w:t>
      </w:r>
      <w:r w:rsidR="005504DB" w:rsidRPr="00CC43EB">
        <w:rPr>
          <w:rFonts w:ascii="Times New Roman" w:hAnsi="Times New Roman" w:cs="Times New Roman"/>
          <w:b/>
        </w:rPr>
        <w:t>per intervention unit amount</w:t>
      </w:r>
      <w:r w:rsidR="003B5B25">
        <w:rPr>
          <w:rFonts w:ascii="Times New Roman" w:hAnsi="Times New Roman" w:cs="Times New Roman"/>
        </w:rPr>
        <w:t xml:space="preserve"> in each FY</w:t>
      </w:r>
      <w:r w:rsidR="00BE6441">
        <w:rPr>
          <w:rFonts w:ascii="Times New Roman" w:hAnsi="Times New Roman" w:cs="Times New Roman"/>
        </w:rPr>
        <w:t>:</w:t>
      </w:r>
    </w:p>
    <w:p w14:paraId="7794694E" w14:textId="575332F8" w:rsidR="00FE021E" w:rsidRDefault="00124D5C" w:rsidP="00BE6441">
      <w:pPr>
        <w:pStyle w:val="ListParagraph"/>
        <w:numPr>
          <w:ilvl w:val="0"/>
          <w:numId w:val="36"/>
        </w:numPr>
        <w:spacing w:after="0"/>
        <w:rPr>
          <w:rFonts w:ascii="Times New Roman" w:hAnsi="Times New Roman" w:cs="Times New Roman"/>
        </w:rPr>
      </w:pPr>
      <w:r>
        <w:rPr>
          <w:rFonts w:ascii="Times New Roman" w:hAnsi="Times New Roman" w:cs="Times New Roman"/>
          <w:b/>
        </w:rPr>
        <w:t xml:space="preserve">FY 2024: </w:t>
      </w:r>
      <w:r w:rsidR="0078537F">
        <w:rPr>
          <w:rFonts w:ascii="Times New Roman" w:hAnsi="Times New Roman" w:cs="Times New Roman"/>
        </w:rPr>
        <w:t>0.35*200=70</w:t>
      </w:r>
    </w:p>
    <w:p w14:paraId="28DD10E1" w14:textId="75E33778" w:rsidR="00FE021E" w:rsidRPr="00FE021E" w:rsidRDefault="00124D5C" w:rsidP="00BE6441">
      <w:pPr>
        <w:pStyle w:val="ListParagraph"/>
        <w:numPr>
          <w:ilvl w:val="0"/>
          <w:numId w:val="36"/>
        </w:numPr>
        <w:spacing w:after="0"/>
        <w:rPr>
          <w:rFonts w:ascii="Times New Roman" w:hAnsi="Times New Roman" w:cs="Times New Roman"/>
        </w:rPr>
      </w:pPr>
      <w:r>
        <w:rPr>
          <w:rFonts w:ascii="Times New Roman" w:hAnsi="Times New Roman" w:cs="Times New Roman"/>
          <w:b/>
        </w:rPr>
        <w:t xml:space="preserve">FY 2025: </w:t>
      </w:r>
      <w:r w:rsidR="0078537F">
        <w:rPr>
          <w:rFonts w:ascii="Times New Roman" w:hAnsi="Times New Roman" w:cs="Times New Roman"/>
        </w:rPr>
        <w:t>0.45*</w:t>
      </w:r>
      <w:r w:rsidR="0078537F" w:rsidRPr="00FE021E">
        <w:rPr>
          <w:rFonts w:ascii="Times New Roman" w:hAnsi="Times New Roman" w:cs="Times New Roman"/>
        </w:rPr>
        <w:t>200</w:t>
      </w:r>
      <w:r w:rsidR="0078537F">
        <w:rPr>
          <w:rFonts w:ascii="Times New Roman" w:hAnsi="Times New Roman" w:cs="Times New Roman"/>
        </w:rPr>
        <w:t>=90</w:t>
      </w:r>
    </w:p>
    <w:p w14:paraId="2F2894D9" w14:textId="5591A390" w:rsidR="00EF46EC" w:rsidRDefault="00124D5C" w:rsidP="00BE6441">
      <w:pPr>
        <w:pStyle w:val="ListParagraph"/>
        <w:numPr>
          <w:ilvl w:val="0"/>
          <w:numId w:val="36"/>
        </w:numPr>
        <w:spacing w:after="0"/>
        <w:rPr>
          <w:rFonts w:ascii="Times New Roman" w:hAnsi="Times New Roman" w:cs="Times New Roman"/>
        </w:rPr>
      </w:pPr>
      <w:r>
        <w:rPr>
          <w:rFonts w:ascii="Times New Roman" w:hAnsi="Times New Roman" w:cs="Times New Roman"/>
          <w:b/>
        </w:rPr>
        <w:t xml:space="preserve">FY 2026: </w:t>
      </w:r>
      <w:r w:rsidRPr="00653876">
        <w:rPr>
          <w:rFonts w:ascii="Times New Roman" w:hAnsi="Times New Roman" w:cs="Times New Roman"/>
        </w:rPr>
        <w:t>balance payment</w:t>
      </w:r>
      <w:r>
        <w:rPr>
          <w:rFonts w:ascii="Times New Roman" w:hAnsi="Times New Roman" w:cs="Times New Roman"/>
          <w:b/>
        </w:rPr>
        <w:t xml:space="preserve"> </w:t>
      </w:r>
      <w:r w:rsidR="00AA3ACE">
        <w:rPr>
          <w:rFonts w:ascii="Times New Roman" w:hAnsi="Times New Roman" w:cs="Times New Roman"/>
        </w:rPr>
        <w:t>(</w:t>
      </w:r>
      <w:r w:rsidR="000E74D5" w:rsidRPr="00FE021E">
        <w:rPr>
          <w:rFonts w:ascii="Times New Roman" w:hAnsi="Times New Roman" w:cs="Times New Roman"/>
        </w:rPr>
        <w:t>1 – 0.35 –</w:t>
      </w:r>
      <w:r w:rsidR="00F72188">
        <w:rPr>
          <w:rFonts w:ascii="Times New Roman" w:hAnsi="Times New Roman" w:cs="Times New Roman"/>
        </w:rPr>
        <w:t xml:space="preserve"> 0.45</w:t>
      </w:r>
      <w:r w:rsidR="00CC43EB">
        <w:rPr>
          <w:rFonts w:ascii="Times New Roman" w:hAnsi="Times New Roman" w:cs="Times New Roman"/>
        </w:rPr>
        <w:t>)</w:t>
      </w:r>
      <w:r>
        <w:rPr>
          <w:rStyle w:val="FootnoteReference"/>
          <w:rFonts w:ascii="Times New Roman" w:hAnsi="Times New Roman" w:cs="Times New Roman"/>
        </w:rPr>
        <w:footnoteReference w:id="9"/>
      </w:r>
      <w:r w:rsidR="005C20D2">
        <w:rPr>
          <w:rFonts w:ascii="Times New Roman" w:hAnsi="Times New Roman" w:cs="Times New Roman"/>
        </w:rPr>
        <w:t>*200=40</w:t>
      </w:r>
    </w:p>
    <w:p w14:paraId="6445D141" w14:textId="4C89D00C" w:rsidR="005C20D2" w:rsidRPr="00BD0477" w:rsidRDefault="005C20D2" w:rsidP="005C20D2">
      <w:pPr>
        <w:pStyle w:val="ListParagraph"/>
        <w:numPr>
          <w:ilvl w:val="0"/>
          <w:numId w:val="35"/>
        </w:numPr>
        <w:spacing w:after="0"/>
        <w:ind w:left="567" w:hanging="283"/>
        <w:rPr>
          <w:rFonts w:ascii="Times New Roman" w:hAnsi="Times New Roman" w:cs="Times New Roman"/>
        </w:rPr>
      </w:pPr>
      <w:r w:rsidRPr="00BD0477">
        <w:rPr>
          <w:rFonts w:ascii="Times New Roman" w:hAnsi="Times New Roman" w:cs="Times New Roman"/>
        </w:rPr>
        <w:t>Partial outputs exclusively generated by top-up</w:t>
      </w:r>
      <w:r w:rsidR="00653876">
        <w:rPr>
          <w:rFonts w:ascii="Times New Roman" w:hAnsi="Times New Roman" w:cs="Times New Roman"/>
        </w:rPr>
        <w:t>s</w:t>
      </w:r>
      <w:r w:rsidRPr="00BD0477">
        <w:rPr>
          <w:rFonts w:ascii="Times New Roman" w:hAnsi="Times New Roman" w:cs="Times New Roman"/>
        </w:rPr>
        <w:t xml:space="preserve"> are reported separately</w:t>
      </w:r>
      <w:r>
        <w:rPr>
          <w:rFonts w:ascii="Times New Roman" w:hAnsi="Times New Roman" w:cs="Times New Roman"/>
        </w:rPr>
        <w:t xml:space="preserve"> </w:t>
      </w:r>
      <w:r w:rsidRPr="00CC43EB">
        <w:rPr>
          <w:rFonts w:ascii="Times New Roman" w:hAnsi="Times New Roman" w:cs="Times New Roman"/>
          <w:b/>
        </w:rPr>
        <w:t>per intervention</w:t>
      </w:r>
      <w:r>
        <w:rPr>
          <w:rFonts w:ascii="Times New Roman" w:hAnsi="Times New Roman" w:cs="Times New Roman"/>
        </w:rPr>
        <w:t xml:space="preserve"> in each FY</w:t>
      </w:r>
      <w:r w:rsidR="00E379DD">
        <w:rPr>
          <w:rFonts w:ascii="Times New Roman" w:hAnsi="Times New Roman" w:cs="Times New Roman"/>
        </w:rPr>
        <w:t xml:space="preserve">. These partial outputs are 15, 10 and 30 in </w:t>
      </w:r>
      <w:r w:rsidR="00124D5C">
        <w:rPr>
          <w:rFonts w:ascii="Times New Roman" w:hAnsi="Times New Roman" w:cs="Times New Roman"/>
        </w:rPr>
        <w:t xml:space="preserve">FY </w:t>
      </w:r>
      <w:r w:rsidR="00E379DD">
        <w:rPr>
          <w:rFonts w:ascii="Times New Roman" w:hAnsi="Times New Roman" w:cs="Times New Roman"/>
        </w:rPr>
        <w:t>2024, 2025 and 2026 respectively</w:t>
      </w:r>
      <w:r w:rsidR="00570529">
        <w:rPr>
          <w:rFonts w:ascii="Times New Roman" w:hAnsi="Times New Roman" w:cs="Times New Roman"/>
        </w:rPr>
        <w:t xml:space="preserve"> (55 in total)</w:t>
      </w:r>
      <w:r w:rsidR="00E379DD">
        <w:rPr>
          <w:rFonts w:ascii="Times New Roman" w:hAnsi="Times New Roman" w:cs="Times New Roman"/>
        </w:rPr>
        <w:t>.</w:t>
      </w:r>
    </w:p>
    <w:p w14:paraId="79CFEA4C" w14:textId="77758438" w:rsidR="00183B28" w:rsidRPr="008B59E1" w:rsidRDefault="0022118A" w:rsidP="0022118A">
      <w:pPr>
        <w:pStyle w:val="ListParagraph"/>
        <w:numPr>
          <w:ilvl w:val="0"/>
          <w:numId w:val="35"/>
        </w:numPr>
        <w:spacing w:after="0"/>
        <w:ind w:left="567" w:hanging="283"/>
        <w:rPr>
          <w:rFonts w:ascii="Times New Roman" w:hAnsi="Times New Roman" w:cs="Times New Roman"/>
          <w:b/>
        </w:rPr>
      </w:pPr>
      <w:r w:rsidRPr="0022118A">
        <w:rPr>
          <w:rFonts w:ascii="Times New Roman" w:hAnsi="Times New Roman" w:cs="Times New Roman"/>
          <w:b/>
        </w:rPr>
        <w:t>O.3 Number of CAP support beneficiaries</w:t>
      </w:r>
      <w:r w:rsidRPr="0022118A">
        <w:rPr>
          <w:rFonts w:ascii="Times New Roman" w:hAnsi="Times New Roman" w:cs="Times New Roman"/>
        </w:rPr>
        <w:t xml:space="preserve">: </w:t>
      </w:r>
      <w:r>
        <w:rPr>
          <w:rFonts w:ascii="Times New Roman" w:hAnsi="Times New Roman" w:cs="Times New Roman"/>
        </w:rPr>
        <w:t>u</w:t>
      </w:r>
      <w:r w:rsidR="00EF46EC" w:rsidRPr="001510FE">
        <w:rPr>
          <w:rFonts w:ascii="Times New Roman" w:hAnsi="Times New Roman" w:cs="Times New Roman"/>
        </w:rPr>
        <w:t>nlike the outputs</w:t>
      </w:r>
      <w:r w:rsidR="001510FE">
        <w:rPr>
          <w:rFonts w:ascii="Times New Roman" w:hAnsi="Times New Roman" w:cs="Times New Roman"/>
        </w:rPr>
        <w:t xml:space="preserve"> of intervention</w:t>
      </w:r>
      <w:r w:rsidR="00CC43EB">
        <w:rPr>
          <w:rFonts w:ascii="Times New Roman" w:hAnsi="Times New Roman" w:cs="Times New Roman"/>
        </w:rPr>
        <w:t>s</w:t>
      </w:r>
      <w:r w:rsidR="00EF46EC" w:rsidRPr="001510FE">
        <w:rPr>
          <w:rFonts w:ascii="Times New Roman" w:hAnsi="Times New Roman" w:cs="Times New Roman"/>
        </w:rPr>
        <w:t xml:space="preserve">, </w:t>
      </w:r>
      <w:r w:rsidR="001510FE">
        <w:rPr>
          <w:rFonts w:ascii="Times New Roman" w:hAnsi="Times New Roman" w:cs="Times New Roman"/>
        </w:rPr>
        <w:t xml:space="preserve">which are totals per intervention unit amount </w:t>
      </w:r>
      <w:r w:rsidR="00A22F8C">
        <w:rPr>
          <w:rFonts w:ascii="Times New Roman" w:hAnsi="Times New Roman" w:cs="Times New Roman"/>
        </w:rPr>
        <w:t>(</w:t>
      </w:r>
      <w:r w:rsidR="00CC43EB">
        <w:rPr>
          <w:rFonts w:ascii="Times New Roman" w:hAnsi="Times New Roman" w:cs="Times New Roman"/>
        </w:rPr>
        <w:t>or</w:t>
      </w:r>
      <w:r w:rsidR="001510FE">
        <w:rPr>
          <w:rFonts w:ascii="Times New Roman" w:hAnsi="Times New Roman" w:cs="Times New Roman"/>
        </w:rPr>
        <w:t xml:space="preserve"> </w:t>
      </w:r>
      <w:r w:rsidR="00DB3E14">
        <w:rPr>
          <w:rFonts w:ascii="Times New Roman" w:hAnsi="Times New Roman" w:cs="Times New Roman"/>
        </w:rPr>
        <w:t>for</w:t>
      </w:r>
      <w:r w:rsidR="001510FE">
        <w:rPr>
          <w:rFonts w:ascii="Times New Roman" w:hAnsi="Times New Roman" w:cs="Times New Roman"/>
        </w:rPr>
        <w:t xml:space="preserve"> the intervention as a whole</w:t>
      </w:r>
      <w:r w:rsidR="00C90985">
        <w:rPr>
          <w:rFonts w:ascii="Times New Roman" w:hAnsi="Times New Roman" w:cs="Times New Roman"/>
        </w:rPr>
        <w:t>)</w:t>
      </w:r>
      <w:r w:rsidR="001510FE">
        <w:rPr>
          <w:rFonts w:ascii="Times New Roman" w:hAnsi="Times New Roman" w:cs="Times New Roman"/>
        </w:rPr>
        <w:t xml:space="preserve">, </w:t>
      </w:r>
      <w:r w:rsidR="00EF46EC" w:rsidRPr="0022118A">
        <w:rPr>
          <w:rFonts w:ascii="Times New Roman" w:hAnsi="Times New Roman" w:cs="Times New Roman"/>
        </w:rPr>
        <w:t>O.3</w:t>
      </w:r>
      <w:r w:rsidR="00EF46EC" w:rsidRPr="0022118A">
        <w:rPr>
          <w:rFonts w:ascii="Times New Roman" w:hAnsi="Times New Roman" w:cs="Times New Roman"/>
          <w:b/>
        </w:rPr>
        <w:t xml:space="preserve"> </w:t>
      </w:r>
      <w:r w:rsidR="00EF46EC" w:rsidRPr="001510FE">
        <w:rPr>
          <w:rFonts w:ascii="Times New Roman" w:hAnsi="Times New Roman" w:cs="Times New Roman"/>
        </w:rPr>
        <w:t xml:space="preserve">is an </w:t>
      </w:r>
      <w:r w:rsidR="00EF46EC" w:rsidRPr="00CC43EB">
        <w:rPr>
          <w:rFonts w:ascii="Times New Roman" w:hAnsi="Times New Roman" w:cs="Times New Roman"/>
          <w:b/>
        </w:rPr>
        <w:t xml:space="preserve">aggregate </w:t>
      </w:r>
      <w:r w:rsidR="00EF46EC" w:rsidRPr="001510FE">
        <w:rPr>
          <w:rFonts w:ascii="Times New Roman" w:hAnsi="Times New Roman" w:cs="Times New Roman"/>
        </w:rPr>
        <w:t xml:space="preserve">(i.e. without double counting) </w:t>
      </w:r>
      <w:r w:rsidR="00C90985">
        <w:rPr>
          <w:rFonts w:ascii="Times New Roman" w:hAnsi="Times New Roman" w:cs="Times New Roman"/>
        </w:rPr>
        <w:t xml:space="preserve">at intervention level </w:t>
      </w:r>
      <w:r w:rsidR="00EF46EC" w:rsidRPr="001510FE">
        <w:rPr>
          <w:rFonts w:ascii="Times New Roman" w:hAnsi="Times New Roman" w:cs="Times New Roman"/>
        </w:rPr>
        <w:t xml:space="preserve">for which beneficiaries of non-IACS interventions are counted </w:t>
      </w:r>
      <w:r w:rsidR="00EF46EC" w:rsidRPr="00DB3E14">
        <w:rPr>
          <w:rFonts w:ascii="Times New Roman" w:hAnsi="Times New Roman" w:cs="Times New Roman"/>
          <w:b/>
        </w:rPr>
        <w:t>in full</w:t>
      </w:r>
      <w:r w:rsidR="00EF46EC" w:rsidRPr="001510FE">
        <w:rPr>
          <w:rFonts w:ascii="Times New Roman" w:hAnsi="Times New Roman" w:cs="Times New Roman"/>
        </w:rPr>
        <w:t xml:space="preserve"> since the </w:t>
      </w:r>
      <w:r w:rsidR="00CC43EB">
        <w:rPr>
          <w:rFonts w:ascii="Times New Roman" w:hAnsi="Times New Roman" w:cs="Times New Roman"/>
        </w:rPr>
        <w:t xml:space="preserve">FY of </w:t>
      </w:r>
      <w:r w:rsidR="00EF46EC" w:rsidRPr="001510FE">
        <w:rPr>
          <w:rFonts w:ascii="Times New Roman" w:hAnsi="Times New Roman" w:cs="Times New Roman"/>
        </w:rPr>
        <w:t xml:space="preserve">first payment. </w:t>
      </w:r>
      <w:r w:rsidR="00C90985">
        <w:rPr>
          <w:rFonts w:ascii="Times New Roman" w:hAnsi="Times New Roman" w:cs="Times New Roman"/>
        </w:rPr>
        <w:t>Thus 255 is reported each financial year</w:t>
      </w:r>
      <w:r w:rsidR="001510FE">
        <w:rPr>
          <w:rFonts w:ascii="Times New Roman" w:hAnsi="Times New Roman" w:cs="Times New Roman"/>
        </w:rPr>
        <w:t>.</w:t>
      </w:r>
    </w:p>
    <w:p w14:paraId="725E5F23" w14:textId="7456507D" w:rsidR="008B59E1" w:rsidRDefault="008B59E1" w:rsidP="008B59E1">
      <w:pPr>
        <w:spacing w:after="0"/>
        <w:rPr>
          <w:rFonts w:ascii="Times New Roman" w:hAnsi="Times New Roman" w:cs="Times New Roman"/>
          <w:b/>
        </w:rPr>
      </w:pPr>
    </w:p>
    <w:p w14:paraId="2E5AD2BB" w14:textId="7D2BBCB9" w:rsidR="008B59E1" w:rsidRDefault="008B59E1" w:rsidP="008B59E1">
      <w:pPr>
        <w:spacing w:after="0"/>
        <w:rPr>
          <w:rFonts w:ascii="Times New Roman" w:hAnsi="Times New Roman" w:cs="Times New Roman"/>
          <w:b/>
        </w:rPr>
      </w:pPr>
    </w:p>
    <w:p w14:paraId="11F40CD5" w14:textId="77777777" w:rsidR="008B59E1" w:rsidRPr="008B59E1" w:rsidRDefault="008B59E1" w:rsidP="008B59E1">
      <w:pPr>
        <w:spacing w:after="0"/>
        <w:rPr>
          <w:rFonts w:ascii="Times New Roman" w:hAnsi="Times New Roman" w:cs="Times New Roman"/>
          <w:b/>
        </w:rPr>
      </w:pPr>
    </w:p>
    <w:p w14:paraId="3EBB2127" w14:textId="00DBCF6F" w:rsidR="00F72188" w:rsidRDefault="00F72188" w:rsidP="00F72188">
      <w:pPr>
        <w:spacing w:after="0"/>
        <w:rPr>
          <w:rFonts w:ascii="Times New Roman" w:hAnsi="Times New Roman" w:cs="Times New Roman"/>
          <w:b/>
        </w:rPr>
      </w:pPr>
    </w:p>
    <w:tbl>
      <w:tblPr>
        <w:tblW w:w="0" w:type="auto"/>
        <w:tblLook w:val="0600" w:firstRow="0" w:lastRow="0" w:firstColumn="0" w:lastColumn="0" w:noHBand="1" w:noVBand="1"/>
      </w:tblPr>
      <w:tblGrid>
        <w:gridCol w:w="4858"/>
        <w:gridCol w:w="2425"/>
        <w:gridCol w:w="1995"/>
        <w:gridCol w:w="1188"/>
        <w:gridCol w:w="892"/>
      </w:tblGrid>
      <w:tr w:rsidR="00F72188" w:rsidRPr="00F72188" w14:paraId="3AB15D79" w14:textId="77777777" w:rsidTr="00F71BD2">
        <w:trPr>
          <w:trHeight w:val="260"/>
        </w:trPr>
        <w:tc>
          <w:tcPr>
            <w:tcW w:w="0" w:type="auto"/>
            <w:tcBorders>
              <w:top w:val="single" w:sz="4" w:space="0" w:color="000000"/>
              <w:left w:val="single" w:sz="4" w:space="0" w:color="000000"/>
              <w:bottom w:val="single" w:sz="4" w:space="0" w:color="000000"/>
              <w:right w:val="nil"/>
            </w:tcBorders>
            <w:shd w:val="clear" w:color="000000" w:fill="E7E6E6"/>
            <w:vAlign w:val="center"/>
            <w:hideMark/>
          </w:tcPr>
          <w:p w14:paraId="2157D30F" w14:textId="77777777" w:rsidR="00F72188" w:rsidRPr="00F72188" w:rsidRDefault="00F72188" w:rsidP="00F71BD2">
            <w:pPr>
              <w:spacing w:after="0" w:line="240" w:lineRule="auto"/>
              <w:jc w:val="center"/>
              <w:rPr>
                <w:rFonts w:ascii="Calibri" w:eastAsia="Times New Roman" w:hAnsi="Calibri" w:cs="Calibri"/>
                <w:b/>
                <w:bCs/>
                <w:color w:val="000000"/>
                <w:sz w:val="20"/>
                <w:szCs w:val="20"/>
                <w:lang w:val="en-US"/>
              </w:rPr>
            </w:pPr>
            <w:r w:rsidRPr="00F72188">
              <w:rPr>
                <w:rFonts w:ascii="Calibri" w:eastAsia="Times New Roman" w:hAnsi="Calibri" w:cs="Calibri"/>
                <w:b/>
                <w:bCs/>
                <w:color w:val="000000"/>
                <w:sz w:val="20"/>
                <w:szCs w:val="20"/>
                <w:lang w:val="en-US"/>
              </w:rPr>
              <w:lastRenderedPageBreak/>
              <w:t>O.20 On-farm investment operations</w:t>
            </w:r>
          </w:p>
        </w:tc>
        <w:tc>
          <w:tcPr>
            <w:tcW w:w="0" w:type="auto"/>
            <w:tcBorders>
              <w:top w:val="single" w:sz="4" w:space="0" w:color="000000"/>
              <w:left w:val="nil"/>
              <w:bottom w:val="single" w:sz="4" w:space="0" w:color="000000"/>
              <w:right w:val="nil"/>
            </w:tcBorders>
            <w:shd w:val="clear" w:color="000000" w:fill="E7E6E6"/>
            <w:vAlign w:val="bottom"/>
            <w:hideMark/>
          </w:tcPr>
          <w:p w14:paraId="4148AEAE" w14:textId="77777777" w:rsidR="00F72188" w:rsidRPr="00F72188" w:rsidRDefault="00F72188" w:rsidP="00F71BD2">
            <w:pPr>
              <w:spacing w:after="0" w:line="240" w:lineRule="auto"/>
              <w:jc w:val="center"/>
              <w:rPr>
                <w:rFonts w:ascii="Calibri" w:eastAsia="Times New Roman" w:hAnsi="Calibri" w:cs="Calibri"/>
                <w:b/>
                <w:bCs/>
                <w:color w:val="000000"/>
                <w:sz w:val="20"/>
                <w:szCs w:val="20"/>
                <w:lang w:val="en-US"/>
              </w:rPr>
            </w:pPr>
            <w:r w:rsidRPr="00F72188">
              <w:rPr>
                <w:rFonts w:ascii="Calibri" w:eastAsia="Times New Roman" w:hAnsi="Calibri" w:cs="Calibri"/>
                <w:b/>
                <w:bCs/>
                <w:color w:val="000000"/>
                <w:sz w:val="20"/>
                <w:szCs w:val="20"/>
                <w:lang w:val="en-US"/>
              </w:rPr>
              <w:t>Level</w:t>
            </w:r>
          </w:p>
        </w:tc>
        <w:tc>
          <w:tcPr>
            <w:tcW w:w="0" w:type="auto"/>
            <w:tcBorders>
              <w:top w:val="single" w:sz="4" w:space="0" w:color="000000"/>
              <w:left w:val="nil"/>
              <w:bottom w:val="single" w:sz="4" w:space="0" w:color="000000"/>
              <w:right w:val="nil"/>
            </w:tcBorders>
            <w:shd w:val="clear" w:color="000000" w:fill="E7E6E6"/>
            <w:vAlign w:val="bottom"/>
            <w:hideMark/>
          </w:tcPr>
          <w:p w14:paraId="1C6226F3" w14:textId="77777777" w:rsidR="00F72188" w:rsidRPr="00F72188" w:rsidRDefault="00F72188" w:rsidP="00F71BD2">
            <w:pPr>
              <w:spacing w:after="0" w:line="240" w:lineRule="auto"/>
              <w:jc w:val="center"/>
              <w:rPr>
                <w:rFonts w:ascii="Calibri" w:eastAsia="Times New Roman" w:hAnsi="Calibri" w:cs="Calibri"/>
                <w:b/>
                <w:bCs/>
                <w:color w:val="000000"/>
                <w:sz w:val="20"/>
                <w:szCs w:val="20"/>
                <w:lang w:val="en-US"/>
              </w:rPr>
            </w:pPr>
            <w:r w:rsidRPr="00F72188">
              <w:rPr>
                <w:rFonts w:ascii="Calibri" w:eastAsia="Times New Roman" w:hAnsi="Calibri" w:cs="Calibri"/>
                <w:b/>
                <w:bCs/>
                <w:color w:val="000000"/>
                <w:sz w:val="20"/>
                <w:szCs w:val="20"/>
                <w:lang w:val="en-US"/>
              </w:rPr>
              <w:t>Unit of measurement</w:t>
            </w:r>
          </w:p>
        </w:tc>
        <w:tc>
          <w:tcPr>
            <w:tcW w:w="0" w:type="auto"/>
            <w:tcBorders>
              <w:top w:val="single" w:sz="4" w:space="0" w:color="000000"/>
              <w:left w:val="nil"/>
              <w:bottom w:val="single" w:sz="4" w:space="0" w:color="000000"/>
              <w:right w:val="nil"/>
            </w:tcBorders>
            <w:shd w:val="clear" w:color="000000" w:fill="E7E6E6"/>
            <w:vAlign w:val="bottom"/>
            <w:hideMark/>
          </w:tcPr>
          <w:p w14:paraId="7C7CF4AB" w14:textId="77777777" w:rsidR="00F72188" w:rsidRPr="00F72188" w:rsidRDefault="00F72188" w:rsidP="00F71BD2">
            <w:pPr>
              <w:spacing w:after="0" w:line="240" w:lineRule="auto"/>
              <w:jc w:val="center"/>
              <w:rPr>
                <w:rFonts w:ascii="Calibri" w:eastAsia="Times New Roman" w:hAnsi="Calibri" w:cs="Calibri"/>
                <w:b/>
                <w:bCs/>
                <w:color w:val="000000"/>
                <w:sz w:val="20"/>
                <w:szCs w:val="20"/>
                <w:lang w:val="en-US"/>
              </w:rPr>
            </w:pPr>
            <w:r w:rsidRPr="00F72188">
              <w:rPr>
                <w:rFonts w:ascii="Calibri" w:eastAsia="Times New Roman" w:hAnsi="Calibri" w:cs="Calibri"/>
                <w:b/>
                <w:bCs/>
                <w:color w:val="000000"/>
                <w:sz w:val="20"/>
                <w:szCs w:val="20"/>
                <w:lang w:val="en-US"/>
              </w:rPr>
              <w:t>FY</w:t>
            </w:r>
          </w:p>
        </w:tc>
        <w:tc>
          <w:tcPr>
            <w:tcW w:w="0" w:type="auto"/>
            <w:tcBorders>
              <w:top w:val="single" w:sz="4" w:space="0" w:color="000000"/>
              <w:left w:val="nil"/>
              <w:bottom w:val="single" w:sz="4" w:space="0" w:color="000000"/>
              <w:right w:val="single" w:sz="4" w:space="0" w:color="000000"/>
            </w:tcBorders>
            <w:shd w:val="clear" w:color="000000" w:fill="E7E6E6"/>
            <w:vAlign w:val="bottom"/>
            <w:hideMark/>
          </w:tcPr>
          <w:p w14:paraId="60C32D65" w14:textId="77777777" w:rsidR="00F72188" w:rsidRPr="00F72188" w:rsidRDefault="00F72188" w:rsidP="00F71BD2">
            <w:pPr>
              <w:spacing w:after="0" w:line="240" w:lineRule="auto"/>
              <w:jc w:val="center"/>
              <w:rPr>
                <w:rFonts w:ascii="Calibri" w:eastAsia="Times New Roman" w:hAnsi="Calibri" w:cs="Calibri"/>
                <w:b/>
                <w:bCs/>
                <w:color w:val="000000"/>
                <w:sz w:val="20"/>
                <w:szCs w:val="20"/>
                <w:lang w:val="en-US"/>
              </w:rPr>
            </w:pPr>
            <w:r w:rsidRPr="00F72188">
              <w:rPr>
                <w:rFonts w:ascii="Calibri" w:eastAsia="Times New Roman" w:hAnsi="Calibri" w:cs="Calibri"/>
                <w:b/>
                <w:bCs/>
                <w:color w:val="000000"/>
                <w:sz w:val="20"/>
                <w:szCs w:val="20"/>
                <w:lang w:val="en-US"/>
              </w:rPr>
              <w:t>Outputs</w:t>
            </w:r>
          </w:p>
        </w:tc>
      </w:tr>
      <w:tr w:rsidR="00F72188" w:rsidRPr="00F72188" w14:paraId="1F6F46AF" w14:textId="77777777" w:rsidTr="00F71BD2">
        <w:trPr>
          <w:trHeight w:val="260"/>
        </w:trPr>
        <w:tc>
          <w:tcPr>
            <w:tcW w:w="0" w:type="auto"/>
            <w:tcBorders>
              <w:top w:val="nil"/>
              <w:left w:val="single" w:sz="4" w:space="0" w:color="000000"/>
              <w:bottom w:val="nil"/>
              <w:right w:val="nil"/>
            </w:tcBorders>
            <w:shd w:val="clear" w:color="auto" w:fill="auto"/>
            <w:vAlign w:val="center"/>
            <w:hideMark/>
          </w:tcPr>
          <w:p w14:paraId="415BC65F"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Planned outputs</w:t>
            </w:r>
          </w:p>
        </w:tc>
        <w:tc>
          <w:tcPr>
            <w:tcW w:w="0" w:type="auto"/>
            <w:tcBorders>
              <w:top w:val="nil"/>
              <w:left w:val="nil"/>
              <w:bottom w:val="nil"/>
              <w:right w:val="nil"/>
            </w:tcBorders>
            <w:shd w:val="clear" w:color="auto" w:fill="auto"/>
            <w:vAlign w:val="center"/>
            <w:hideMark/>
          </w:tcPr>
          <w:p w14:paraId="78D5F51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1</w:t>
            </w:r>
          </w:p>
        </w:tc>
        <w:tc>
          <w:tcPr>
            <w:tcW w:w="0" w:type="auto"/>
            <w:tcBorders>
              <w:top w:val="nil"/>
              <w:left w:val="nil"/>
              <w:bottom w:val="nil"/>
              <w:right w:val="nil"/>
            </w:tcBorders>
            <w:shd w:val="clear" w:color="auto" w:fill="auto"/>
            <w:vAlign w:val="center"/>
            <w:hideMark/>
          </w:tcPr>
          <w:p w14:paraId="43275CC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nil"/>
              <w:right w:val="nil"/>
            </w:tcBorders>
            <w:shd w:val="clear" w:color="auto" w:fill="auto"/>
            <w:vAlign w:val="center"/>
            <w:hideMark/>
          </w:tcPr>
          <w:p w14:paraId="581E07FE"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nil"/>
              <w:right w:val="single" w:sz="4" w:space="0" w:color="000000"/>
            </w:tcBorders>
            <w:shd w:val="clear" w:color="auto" w:fill="auto"/>
            <w:vAlign w:val="center"/>
            <w:hideMark/>
          </w:tcPr>
          <w:p w14:paraId="132577BD"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190</w:t>
            </w:r>
          </w:p>
        </w:tc>
      </w:tr>
      <w:tr w:rsidR="00F72188" w:rsidRPr="00F72188" w14:paraId="71CB6017"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0AF763D2"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Planned outputs</w:t>
            </w:r>
          </w:p>
        </w:tc>
        <w:tc>
          <w:tcPr>
            <w:tcW w:w="0" w:type="auto"/>
            <w:tcBorders>
              <w:top w:val="nil"/>
              <w:left w:val="nil"/>
              <w:bottom w:val="single" w:sz="4" w:space="0" w:color="000000"/>
              <w:right w:val="nil"/>
            </w:tcBorders>
            <w:shd w:val="clear" w:color="auto" w:fill="auto"/>
            <w:vAlign w:val="center"/>
            <w:hideMark/>
          </w:tcPr>
          <w:p w14:paraId="4FBD244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2</w:t>
            </w:r>
          </w:p>
        </w:tc>
        <w:tc>
          <w:tcPr>
            <w:tcW w:w="0" w:type="auto"/>
            <w:tcBorders>
              <w:top w:val="nil"/>
              <w:left w:val="nil"/>
              <w:bottom w:val="single" w:sz="4" w:space="0" w:color="000000"/>
              <w:right w:val="nil"/>
            </w:tcBorders>
            <w:shd w:val="clear" w:color="auto" w:fill="auto"/>
            <w:vAlign w:val="center"/>
            <w:hideMark/>
          </w:tcPr>
          <w:p w14:paraId="2625084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75BBD29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auto" w:fill="auto"/>
            <w:vAlign w:val="center"/>
            <w:hideMark/>
          </w:tcPr>
          <w:p w14:paraId="418A4D7C"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65</w:t>
            </w:r>
          </w:p>
        </w:tc>
      </w:tr>
      <w:tr w:rsidR="00F72188" w:rsidRPr="00F72188" w14:paraId="53680FDE"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22324E97"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Planned outputs</w:t>
            </w:r>
          </w:p>
        </w:tc>
        <w:tc>
          <w:tcPr>
            <w:tcW w:w="0" w:type="auto"/>
            <w:tcBorders>
              <w:top w:val="nil"/>
              <w:left w:val="nil"/>
              <w:bottom w:val="single" w:sz="4" w:space="0" w:color="000000"/>
              <w:right w:val="nil"/>
            </w:tcBorders>
            <w:shd w:val="clear" w:color="auto" w:fill="auto"/>
            <w:vAlign w:val="center"/>
            <w:hideMark/>
          </w:tcPr>
          <w:p w14:paraId="7EFDB09F"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656DC5AF"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3F45C99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000000" w:fill="9BC2E6"/>
            <w:vAlign w:val="center"/>
            <w:hideMark/>
          </w:tcPr>
          <w:p w14:paraId="73530808"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255</w:t>
            </w:r>
          </w:p>
        </w:tc>
      </w:tr>
      <w:tr w:rsidR="00F72188" w:rsidRPr="00F72188" w14:paraId="76D3D975" w14:textId="77777777" w:rsidTr="00F71BD2">
        <w:trPr>
          <w:trHeight w:val="260"/>
        </w:trPr>
        <w:tc>
          <w:tcPr>
            <w:tcW w:w="0" w:type="auto"/>
            <w:tcBorders>
              <w:top w:val="nil"/>
              <w:left w:val="nil"/>
              <w:bottom w:val="nil"/>
              <w:right w:val="nil"/>
            </w:tcBorders>
            <w:shd w:val="clear" w:color="auto" w:fill="auto"/>
            <w:noWrap/>
            <w:vAlign w:val="bottom"/>
            <w:hideMark/>
          </w:tcPr>
          <w:p w14:paraId="5A35A65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p>
        </w:tc>
        <w:tc>
          <w:tcPr>
            <w:tcW w:w="0" w:type="auto"/>
            <w:tcBorders>
              <w:top w:val="nil"/>
              <w:left w:val="nil"/>
              <w:bottom w:val="nil"/>
              <w:right w:val="nil"/>
            </w:tcBorders>
            <w:shd w:val="clear" w:color="auto" w:fill="auto"/>
            <w:noWrap/>
            <w:vAlign w:val="bottom"/>
            <w:hideMark/>
          </w:tcPr>
          <w:p w14:paraId="573A5621"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74070E9F"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4DC8D369"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2C63417B"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r>
      <w:tr w:rsidR="00F72188" w:rsidRPr="00F72188" w14:paraId="163350D6" w14:textId="77777777" w:rsidTr="00F71BD2">
        <w:trPr>
          <w:trHeight w:val="260"/>
        </w:trPr>
        <w:tc>
          <w:tcPr>
            <w:tcW w:w="0" w:type="auto"/>
            <w:tcBorders>
              <w:top w:val="single" w:sz="4" w:space="0" w:color="000000"/>
              <w:left w:val="single" w:sz="4" w:space="0" w:color="000000"/>
              <w:bottom w:val="nil"/>
              <w:right w:val="nil"/>
            </w:tcBorders>
            <w:shd w:val="clear" w:color="auto" w:fill="auto"/>
            <w:vAlign w:val="center"/>
            <w:hideMark/>
          </w:tcPr>
          <w:p w14:paraId="384A4C2C"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single" w:sz="4" w:space="0" w:color="000000"/>
              <w:left w:val="nil"/>
              <w:bottom w:val="nil"/>
              <w:right w:val="nil"/>
            </w:tcBorders>
            <w:shd w:val="clear" w:color="auto" w:fill="auto"/>
            <w:vAlign w:val="center"/>
            <w:hideMark/>
          </w:tcPr>
          <w:p w14:paraId="155918C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1</w:t>
            </w:r>
          </w:p>
        </w:tc>
        <w:tc>
          <w:tcPr>
            <w:tcW w:w="0" w:type="auto"/>
            <w:tcBorders>
              <w:top w:val="single" w:sz="4" w:space="0" w:color="000000"/>
              <w:left w:val="nil"/>
              <w:bottom w:val="nil"/>
              <w:right w:val="nil"/>
            </w:tcBorders>
            <w:shd w:val="clear" w:color="auto" w:fill="auto"/>
            <w:vAlign w:val="center"/>
            <w:hideMark/>
          </w:tcPr>
          <w:p w14:paraId="1617D67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single" w:sz="4" w:space="0" w:color="000000"/>
              <w:left w:val="nil"/>
              <w:bottom w:val="nil"/>
              <w:right w:val="nil"/>
            </w:tcBorders>
            <w:shd w:val="clear" w:color="auto" w:fill="auto"/>
            <w:vAlign w:val="center"/>
            <w:hideMark/>
          </w:tcPr>
          <w:p w14:paraId="2B8A9295"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single" w:sz="4" w:space="0" w:color="000000"/>
              <w:left w:val="nil"/>
              <w:bottom w:val="nil"/>
              <w:right w:val="single" w:sz="4" w:space="0" w:color="000000"/>
            </w:tcBorders>
            <w:shd w:val="clear" w:color="auto" w:fill="auto"/>
            <w:vAlign w:val="center"/>
            <w:hideMark/>
          </w:tcPr>
          <w:p w14:paraId="7E26165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50</w:t>
            </w:r>
          </w:p>
        </w:tc>
      </w:tr>
      <w:tr w:rsidR="00F72188" w:rsidRPr="00F72188" w14:paraId="5440452F"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49B0DDC2"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21384846"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2</w:t>
            </w:r>
          </w:p>
        </w:tc>
        <w:tc>
          <w:tcPr>
            <w:tcW w:w="0" w:type="auto"/>
            <w:tcBorders>
              <w:top w:val="nil"/>
              <w:left w:val="nil"/>
              <w:bottom w:val="single" w:sz="4" w:space="0" w:color="000000"/>
              <w:right w:val="nil"/>
            </w:tcBorders>
            <w:shd w:val="clear" w:color="auto" w:fill="auto"/>
            <w:vAlign w:val="center"/>
            <w:hideMark/>
          </w:tcPr>
          <w:p w14:paraId="0739756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4258DCCF"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auto" w:fill="auto"/>
            <w:vAlign w:val="center"/>
            <w:hideMark/>
          </w:tcPr>
          <w:p w14:paraId="661BD17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w:t>
            </w:r>
          </w:p>
        </w:tc>
      </w:tr>
      <w:tr w:rsidR="00F72188" w:rsidRPr="00F72188" w14:paraId="126A6C82"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40AAEC53"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7838F43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3BFE7199"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2B58BF4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000000" w:fill="C6E0B4"/>
            <w:vAlign w:val="center"/>
            <w:hideMark/>
          </w:tcPr>
          <w:p w14:paraId="06AF696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70</w:t>
            </w:r>
          </w:p>
        </w:tc>
      </w:tr>
      <w:tr w:rsidR="00F72188" w:rsidRPr="00F72188" w14:paraId="3B5A5982" w14:textId="77777777" w:rsidTr="00A962F6">
        <w:trPr>
          <w:trHeight w:val="520"/>
        </w:trPr>
        <w:tc>
          <w:tcPr>
            <w:tcW w:w="0" w:type="auto"/>
            <w:tcBorders>
              <w:top w:val="nil"/>
              <w:left w:val="single" w:sz="4" w:space="0" w:color="000000"/>
              <w:bottom w:val="single" w:sz="4" w:space="0" w:color="000000"/>
              <w:right w:val="nil"/>
            </w:tcBorders>
            <w:shd w:val="clear" w:color="auto" w:fill="auto"/>
            <w:vAlign w:val="center"/>
            <w:hideMark/>
          </w:tcPr>
          <w:p w14:paraId="17D16888"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 exclusively generated by top-up</w:t>
            </w:r>
          </w:p>
        </w:tc>
        <w:tc>
          <w:tcPr>
            <w:tcW w:w="0" w:type="auto"/>
            <w:tcBorders>
              <w:top w:val="nil"/>
              <w:left w:val="nil"/>
              <w:bottom w:val="single" w:sz="4" w:space="0" w:color="000000"/>
              <w:right w:val="nil"/>
            </w:tcBorders>
            <w:shd w:val="clear" w:color="auto" w:fill="auto"/>
            <w:vAlign w:val="center"/>
            <w:hideMark/>
          </w:tcPr>
          <w:p w14:paraId="57A3F0D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475A395F"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6B57DB3C"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auto" w:fill="D0CECE" w:themeFill="background2" w:themeFillShade="E6"/>
            <w:vAlign w:val="center"/>
            <w:hideMark/>
          </w:tcPr>
          <w:p w14:paraId="248271F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15</w:t>
            </w:r>
          </w:p>
        </w:tc>
      </w:tr>
      <w:tr w:rsidR="00F72188" w:rsidRPr="00F72188" w14:paraId="3F37657A"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1428AF17"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O.3 Number of beneficiaries</w:t>
            </w:r>
          </w:p>
        </w:tc>
        <w:tc>
          <w:tcPr>
            <w:tcW w:w="0" w:type="auto"/>
            <w:tcBorders>
              <w:top w:val="nil"/>
              <w:left w:val="nil"/>
              <w:bottom w:val="single" w:sz="4" w:space="0" w:color="000000"/>
              <w:right w:val="nil"/>
            </w:tcBorders>
            <w:shd w:val="clear" w:color="auto" w:fill="auto"/>
            <w:vAlign w:val="center"/>
            <w:hideMark/>
          </w:tcPr>
          <w:p w14:paraId="77D1B72E"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436D57E5" w14:textId="3E6FB133" w:rsidR="00F72188" w:rsidRPr="00F72188" w:rsidRDefault="00206EE3"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b</w:t>
            </w:r>
            <w:r w:rsidR="00F72188" w:rsidRPr="00F72188">
              <w:rPr>
                <w:rFonts w:ascii="Calibri" w:eastAsia="Times New Roman" w:hAnsi="Calibri" w:cs="Calibri"/>
                <w:color w:val="000000"/>
                <w:sz w:val="20"/>
                <w:szCs w:val="20"/>
                <w:lang w:val="en-US"/>
              </w:rPr>
              <w:t>eneficiary</w:t>
            </w:r>
          </w:p>
        </w:tc>
        <w:tc>
          <w:tcPr>
            <w:tcW w:w="0" w:type="auto"/>
            <w:tcBorders>
              <w:top w:val="nil"/>
              <w:left w:val="nil"/>
              <w:bottom w:val="single" w:sz="4" w:space="0" w:color="000000"/>
              <w:right w:val="nil"/>
            </w:tcBorders>
            <w:shd w:val="clear" w:color="auto" w:fill="auto"/>
            <w:vAlign w:val="center"/>
            <w:hideMark/>
          </w:tcPr>
          <w:p w14:paraId="54D1D38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w:t>
            </w:r>
          </w:p>
        </w:tc>
        <w:tc>
          <w:tcPr>
            <w:tcW w:w="0" w:type="auto"/>
            <w:tcBorders>
              <w:top w:val="nil"/>
              <w:left w:val="nil"/>
              <w:bottom w:val="single" w:sz="4" w:space="0" w:color="000000"/>
              <w:right w:val="single" w:sz="4" w:space="0" w:color="000000"/>
            </w:tcBorders>
            <w:shd w:val="clear" w:color="000000" w:fill="F4B084"/>
            <w:noWrap/>
            <w:vAlign w:val="bottom"/>
            <w:hideMark/>
          </w:tcPr>
          <w:p w14:paraId="10AC5B4D" w14:textId="5DEDC9A4" w:rsidR="00F72188" w:rsidRPr="00F72188" w:rsidRDefault="00C90985"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255</w:t>
            </w:r>
          </w:p>
        </w:tc>
      </w:tr>
      <w:tr w:rsidR="00F72188" w:rsidRPr="00F72188" w14:paraId="13B856B8" w14:textId="77777777" w:rsidTr="00F71BD2">
        <w:trPr>
          <w:trHeight w:val="260"/>
        </w:trPr>
        <w:tc>
          <w:tcPr>
            <w:tcW w:w="0" w:type="auto"/>
            <w:tcBorders>
              <w:top w:val="nil"/>
              <w:left w:val="nil"/>
              <w:bottom w:val="nil"/>
              <w:right w:val="nil"/>
            </w:tcBorders>
            <w:shd w:val="clear" w:color="auto" w:fill="auto"/>
            <w:noWrap/>
            <w:vAlign w:val="bottom"/>
            <w:hideMark/>
          </w:tcPr>
          <w:p w14:paraId="4B3CBE4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p>
        </w:tc>
        <w:tc>
          <w:tcPr>
            <w:tcW w:w="0" w:type="auto"/>
            <w:tcBorders>
              <w:top w:val="nil"/>
              <w:left w:val="nil"/>
              <w:bottom w:val="nil"/>
              <w:right w:val="nil"/>
            </w:tcBorders>
            <w:shd w:val="clear" w:color="auto" w:fill="auto"/>
            <w:noWrap/>
            <w:vAlign w:val="bottom"/>
            <w:hideMark/>
          </w:tcPr>
          <w:p w14:paraId="745BA1A5"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7A553591"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31F4FAFB"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1E4D3A0A"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r>
      <w:tr w:rsidR="00F72188" w:rsidRPr="00F72188" w14:paraId="0496AC06" w14:textId="77777777" w:rsidTr="00F71BD2">
        <w:trPr>
          <w:trHeight w:val="260"/>
        </w:trPr>
        <w:tc>
          <w:tcPr>
            <w:tcW w:w="0" w:type="auto"/>
            <w:tcBorders>
              <w:top w:val="single" w:sz="4" w:space="0" w:color="000000"/>
              <w:left w:val="single" w:sz="4" w:space="0" w:color="000000"/>
              <w:bottom w:val="nil"/>
              <w:right w:val="nil"/>
            </w:tcBorders>
            <w:shd w:val="clear" w:color="auto" w:fill="auto"/>
            <w:vAlign w:val="center"/>
            <w:hideMark/>
          </w:tcPr>
          <w:p w14:paraId="21E39674"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single" w:sz="4" w:space="0" w:color="000000"/>
              <w:left w:val="nil"/>
              <w:bottom w:val="nil"/>
              <w:right w:val="nil"/>
            </w:tcBorders>
            <w:shd w:val="clear" w:color="auto" w:fill="auto"/>
            <w:vAlign w:val="center"/>
            <w:hideMark/>
          </w:tcPr>
          <w:p w14:paraId="330FB02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1</w:t>
            </w:r>
          </w:p>
        </w:tc>
        <w:tc>
          <w:tcPr>
            <w:tcW w:w="0" w:type="auto"/>
            <w:tcBorders>
              <w:top w:val="single" w:sz="4" w:space="0" w:color="000000"/>
              <w:left w:val="nil"/>
              <w:bottom w:val="nil"/>
              <w:right w:val="nil"/>
            </w:tcBorders>
            <w:shd w:val="clear" w:color="auto" w:fill="auto"/>
            <w:vAlign w:val="center"/>
            <w:hideMark/>
          </w:tcPr>
          <w:p w14:paraId="7BE614C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single" w:sz="4" w:space="0" w:color="000000"/>
              <w:left w:val="nil"/>
              <w:bottom w:val="nil"/>
              <w:right w:val="nil"/>
            </w:tcBorders>
            <w:shd w:val="clear" w:color="auto" w:fill="auto"/>
            <w:vAlign w:val="center"/>
            <w:hideMark/>
          </w:tcPr>
          <w:p w14:paraId="44B8B245"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2025</w:t>
            </w:r>
          </w:p>
        </w:tc>
        <w:tc>
          <w:tcPr>
            <w:tcW w:w="0" w:type="auto"/>
            <w:tcBorders>
              <w:top w:val="single" w:sz="4" w:space="0" w:color="000000"/>
              <w:left w:val="nil"/>
              <w:bottom w:val="nil"/>
              <w:right w:val="single" w:sz="4" w:space="0" w:color="000000"/>
            </w:tcBorders>
            <w:shd w:val="clear" w:color="auto" w:fill="auto"/>
            <w:vAlign w:val="center"/>
            <w:hideMark/>
          </w:tcPr>
          <w:p w14:paraId="7C9BEB16"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80</w:t>
            </w:r>
          </w:p>
        </w:tc>
      </w:tr>
      <w:tr w:rsidR="00F72188" w:rsidRPr="00F72188" w14:paraId="2D4D27B7"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23520D91"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1DDF2DAC"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2</w:t>
            </w:r>
          </w:p>
        </w:tc>
        <w:tc>
          <w:tcPr>
            <w:tcW w:w="0" w:type="auto"/>
            <w:tcBorders>
              <w:top w:val="nil"/>
              <w:left w:val="nil"/>
              <w:bottom w:val="single" w:sz="4" w:space="0" w:color="000000"/>
              <w:right w:val="nil"/>
            </w:tcBorders>
            <w:shd w:val="clear" w:color="auto" w:fill="auto"/>
            <w:vAlign w:val="center"/>
            <w:hideMark/>
          </w:tcPr>
          <w:p w14:paraId="15E7E997"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7CF911F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2025</w:t>
            </w:r>
          </w:p>
        </w:tc>
        <w:tc>
          <w:tcPr>
            <w:tcW w:w="0" w:type="auto"/>
            <w:tcBorders>
              <w:top w:val="nil"/>
              <w:left w:val="nil"/>
              <w:bottom w:val="single" w:sz="4" w:space="0" w:color="000000"/>
              <w:right w:val="single" w:sz="4" w:space="0" w:color="000000"/>
            </w:tcBorders>
            <w:shd w:val="clear" w:color="auto" w:fill="auto"/>
            <w:vAlign w:val="center"/>
            <w:hideMark/>
          </w:tcPr>
          <w:p w14:paraId="7A33B90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10</w:t>
            </w:r>
          </w:p>
        </w:tc>
      </w:tr>
      <w:tr w:rsidR="00F72188" w:rsidRPr="00F72188" w14:paraId="256AA16E" w14:textId="77777777" w:rsidTr="00F71BD2">
        <w:trPr>
          <w:trHeight w:val="260"/>
        </w:trPr>
        <w:tc>
          <w:tcPr>
            <w:tcW w:w="0" w:type="auto"/>
            <w:tcBorders>
              <w:top w:val="nil"/>
              <w:left w:val="single" w:sz="4" w:space="0" w:color="000000"/>
              <w:bottom w:val="nil"/>
              <w:right w:val="nil"/>
            </w:tcBorders>
            <w:shd w:val="clear" w:color="auto" w:fill="auto"/>
            <w:vAlign w:val="center"/>
            <w:hideMark/>
          </w:tcPr>
          <w:p w14:paraId="03F974EC"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1407224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70B9EB0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27798BF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2025</w:t>
            </w:r>
          </w:p>
        </w:tc>
        <w:tc>
          <w:tcPr>
            <w:tcW w:w="0" w:type="auto"/>
            <w:tcBorders>
              <w:top w:val="nil"/>
              <w:left w:val="nil"/>
              <w:bottom w:val="single" w:sz="4" w:space="0" w:color="000000"/>
              <w:right w:val="single" w:sz="4" w:space="0" w:color="000000"/>
            </w:tcBorders>
            <w:shd w:val="clear" w:color="000000" w:fill="C6E0B4"/>
            <w:vAlign w:val="center"/>
            <w:hideMark/>
          </w:tcPr>
          <w:p w14:paraId="7CFA325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90</w:t>
            </w:r>
          </w:p>
        </w:tc>
      </w:tr>
      <w:tr w:rsidR="00F72188" w:rsidRPr="00F72188" w14:paraId="7037EF3E" w14:textId="77777777" w:rsidTr="00A962F6">
        <w:trPr>
          <w:trHeight w:val="520"/>
        </w:trPr>
        <w:tc>
          <w:tcPr>
            <w:tcW w:w="0" w:type="auto"/>
            <w:tcBorders>
              <w:top w:val="single" w:sz="4" w:space="0" w:color="000000"/>
              <w:left w:val="single" w:sz="4" w:space="0" w:color="000000"/>
              <w:bottom w:val="single" w:sz="4" w:space="0" w:color="000000"/>
              <w:right w:val="nil"/>
            </w:tcBorders>
            <w:shd w:val="clear" w:color="auto" w:fill="auto"/>
            <w:vAlign w:val="center"/>
            <w:hideMark/>
          </w:tcPr>
          <w:p w14:paraId="06BFC0D2"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 exclusively generated by top-up</w:t>
            </w:r>
          </w:p>
        </w:tc>
        <w:tc>
          <w:tcPr>
            <w:tcW w:w="0" w:type="auto"/>
            <w:tcBorders>
              <w:top w:val="nil"/>
              <w:left w:val="nil"/>
              <w:bottom w:val="single" w:sz="4" w:space="0" w:color="000000"/>
              <w:right w:val="nil"/>
            </w:tcBorders>
            <w:shd w:val="clear" w:color="auto" w:fill="auto"/>
            <w:vAlign w:val="center"/>
            <w:hideMark/>
          </w:tcPr>
          <w:p w14:paraId="0554F33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2702231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180850F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2025</w:t>
            </w:r>
          </w:p>
        </w:tc>
        <w:tc>
          <w:tcPr>
            <w:tcW w:w="0" w:type="auto"/>
            <w:tcBorders>
              <w:top w:val="nil"/>
              <w:left w:val="nil"/>
              <w:bottom w:val="single" w:sz="4" w:space="0" w:color="000000"/>
              <w:right w:val="single" w:sz="4" w:space="0" w:color="000000"/>
            </w:tcBorders>
            <w:shd w:val="clear" w:color="auto" w:fill="D0CECE" w:themeFill="background2" w:themeFillShade="E6"/>
            <w:vAlign w:val="center"/>
            <w:hideMark/>
          </w:tcPr>
          <w:p w14:paraId="1215FA8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10</w:t>
            </w:r>
          </w:p>
        </w:tc>
      </w:tr>
      <w:tr w:rsidR="00F72188" w:rsidRPr="00F72188" w14:paraId="701F4D5A"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2CE20932"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O.3 Number of beneficiaries</w:t>
            </w:r>
          </w:p>
        </w:tc>
        <w:tc>
          <w:tcPr>
            <w:tcW w:w="0" w:type="auto"/>
            <w:tcBorders>
              <w:top w:val="nil"/>
              <w:left w:val="nil"/>
              <w:bottom w:val="single" w:sz="4" w:space="0" w:color="000000"/>
              <w:right w:val="nil"/>
            </w:tcBorders>
            <w:shd w:val="clear" w:color="auto" w:fill="auto"/>
            <w:vAlign w:val="center"/>
            <w:hideMark/>
          </w:tcPr>
          <w:p w14:paraId="76879DC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4BBBBFBE" w14:textId="065D89CC" w:rsidR="00F72188" w:rsidRPr="00F72188" w:rsidRDefault="00206EE3"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b</w:t>
            </w:r>
            <w:r w:rsidR="00F72188" w:rsidRPr="00F72188">
              <w:rPr>
                <w:rFonts w:ascii="Calibri" w:eastAsia="Times New Roman" w:hAnsi="Calibri" w:cs="Calibri"/>
                <w:color w:val="000000"/>
                <w:sz w:val="20"/>
                <w:szCs w:val="20"/>
                <w:lang w:val="en-US"/>
              </w:rPr>
              <w:t>eneficiary</w:t>
            </w:r>
          </w:p>
        </w:tc>
        <w:tc>
          <w:tcPr>
            <w:tcW w:w="0" w:type="auto"/>
            <w:tcBorders>
              <w:top w:val="nil"/>
              <w:left w:val="nil"/>
              <w:bottom w:val="single" w:sz="4" w:space="0" w:color="000000"/>
              <w:right w:val="nil"/>
            </w:tcBorders>
            <w:shd w:val="clear" w:color="auto" w:fill="auto"/>
            <w:vAlign w:val="center"/>
            <w:hideMark/>
          </w:tcPr>
          <w:p w14:paraId="7CB7B29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2025</w:t>
            </w:r>
          </w:p>
        </w:tc>
        <w:tc>
          <w:tcPr>
            <w:tcW w:w="0" w:type="auto"/>
            <w:tcBorders>
              <w:top w:val="nil"/>
              <w:left w:val="nil"/>
              <w:bottom w:val="single" w:sz="4" w:space="0" w:color="000000"/>
              <w:right w:val="single" w:sz="4" w:space="0" w:color="000000"/>
            </w:tcBorders>
            <w:shd w:val="clear" w:color="000000" w:fill="F4B084"/>
            <w:noWrap/>
            <w:vAlign w:val="center"/>
            <w:hideMark/>
          </w:tcPr>
          <w:p w14:paraId="2E4A36A6" w14:textId="4D7C1C31" w:rsidR="00F72188" w:rsidRPr="00F72188" w:rsidRDefault="00C90985"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255</w:t>
            </w:r>
          </w:p>
        </w:tc>
      </w:tr>
      <w:tr w:rsidR="00F72188" w:rsidRPr="00F72188" w14:paraId="20E2069A" w14:textId="77777777" w:rsidTr="00F71BD2">
        <w:trPr>
          <w:trHeight w:val="260"/>
        </w:trPr>
        <w:tc>
          <w:tcPr>
            <w:tcW w:w="0" w:type="auto"/>
            <w:tcBorders>
              <w:top w:val="nil"/>
              <w:left w:val="nil"/>
              <w:bottom w:val="nil"/>
              <w:right w:val="nil"/>
            </w:tcBorders>
            <w:shd w:val="clear" w:color="auto" w:fill="auto"/>
            <w:noWrap/>
            <w:vAlign w:val="bottom"/>
            <w:hideMark/>
          </w:tcPr>
          <w:p w14:paraId="7BE767BC"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p>
        </w:tc>
        <w:tc>
          <w:tcPr>
            <w:tcW w:w="0" w:type="auto"/>
            <w:tcBorders>
              <w:top w:val="nil"/>
              <w:left w:val="nil"/>
              <w:bottom w:val="nil"/>
              <w:right w:val="nil"/>
            </w:tcBorders>
            <w:shd w:val="clear" w:color="auto" w:fill="auto"/>
            <w:noWrap/>
            <w:vAlign w:val="bottom"/>
            <w:hideMark/>
          </w:tcPr>
          <w:p w14:paraId="778382D1"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0B3E7EF2"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7798B67E"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389E02E6"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r>
      <w:tr w:rsidR="00F72188" w:rsidRPr="00F72188" w14:paraId="2D712B3A" w14:textId="77777777" w:rsidTr="00F71BD2">
        <w:trPr>
          <w:trHeight w:val="260"/>
        </w:trPr>
        <w:tc>
          <w:tcPr>
            <w:tcW w:w="0" w:type="auto"/>
            <w:tcBorders>
              <w:top w:val="single" w:sz="4" w:space="0" w:color="000000"/>
              <w:left w:val="single" w:sz="4" w:space="0" w:color="000000"/>
              <w:bottom w:val="nil"/>
              <w:right w:val="nil"/>
            </w:tcBorders>
            <w:shd w:val="clear" w:color="auto" w:fill="auto"/>
            <w:vAlign w:val="center"/>
            <w:hideMark/>
          </w:tcPr>
          <w:p w14:paraId="1A23FBA5"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single" w:sz="4" w:space="0" w:color="000000"/>
              <w:left w:val="nil"/>
              <w:bottom w:val="nil"/>
              <w:right w:val="nil"/>
            </w:tcBorders>
            <w:shd w:val="clear" w:color="auto" w:fill="auto"/>
            <w:vAlign w:val="center"/>
            <w:hideMark/>
          </w:tcPr>
          <w:p w14:paraId="7179972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1</w:t>
            </w:r>
          </w:p>
        </w:tc>
        <w:tc>
          <w:tcPr>
            <w:tcW w:w="0" w:type="auto"/>
            <w:tcBorders>
              <w:top w:val="single" w:sz="4" w:space="0" w:color="000000"/>
              <w:left w:val="nil"/>
              <w:bottom w:val="nil"/>
              <w:right w:val="nil"/>
            </w:tcBorders>
            <w:shd w:val="clear" w:color="auto" w:fill="auto"/>
            <w:vAlign w:val="center"/>
            <w:hideMark/>
          </w:tcPr>
          <w:p w14:paraId="60A94F98"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single" w:sz="4" w:space="0" w:color="000000"/>
              <w:left w:val="nil"/>
              <w:bottom w:val="nil"/>
              <w:right w:val="nil"/>
            </w:tcBorders>
            <w:shd w:val="clear" w:color="auto" w:fill="auto"/>
            <w:vAlign w:val="center"/>
            <w:hideMark/>
          </w:tcPr>
          <w:p w14:paraId="5A5F678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2026</w:t>
            </w:r>
          </w:p>
        </w:tc>
        <w:tc>
          <w:tcPr>
            <w:tcW w:w="0" w:type="auto"/>
            <w:tcBorders>
              <w:top w:val="single" w:sz="4" w:space="0" w:color="000000"/>
              <w:left w:val="nil"/>
              <w:bottom w:val="nil"/>
              <w:right w:val="single" w:sz="4" w:space="0" w:color="000000"/>
            </w:tcBorders>
            <w:shd w:val="clear" w:color="auto" w:fill="auto"/>
            <w:vAlign w:val="center"/>
            <w:hideMark/>
          </w:tcPr>
          <w:p w14:paraId="1913F38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w:t>
            </w:r>
          </w:p>
        </w:tc>
      </w:tr>
      <w:tr w:rsidR="00F72188" w:rsidRPr="00F72188" w14:paraId="58089814"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69940C9C"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6FB4B3E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 unit amount 2</w:t>
            </w:r>
          </w:p>
        </w:tc>
        <w:tc>
          <w:tcPr>
            <w:tcW w:w="0" w:type="auto"/>
            <w:tcBorders>
              <w:top w:val="nil"/>
              <w:left w:val="nil"/>
              <w:bottom w:val="single" w:sz="4" w:space="0" w:color="000000"/>
              <w:right w:val="nil"/>
            </w:tcBorders>
            <w:shd w:val="clear" w:color="auto" w:fill="auto"/>
            <w:vAlign w:val="center"/>
            <w:hideMark/>
          </w:tcPr>
          <w:p w14:paraId="0265BE9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144C9606"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2026</w:t>
            </w:r>
          </w:p>
        </w:tc>
        <w:tc>
          <w:tcPr>
            <w:tcW w:w="0" w:type="auto"/>
            <w:tcBorders>
              <w:top w:val="nil"/>
              <w:left w:val="nil"/>
              <w:bottom w:val="single" w:sz="4" w:space="0" w:color="000000"/>
              <w:right w:val="single" w:sz="4" w:space="0" w:color="000000"/>
            </w:tcBorders>
            <w:shd w:val="clear" w:color="auto" w:fill="auto"/>
            <w:vAlign w:val="center"/>
            <w:hideMark/>
          </w:tcPr>
          <w:p w14:paraId="5924136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w:t>
            </w:r>
          </w:p>
        </w:tc>
      </w:tr>
      <w:tr w:rsidR="00F72188" w:rsidRPr="00F72188" w14:paraId="6C97E510" w14:textId="77777777" w:rsidTr="00F71BD2">
        <w:trPr>
          <w:trHeight w:val="260"/>
        </w:trPr>
        <w:tc>
          <w:tcPr>
            <w:tcW w:w="0" w:type="auto"/>
            <w:tcBorders>
              <w:top w:val="nil"/>
              <w:left w:val="single" w:sz="4" w:space="0" w:color="000000"/>
              <w:bottom w:val="nil"/>
              <w:right w:val="nil"/>
            </w:tcBorders>
            <w:shd w:val="clear" w:color="auto" w:fill="auto"/>
            <w:vAlign w:val="center"/>
            <w:hideMark/>
          </w:tcPr>
          <w:p w14:paraId="5CBF0C4F"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w:t>
            </w:r>
          </w:p>
        </w:tc>
        <w:tc>
          <w:tcPr>
            <w:tcW w:w="0" w:type="auto"/>
            <w:tcBorders>
              <w:top w:val="nil"/>
              <w:left w:val="nil"/>
              <w:bottom w:val="single" w:sz="4" w:space="0" w:color="000000"/>
              <w:right w:val="nil"/>
            </w:tcBorders>
            <w:shd w:val="clear" w:color="auto" w:fill="auto"/>
            <w:vAlign w:val="center"/>
            <w:hideMark/>
          </w:tcPr>
          <w:p w14:paraId="284812C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7004711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75729C26"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2026</w:t>
            </w:r>
          </w:p>
        </w:tc>
        <w:tc>
          <w:tcPr>
            <w:tcW w:w="0" w:type="auto"/>
            <w:tcBorders>
              <w:top w:val="nil"/>
              <w:left w:val="nil"/>
              <w:bottom w:val="single" w:sz="4" w:space="0" w:color="000000"/>
              <w:right w:val="single" w:sz="4" w:space="0" w:color="000000"/>
            </w:tcBorders>
            <w:shd w:val="clear" w:color="000000" w:fill="C6E0B4"/>
            <w:vAlign w:val="center"/>
            <w:hideMark/>
          </w:tcPr>
          <w:p w14:paraId="48DD4B2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40</w:t>
            </w:r>
          </w:p>
        </w:tc>
      </w:tr>
      <w:tr w:rsidR="00F72188" w:rsidRPr="00F72188" w14:paraId="78908B9E" w14:textId="77777777" w:rsidTr="00A962F6">
        <w:trPr>
          <w:trHeight w:val="520"/>
        </w:trPr>
        <w:tc>
          <w:tcPr>
            <w:tcW w:w="0" w:type="auto"/>
            <w:tcBorders>
              <w:top w:val="single" w:sz="4" w:space="0" w:color="000000"/>
              <w:left w:val="single" w:sz="4" w:space="0" w:color="000000"/>
              <w:bottom w:val="single" w:sz="4" w:space="0" w:color="000000"/>
              <w:right w:val="nil"/>
            </w:tcBorders>
            <w:shd w:val="clear" w:color="auto" w:fill="auto"/>
            <w:vAlign w:val="center"/>
            <w:hideMark/>
          </w:tcPr>
          <w:p w14:paraId="1A3B79DF"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partial outputs exclusively generated by top-up</w:t>
            </w:r>
          </w:p>
        </w:tc>
        <w:tc>
          <w:tcPr>
            <w:tcW w:w="0" w:type="auto"/>
            <w:tcBorders>
              <w:top w:val="nil"/>
              <w:left w:val="nil"/>
              <w:bottom w:val="single" w:sz="4" w:space="0" w:color="000000"/>
              <w:right w:val="nil"/>
            </w:tcBorders>
            <w:shd w:val="clear" w:color="auto" w:fill="auto"/>
            <w:vAlign w:val="center"/>
            <w:hideMark/>
          </w:tcPr>
          <w:p w14:paraId="76BF189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1C1EEB4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693543B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2026</w:t>
            </w:r>
          </w:p>
        </w:tc>
        <w:tc>
          <w:tcPr>
            <w:tcW w:w="0" w:type="auto"/>
            <w:tcBorders>
              <w:top w:val="nil"/>
              <w:left w:val="nil"/>
              <w:bottom w:val="single" w:sz="4" w:space="0" w:color="000000"/>
              <w:right w:val="single" w:sz="4" w:space="0" w:color="000000"/>
            </w:tcBorders>
            <w:shd w:val="clear" w:color="auto" w:fill="D0CECE" w:themeFill="background2" w:themeFillShade="E6"/>
            <w:vAlign w:val="center"/>
            <w:hideMark/>
          </w:tcPr>
          <w:p w14:paraId="3B745292"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30</w:t>
            </w:r>
          </w:p>
        </w:tc>
      </w:tr>
      <w:tr w:rsidR="00F72188" w:rsidRPr="00F72188" w14:paraId="54A433E6"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5C4931C5"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O.3 Number of beneficiaries</w:t>
            </w:r>
          </w:p>
        </w:tc>
        <w:tc>
          <w:tcPr>
            <w:tcW w:w="0" w:type="auto"/>
            <w:tcBorders>
              <w:top w:val="nil"/>
              <w:left w:val="nil"/>
              <w:bottom w:val="single" w:sz="4" w:space="0" w:color="000000"/>
              <w:right w:val="nil"/>
            </w:tcBorders>
            <w:shd w:val="clear" w:color="auto" w:fill="auto"/>
            <w:vAlign w:val="center"/>
            <w:hideMark/>
          </w:tcPr>
          <w:p w14:paraId="7F0738B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5316CE3E" w14:textId="2D526FC6" w:rsidR="00F72188" w:rsidRPr="00F72188" w:rsidRDefault="00206EE3"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b</w:t>
            </w:r>
            <w:r w:rsidR="00F72188" w:rsidRPr="00F72188">
              <w:rPr>
                <w:rFonts w:ascii="Calibri" w:eastAsia="Times New Roman" w:hAnsi="Calibri" w:cs="Calibri"/>
                <w:color w:val="000000"/>
                <w:sz w:val="20"/>
                <w:szCs w:val="20"/>
                <w:lang w:val="en-US"/>
              </w:rPr>
              <w:t>eneficiary</w:t>
            </w:r>
          </w:p>
        </w:tc>
        <w:tc>
          <w:tcPr>
            <w:tcW w:w="0" w:type="auto"/>
            <w:tcBorders>
              <w:top w:val="nil"/>
              <w:left w:val="nil"/>
              <w:bottom w:val="single" w:sz="4" w:space="0" w:color="000000"/>
              <w:right w:val="nil"/>
            </w:tcBorders>
            <w:shd w:val="clear" w:color="auto" w:fill="auto"/>
            <w:vAlign w:val="center"/>
            <w:hideMark/>
          </w:tcPr>
          <w:p w14:paraId="2CF308C0"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2026</w:t>
            </w:r>
          </w:p>
        </w:tc>
        <w:tc>
          <w:tcPr>
            <w:tcW w:w="0" w:type="auto"/>
            <w:tcBorders>
              <w:top w:val="nil"/>
              <w:left w:val="nil"/>
              <w:bottom w:val="single" w:sz="4" w:space="0" w:color="000000"/>
              <w:right w:val="single" w:sz="4" w:space="0" w:color="000000"/>
            </w:tcBorders>
            <w:shd w:val="clear" w:color="000000" w:fill="F4B084"/>
            <w:noWrap/>
            <w:vAlign w:val="bottom"/>
            <w:hideMark/>
          </w:tcPr>
          <w:p w14:paraId="02A37AA1" w14:textId="4E96CEF4" w:rsidR="00F72188" w:rsidRPr="00F72188" w:rsidRDefault="00C90985"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255</w:t>
            </w:r>
          </w:p>
        </w:tc>
      </w:tr>
      <w:tr w:rsidR="00F72188" w:rsidRPr="00F72188" w14:paraId="3BFC6762" w14:textId="77777777" w:rsidTr="00F71BD2">
        <w:trPr>
          <w:trHeight w:val="260"/>
        </w:trPr>
        <w:tc>
          <w:tcPr>
            <w:tcW w:w="0" w:type="auto"/>
            <w:tcBorders>
              <w:top w:val="nil"/>
              <w:left w:val="nil"/>
              <w:bottom w:val="nil"/>
              <w:right w:val="nil"/>
            </w:tcBorders>
            <w:shd w:val="clear" w:color="auto" w:fill="auto"/>
            <w:noWrap/>
            <w:vAlign w:val="bottom"/>
            <w:hideMark/>
          </w:tcPr>
          <w:p w14:paraId="3A67EE5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p>
        </w:tc>
        <w:tc>
          <w:tcPr>
            <w:tcW w:w="0" w:type="auto"/>
            <w:tcBorders>
              <w:top w:val="nil"/>
              <w:left w:val="nil"/>
              <w:bottom w:val="nil"/>
              <w:right w:val="nil"/>
            </w:tcBorders>
            <w:shd w:val="clear" w:color="auto" w:fill="auto"/>
            <w:noWrap/>
            <w:vAlign w:val="bottom"/>
            <w:hideMark/>
          </w:tcPr>
          <w:p w14:paraId="402FBD79"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0284AF71"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374B256B"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bottom"/>
            <w:hideMark/>
          </w:tcPr>
          <w:p w14:paraId="58E74985" w14:textId="77777777" w:rsidR="00F72188" w:rsidRPr="00F72188" w:rsidRDefault="00F72188" w:rsidP="00F71BD2">
            <w:pPr>
              <w:spacing w:after="0" w:line="240" w:lineRule="auto"/>
              <w:rPr>
                <w:rFonts w:ascii="Times New Roman" w:eastAsia="Times New Roman" w:hAnsi="Times New Roman" w:cs="Times New Roman"/>
                <w:sz w:val="20"/>
                <w:szCs w:val="20"/>
                <w:lang w:val="en-US"/>
              </w:rPr>
            </w:pPr>
          </w:p>
        </w:tc>
      </w:tr>
      <w:tr w:rsidR="00F72188" w:rsidRPr="00F72188" w14:paraId="424DC736" w14:textId="77777777" w:rsidTr="00F71BD2">
        <w:trPr>
          <w:trHeight w:val="260"/>
        </w:trPr>
        <w:tc>
          <w:tcPr>
            <w:tcW w:w="0" w:type="auto"/>
            <w:tcBorders>
              <w:top w:val="single" w:sz="4" w:space="0" w:color="000000"/>
              <w:left w:val="single" w:sz="4" w:space="0" w:color="000000"/>
              <w:bottom w:val="single" w:sz="4" w:space="0" w:color="000000"/>
              <w:right w:val="nil"/>
            </w:tcBorders>
            <w:shd w:val="clear" w:color="auto" w:fill="auto"/>
            <w:vAlign w:val="center"/>
            <w:hideMark/>
          </w:tcPr>
          <w:p w14:paraId="5D16DBF0"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total outputs</w:t>
            </w:r>
          </w:p>
        </w:tc>
        <w:tc>
          <w:tcPr>
            <w:tcW w:w="0" w:type="auto"/>
            <w:tcBorders>
              <w:top w:val="single" w:sz="4" w:space="0" w:color="000000"/>
              <w:left w:val="nil"/>
              <w:bottom w:val="single" w:sz="4" w:space="0" w:color="000000"/>
              <w:right w:val="nil"/>
            </w:tcBorders>
            <w:shd w:val="clear" w:color="auto" w:fill="auto"/>
            <w:vAlign w:val="center"/>
            <w:hideMark/>
          </w:tcPr>
          <w:p w14:paraId="51006F0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single" w:sz="4" w:space="0" w:color="000000"/>
              <w:left w:val="nil"/>
              <w:bottom w:val="single" w:sz="4" w:space="0" w:color="000000"/>
              <w:right w:val="nil"/>
            </w:tcBorders>
            <w:shd w:val="clear" w:color="auto" w:fill="auto"/>
            <w:vAlign w:val="center"/>
            <w:hideMark/>
          </w:tcPr>
          <w:p w14:paraId="18AFA45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single" w:sz="4" w:space="0" w:color="000000"/>
              <w:left w:val="nil"/>
              <w:bottom w:val="single" w:sz="4" w:space="0" w:color="000000"/>
              <w:right w:val="nil"/>
            </w:tcBorders>
            <w:shd w:val="clear" w:color="auto" w:fill="auto"/>
            <w:vAlign w:val="center"/>
            <w:hideMark/>
          </w:tcPr>
          <w:p w14:paraId="2540D781"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2024-&gt;2026</w:t>
            </w:r>
          </w:p>
        </w:tc>
        <w:tc>
          <w:tcPr>
            <w:tcW w:w="0" w:type="auto"/>
            <w:tcBorders>
              <w:top w:val="single" w:sz="4" w:space="0" w:color="000000"/>
              <w:left w:val="nil"/>
              <w:bottom w:val="single" w:sz="4" w:space="0" w:color="000000"/>
              <w:right w:val="single" w:sz="4" w:space="0" w:color="000000"/>
            </w:tcBorders>
            <w:shd w:val="clear" w:color="000000" w:fill="9BC2E6"/>
            <w:vAlign w:val="center"/>
            <w:hideMark/>
          </w:tcPr>
          <w:p w14:paraId="43983C4A"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200</w:t>
            </w:r>
          </w:p>
        </w:tc>
      </w:tr>
      <w:tr w:rsidR="00F72188" w:rsidRPr="00F72188" w14:paraId="19A9544F" w14:textId="77777777" w:rsidTr="00F71BD2">
        <w:trPr>
          <w:trHeight w:val="520"/>
        </w:trPr>
        <w:tc>
          <w:tcPr>
            <w:tcW w:w="0" w:type="auto"/>
            <w:tcBorders>
              <w:top w:val="nil"/>
              <w:left w:val="single" w:sz="4" w:space="0" w:color="000000"/>
              <w:bottom w:val="single" w:sz="4" w:space="0" w:color="000000"/>
              <w:right w:val="nil"/>
            </w:tcBorders>
            <w:shd w:val="clear" w:color="auto" w:fill="auto"/>
            <w:vAlign w:val="center"/>
            <w:hideMark/>
          </w:tcPr>
          <w:p w14:paraId="3CE044C6"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Reported total outputs exclusively generated by top-up</w:t>
            </w:r>
          </w:p>
        </w:tc>
        <w:tc>
          <w:tcPr>
            <w:tcW w:w="0" w:type="auto"/>
            <w:tcBorders>
              <w:top w:val="nil"/>
              <w:left w:val="nil"/>
              <w:bottom w:val="single" w:sz="4" w:space="0" w:color="000000"/>
              <w:right w:val="nil"/>
            </w:tcBorders>
            <w:shd w:val="clear" w:color="auto" w:fill="auto"/>
            <w:vAlign w:val="center"/>
            <w:hideMark/>
          </w:tcPr>
          <w:p w14:paraId="02BB37D3"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63594F99"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operation</w:t>
            </w:r>
          </w:p>
        </w:tc>
        <w:tc>
          <w:tcPr>
            <w:tcW w:w="0" w:type="auto"/>
            <w:tcBorders>
              <w:top w:val="nil"/>
              <w:left w:val="nil"/>
              <w:bottom w:val="single" w:sz="4" w:space="0" w:color="000000"/>
              <w:right w:val="nil"/>
            </w:tcBorders>
            <w:shd w:val="clear" w:color="auto" w:fill="auto"/>
            <w:vAlign w:val="center"/>
            <w:hideMark/>
          </w:tcPr>
          <w:p w14:paraId="744F9864"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2024-&gt;2026</w:t>
            </w:r>
          </w:p>
        </w:tc>
        <w:tc>
          <w:tcPr>
            <w:tcW w:w="0" w:type="auto"/>
            <w:tcBorders>
              <w:top w:val="nil"/>
              <w:left w:val="nil"/>
              <w:bottom w:val="single" w:sz="4" w:space="0" w:color="000000"/>
              <w:right w:val="single" w:sz="4" w:space="0" w:color="000000"/>
            </w:tcBorders>
            <w:shd w:val="clear" w:color="000000" w:fill="9BC2E6"/>
            <w:vAlign w:val="center"/>
            <w:hideMark/>
          </w:tcPr>
          <w:p w14:paraId="2C96362E"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55</w:t>
            </w:r>
          </w:p>
        </w:tc>
      </w:tr>
      <w:tr w:rsidR="00F72188" w:rsidRPr="00F72188" w14:paraId="3372E4F5" w14:textId="77777777" w:rsidTr="00F71BD2">
        <w:trPr>
          <w:trHeight w:val="260"/>
        </w:trPr>
        <w:tc>
          <w:tcPr>
            <w:tcW w:w="0" w:type="auto"/>
            <w:tcBorders>
              <w:top w:val="nil"/>
              <w:left w:val="single" w:sz="4" w:space="0" w:color="000000"/>
              <w:bottom w:val="single" w:sz="4" w:space="0" w:color="000000"/>
              <w:right w:val="nil"/>
            </w:tcBorders>
            <w:shd w:val="clear" w:color="auto" w:fill="auto"/>
            <w:vAlign w:val="center"/>
            <w:hideMark/>
          </w:tcPr>
          <w:p w14:paraId="10142D20" w14:textId="77777777" w:rsidR="00F72188" w:rsidRPr="00F72188" w:rsidRDefault="00F72188" w:rsidP="00F71BD2">
            <w:pPr>
              <w:spacing w:after="0" w:line="240" w:lineRule="auto"/>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O.3 Number of beneficiaries</w:t>
            </w:r>
          </w:p>
        </w:tc>
        <w:tc>
          <w:tcPr>
            <w:tcW w:w="0" w:type="auto"/>
            <w:tcBorders>
              <w:top w:val="nil"/>
              <w:left w:val="nil"/>
              <w:bottom w:val="single" w:sz="4" w:space="0" w:color="000000"/>
              <w:right w:val="nil"/>
            </w:tcBorders>
            <w:shd w:val="clear" w:color="auto" w:fill="auto"/>
            <w:vAlign w:val="center"/>
            <w:hideMark/>
          </w:tcPr>
          <w:p w14:paraId="7113D09B"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Intervention</w:t>
            </w:r>
          </w:p>
        </w:tc>
        <w:tc>
          <w:tcPr>
            <w:tcW w:w="0" w:type="auto"/>
            <w:tcBorders>
              <w:top w:val="nil"/>
              <w:left w:val="nil"/>
              <w:bottom w:val="single" w:sz="4" w:space="0" w:color="000000"/>
              <w:right w:val="nil"/>
            </w:tcBorders>
            <w:shd w:val="clear" w:color="auto" w:fill="auto"/>
            <w:vAlign w:val="center"/>
            <w:hideMark/>
          </w:tcPr>
          <w:p w14:paraId="2036BC0D" w14:textId="52689080" w:rsidR="00F72188" w:rsidRPr="00F72188" w:rsidRDefault="00206EE3"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b</w:t>
            </w:r>
            <w:r w:rsidR="00F72188" w:rsidRPr="00F72188">
              <w:rPr>
                <w:rFonts w:ascii="Calibri" w:eastAsia="Times New Roman" w:hAnsi="Calibri" w:cs="Calibri"/>
                <w:color w:val="000000"/>
                <w:sz w:val="20"/>
                <w:szCs w:val="20"/>
                <w:lang w:val="en-US"/>
              </w:rPr>
              <w:t>eneficiary</w:t>
            </w:r>
          </w:p>
        </w:tc>
        <w:tc>
          <w:tcPr>
            <w:tcW w:w="0" w:type="auto"/>
            <w:tcBorders>
              <w:top w:val="nil"/>
              <w:left w:val="nil"/>
              <w:bottom w:val="single" w:sz="4" w:space="0" w:color="000000"/>
              <w:right w:val="nil"/>
            </w:tcBorders>
            <w:shd w:val="clear" w:color="auto" w:fill="auto"/>
            <w:vAlign w:val="center"/>
            <w:hideMark/>
          </w:tcPr>
          <w:p w14:paraId="6ED90E5E" w14:textId="77777777" w:rsidR="00F72188" w:rsidRPr="00F72188" w:rsidRDefault="00F72188" w:rsidP="00F71BD2">
            <w:pPr>
              <w:spacing w:after="0" w:line="240" w:lineRule="auto"/>
              <w:jc w:val="center"/>
              <w:rPr>
                <w:rFonts w:ascii="Calibri" w:eastAsia="Times New Roman" w:hAnsi="Calibri" w:cs="Calibri"/>
                <w:color w:val="000000"/>
                <w:sz w:val="20"/>
                <w:szCs w:val="20"/>
                <w:lang w:val="en-US"/>
              </w:rPr>
            </w:pPr>
            <w:r w:rsidRPr="00F72188">
              <w:rPr>
                <w:rFonts w:ascii="Calibri" w:eastAsia="Times New Roman" w:hAnsi="Calibri" w:cs="Calibri"/>
                <w:color w:val="000000"/>
                <w:sz w:val="20"/>
                <w:szCs w:val="20"/>
                <w:lang w:val="en-US"/>
              </w:rPr>
              <w:t>2024-&gt;2027</w:t>
            </w:r>
          </w:p>
        </w:tc>
        <w:tc>
          <w:tcPr>
            <w:tcW w:w="0" w:type="auto"/>
            <w:tcBorders>
              <w:top w:val="nil"/>
              <w:left w:val="nil"/>
              <w:bottom w:val="single" w:sz="4" w:space="0" w:color="000000"/>
              <w:right w:val="single" w:sz="4" w:space="0" w:color="000000"/>
            </w:tcBorders>
            <w:shd w:val="clear" w:color="000000" w:fill="F4B084"/>
            <w:noWrap/>
            <w:vAlign w:val="bottom"/>
            <w:hideMark/>
          </w:tcPr>
          <w:p w14:paraId="18092F93" w14:textId="107C52CC" w:rsidR="00F72188" w:rsidRPr="00F72188" w:rsidRDefault="00C90985" w:rsidP="00F71BD2">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255</w:t>
            </w:r>
          </w:p>
        </w:tc>
      </w:tr>
    </w:tbl>
    <w:p w14:paraId="18499880" w14:textId="77777777" w:rsidR="00F72188" w:rsidRPr="00F72188" w:rsidRDefault="00F72188" w:rsidP="00F72188">
      <w:pPr>
        <w:spacing w:after="0"/>
        <w:rPr>
          <w:rFonts w:ascii="Times New Roman" w:hAnsi="Times New Roman" w:cs="Times New Roman"/>
          <w:b/>
        </w:rPr>
        <w:sectPr w:rsidR="00F72188" w:rsidRPr="00F72188" w:rsidSect="00DB3E14">
          <w:pgSz w:w="15840" w:h="12240" w:orient="landscape"/>
          <w:pgMar w:top="1440" w:right="1440" w:bottom="1440" w:left="1440" w:header="708" w:footer="708" w:gutter="0"/>
          <w:cols w:space="708"/>
          <w:docGrid w:linePitch="360"/>
        </w:sectPr>
      </w:pPr>
    </w:p>
    <w:p w14:paraId="04328D95" w14:textId="37288843" w:rsidR="00D307E1" w:rsidRPr="000B58DB" w:rsidRDefault="003B2D6E" w:rsidP="000B58DB">
      <w:pPr>
        <w:pStyle w:val="Heading1"/>
        <w:rPr>
          <w:rFonts w:ascii="Times New Roman" w:hAnsi="Times New Roman" w:cs="Times New Roman"/>
          <w:color w:val="C45911" w:themeColor="accent2" w:themeShade="BF"/>
        </w:rPr>
      </w:pPr>
      <w:bookmarkStart w:id="44" w:name="_Toc126762231"/>
      <w:r w:rsidRPr="000B58DB">
        <w:rPr>
          <w:rFonts w:ascii="Times New Roman" w:hAnsi="Times New Roman" w:cs="Times New Roman"/>
          <w:color w:val="C45911" w:themeColor="accent2" w:themeShade="BF"/>
          <w:u w:val="single"/>
        </w:rPr>
        <w:lastRenderedPageBreak/>
        <w:t xml:space="preserve">Annex </w:t>
      </w:r>
      <w:r w:rsidR="003527AF" w:rsidRPr="000B58DB">
        <w:rPr>
          <w:rFonts w:ascii="Times New Roman" w:hAnsi="Times New Roman" w:cs="Times New Roman"/>
          <w:color w:val="C45911" w:themeColor="accent2" w:themeShade="BF"/>
          <w:u w:val="single"/>
        </w:rPr>
        <w:t>V</w:t>
      </w:r>
      <w:r w:rsidR="00AA3ACE">
        <w:rPr>
          <w:rFonts w:ascii="Times New Roman" w:hAnsi="Times New Roman" w:cs="Times New Roman"/>
          <w:color w:val="C45911" w:themeColor="accent2" w:themeShade="BF"/>
          <w:u w:val="single"/>
        </w:rPr>
        <w:t>I</w:t>
      </w:r>
      <w:r w:rsidR="000B58DB" w:rsidRPr="000B58DB">
        <w:rPr>
          <w:rFonts w:ascii="Times New Roman" w:hAnsi="Times New Roman" w:cs="Times New Roman"/>
          <w:color w:val="C45911" w:themeColor="accent2" w:themeShade="BF"/>
        </w:rPr>
        <w:t xml:space="preserve">: </w:t>
      </w:r>
      <w:r w:rsidR="00274A6D" w:rsidRPr="000B58DB">
        <w:rPr>
          <w:rFonts w:ascii="Times New Roman" w:hAnsi="Times New Roman" w:cs="Times New Roman"/>
          <w:color w:val="C45911" w:themeColor="accent2" w:themeShade="BF"/>
        </w:rPr>
        <w:t>Rule to avoid double counting</w:t>
      </w:r>
      <w:bookmarkEnd w:id="44"/>
    </w:p>
    <w:p w14:paraId="226E2E06" w14:textId="77777777" w:rsidR="001923EC" w:rsidRDefault="000B58DB" w:rsidP="000B58DB">
      <w:pPr>
        <w:spacing w:before="240" w:after="120" w:line="264" w:lineRule="auto"/>
        <w:jc w:val="center"/>
        <w:rPr>
          <w:rFonts w:ascii="Times New Roman" w:hAnsi="Times New Roman" w:cs="Times New Roman"/>
          <w:b/>
        </w:rPr>
      </w:pPr>
      <w:r>
        <w:rPr>
          <w:rFonts w:ascii="Times New Roman" w:hAnsi="Times New Roman" w:cs="Times New Roman"/>
          <w:b/>
        </w:rPr>
        <w:t xml:space="preserve">Rule to avoid double counting </w:t>
      </w:r>
      <w:r w:rsidR="00274A6D">
        <w:rPr>
          <w:rFonts w:ascii="Times New Roman" w:hAnsi="Times New Roman" w:cs="Times New Roman"/>
          <w:b/>
        </w:rPr>
        <w:t>in the aggregate value of a</w:t>
      </w:r>
      <w:r w:rsidR="001923EC" w:rsidRPr="006F2CA5">
        <w:rPr>
          <w:rFonts w:ascii="Times New Roman" w:hAnsi="Times New Roman" w:cs="Times New Roman"/>
          <w:b/>
        </w:rPr>
        <w:t>rea-based output</w:t>
      </w:r>
      <w:r w:rsidR="00274A6D">
        <w:rPr>
          <w:rFonts w:ascii="Times New Roman" w:hAnsi="Times New Roman" w:cs="Times New Roman"/>
          <w:b/>
        </w:rPr>
        <w:t xml:space="preserve"> indicators</w:t>
      </w:r>
      <w:r w:rsidR="001923EC" w:rsidRPr="006F2CA5">
        <w:rPr>
          <w:rFonts w:ascii="Times New Roman" w:hAnsi="Times New Roman" w:cs="Times New Roman"/>
          <w:b/>
        </w:rPr>
        <w:t xml:space="preserve"> and </w:t>
      </w:r>
      <w:r w:rsidR="00274A6D">
        <w:rPr>
          <w:rFonts w:ascii="Times New Roman" w:hAnsi="Times New Roman" w:cs="Times New Roman"/>
          <w:b/>
        </w:rPr>
        <w:t xml:space="preserve">in </w:t>
      </w:r>
      <w:r w:rsidR="001923EC" w:rsidRPr="006F2CA5">
        <w:rPr>
          <w:rFonts w:ascii="Times New Roman" w:hAnsi="Times New Roman" w:cs="Times New Roman"/>
          <w:b/>
        </w:rPr>
        <w:t>result indicators</w:t>
      </w:r>
    </w:p>
    <w:p w14:paraId="77E86C0D" w14:textId="77777777" w:rsidR="00844F6D" w:rsidRPr="00844F6D" w:rsidRDefault="00844F6D" w:rsidP="00844F6D">
      <w:pPr>
        <w:spacing w:after="120" w:line="264" w:lineRule="auto"/>
        <w:rPr>
          <w:rFonts w:ascii="Times New Roman" w:hAnsi="Times New Roman" w:cs="Times New Roman"/>
        </w:rPr>
      </w:pPr>
      <w:r w:rsidRPr="00844F6D">
        <w:rPr>
          <w:rFonts w:ascii="Times New Roman" w:hAnsi="Times New Roman" w:cs="Times New Roman"/>
        </w:rPr>
        <w:t>In order to</w:t>
      </w:r>
      <w:r w:rsidR="000722D5">
        <w:rPr>
          <w:rFonts w:ascii="Times New Roman" w:hAnsi="Times New Roman" w:cs="Times New Roman"/>
        </w:rPr>
        <w:t xml:space="preserve"> avoid double counting in the aggregate value of area-based output indicators and in area-based result </w:t>
      </w:r>
      <w:r w:rsidRPr="00844F6D">
        <w:rPr>
          <w:rFonts w:ascii="Times New Roman" w:hAnsi="Times New Roman" w:cs="Times New Roman"/>
        </w:rPr>
        <w:t>indicato</w:t>
      </w:r>
      <w:r w:rsidR="000722D5">
        <w:rPr>
          <w:rFonts w:ascii="Times New Roman" w:hAnsi="Times New Roman" w:cs="Times New Roman"/>
        </w:rPr>
        <w:t>rs, the following</w:t>
      </w:r>
      <w:r w:rsidRPr="00844F6D">
        <w:rPr>
          <w:rFonts w:ascii="Times New Roman" w:hAnsi="Times New Roman" w:cs="Times New Roman"/>
        </w:rPr>
        <w:t xml:space="preserve"> simplified calculation </w:t>
      </w:r>
      <w:r w:rsidR="000722D5">
        <w:rPr>
          <w:rFonts w:ascii="Times New Roman" w:hAnsi="Times New Roman" w:cs="Times New Roman"/>
        </w:rPr>
        <w:t>allowing</w:t>
      </w:r>
      <w:r w:rsidR="000722D5" w:rsidRPr="00844F6D">
        <w:rPr>
          <w:rFonts w:ascii="Times New Roman" w:hAnsi="Times New Roman" w:cs="Times New Roman"/>
        </w:rPr>
        <w:t xml:space="preserve"> for the localisation</w:t>
      </w:r>
      <w:r w:rsidR="000722D5">
        <w:rPr>
          <w:rFonts w:ascii="Times New Roman" w:hAnsi="Times New Roman" w:cs="Times New Roman"/>
        </w:rPr>
        <w:t xml:space="preserve"> of the support at parcel level</w:t>
      </w:r>
      <w:r w:rsidR="000722D5" w:rsidRPr="00844F6D">
        <w:rPr>
          <w:rFonts w:ascii="Times New Roman" w:hAnsi="Times New Roman" w:cs="Times New Roman"/>
        </w:rPr>
        <w:t xml:space="preserve"> </w:t>
      </w:r>
      <w:r w:rsidRPr="00844F6D">
        <w:rPr>
          <w:rFonts w:ascii="Times New Roman" w:hAnsi="Times New Roman" w:cs="Times New Roman"/>
        </w:rPr>
        <w:t>is proposed</w:t>
      </w:r>
      <w:r w:rsidR="000722D5">
        <w:rPr>
          <w:rFonts w:ascii="Times New Roman" w:hAnsi="Times New Roman" w:cs="Times New Roman"/>
        </w:rPr>
        <w:t>.</w:t>
      </w:r>
    </w:p>
    <w:p w14:paraId="2A8620B1" w14:textId="77777777" w:rsidR="00844F6D" w:rsidRPr="00844F6D" w:rsidRDefault="00844F6D" w:rsidP="00844F6D">
      <w:pPr>
        <w:spacing w:after="120" w:line="264" w:lineRule="auto"/>
        <w:rPr>
          <w:rFonts w:ascii="Times New Roman" w:hAnsi="Times New Roman" w:cs="Times New Roman"/>
        </w:rPr>
      </w:pPr>
      <w:r w:rsidRPr="00844F6D">
        <w:rPr>
          <w:rFonts w:ascii="Times New Roman" w:hAnsi="Times New Roman" w:cs="Times New Roman"/>
        </w:rPr>
        <w:t xml:space="preserve">The operation of the CAP area support requires </w:t>
      </w:r>
      <w:r w:rsidR="00674DAD">
        <w:rPr>
          <w:rFonts w:ascii="Times New Roman" w:hAnsi="Times New Roman" w:cs="Times New Roman"/>
        </w:rPr>
        <w:t xml:space="preserve">the </w:t>
      </w:r>
      <w:r w:rsidRPr="00844F6D">
        <w:rPr>
          <w:rFonts w:ascii="Times New Roman" w:hAnsi="Times New Roman" w:cs="Times New Roman"/>
        </w:rPr>
        <w:t xml:space="preserve">monitoring </w:t>
      </w:r>
      <w:r w:rsidR="00674DAD">
        <w:rPr>
          <w:rFonts w:ascii="Times New Roman" w:hAnsi="Times New Roman" w:cs="Times New Roman"/>
        </w:rPr>
        <w:t xml:space="preserve">of </w:t>
      </w:r>
      <w:r w:rsidRPr="00844F6D">
        <w:rPr>
          <w:rFonts w:ascii="Times New Roman" w:hAnsi="Times New Roman" w:cs="Times New Roman"/>
        </w:rPr>
        <w:t xml:space="preserve">various areas: </w:t>
      </w:r>
    </w:p>
    <w:p w14:paraId="76A0E46A" w14:textId="77777777" w:rsidR="00844F6D" w:rsidRPr="00844F6D" w:rsidRDefault="00844F6D" w:rsidP="000B58DB">
      <w:pPr>
        <w:spacing w:after="120" w:line="264" w:lineRule="auto"/>
        <w:ind w:left="284" w:hanging="284"/>
        <w:jc w:val="both"/>
        <w:rPr>
          <w:rFonts w:ascii="Times New Roman" w:hAnsi="Times New Roman" w:cs="Times New Roman"/>
        </w:rPr>
      </w:pPr>
      <w:r w:rsidRPr="00844F6D">
        <w:rPr>
          <w:rFonts w:ascii="Times New Roman" w:hAnsi="Times New Roman" w:cs="Times New Roman"/>
        </w:rPr>
        <w:t>1)</w:t>
      </w:r>
      <w:r w:rsidRPr="00844F6D">
        <w:rPr>
          <w:rFonts w:ascii="Times New Roman" w:hAnsi="Times New Roman" w:cs="Times New Roman"/>
        </w:rPr>
        <w:tab/>
      </w:r>
      <w:r w:rsidRPr="005D7DD3">
        <w:rPr>
          <w:rFonts w:ascii="Times New Roman" w:hAnsi="Times New Roman" w:cs="Times New Roman"/>
          <w:b/>
        </w:rPr>
        <w:t>Area declared</w:t>
      </w:r>
      <w:r w:rsidRPr="00844F6D">
        <w:rPr>
          <w:rFonts w:ascii="Times New Roman" w:hAnsi="Times New Roman" w:cs="Times New Roman"/>
        </w:rPr>
        <w:t xml:space="preserve"> (or </w:t>
      </w:r>
      <w:r w:rsidRPr="004D6A4E">
        <w:rPr>
          <w:rFonts w:ascii="Times New Roman" w:hAnsi="Times New Roman" w:cs="Times New Roman"/>
          <w:b/>
        </w:rPr>
        <w:t>claimed area</w:t>
      </w:r>
      <w:r w:rsidRPr="00844F6D">
        <w:rPr>
          <w:rFonts w:ascii="Times New Roman" w:hAnsi="Times New Roman" w:cs="Times New Roman"/>
        </w:rPr>
        <w:t xml:space="preserve">): it is the area declared by the beneficiary and potentially eligible for payment (e.g. 100 </w:t>
      </w:r>
      <w:r w:rsidR="00674DAD">
        <w:rPr>
          <w:rFonts w:ascii="Times New Roman" w:hAnsi="Times New Roman" w:cs="Times New Roman"/>
        </w:rPr>
        <w:t>hectares</w:t>
      </w:r>
      <w:r w:rsidRPr="00844F6D">
        <w:rPr>
          <w:rFonts w:ascii="Times New Roman" w:hAnsi="Times New Roman" w:cs="Times New Roman"/>
        </w:rPr>
        <w:t>);</w:t>
      </w:r>
    </w:p>
    <w:p w14:paraId="1567A69A" w14:textId="77777777" w:rsidR="00844F6D" w:rsidRPr="00844F6D" w:rsidRDefault="00844F6D" w:rsidP="000B58DB">
      <w:pPr>
        <w:spacing w:after="120" w:line="264" w:lineRule="auto"/>
        <w:ind w:left="284" w:hanging="284"/>
        <w:jc w:val="both"/>
        <w:rPr>
          <w:rFonts w:ascii="Times New Roman" w:hAnsi="Times New Roman" w:cs="Times New Roman"/>
        </w:rPr>
      </w:pPr>
      <w:r w:rsidRPr="00844F6D">
        <w:rPr>
          <w:rFonts w:ascii="Times New Roman" w:hAnsi="Times New Roman" w:cs="Times New Roman"/>
        </w:rPr>
        <w:t>2)</w:t>
      </w:r>
      <w:r w:rsidRPr="00844F6D">
        <w:rPr>
          <w:rFonts w:ascii="Times New Roman" w:hAnsi="Times New Roman" w:cs="Times New Roman"/>
        </w:rPr>
        <w:tab/>
      </w:r>
      <w:r w:rsidRPr="005D7DD3">
        <w:rPr>
          <w:rFonts w:ascii="Times New Roman" w:hAnsi="Times New Roman" w:cs="Times New Roman"/>
          <w:b/>
        </w:rPr>
        <w:t>Area determined after</w:t>
      </w:r>
      <w:r w:rsidR="00CD4986">
        <w:rPr>
          <w:rFonts w:ascii="Times New Roman" w:hAnsi="Times New Roman" w:cs="Times New Roman"/>
          <w:b/>
        </w:rPr>
        <w:t xml:space="preserve"> administrative</w:t>
      </w:r>
      <w:r w:rsidRPr="005D7DD3">
        <w:rPr>
          <w:rFonts w:ascii="Times New Roman" w:hAnsi="Times New Roman" w:cs="Times New Roman"/>
          <w:b/>
        </w:rPr>
        <w:t xml:space="preserve"> controls </w:t>
      </w:r>
      <w:r w:rsidRPr="00D5353E">
        <w:rPr>
          <w:rFonts w:ascii="Times New Roman" w:hAnsi="Times New Roman" w:cs="Times New Roman"/>
          <w:b/>
          <w:u w:val="single"/>
        </w:rPr>
        <w:t>before</w:t>
      </w:r>
      <w:r w:rsidRPr="005D7DD3">
        <w:rPr>
          <w:rFonts w:ascii="Times New Roman" w:hAnsi="Times New Roman" w:cs="Times New Roman"/>
          <w:b/>
        </w:rPr>
        <w:t xml:space="preserve"> applying any limits</w:t>
      </w:r>
      <w:r w:rsidRPr="00844F6D">
        <w:rPr>
          <w:rFonts w:ascii="Times New Roman" w:hAnsi="Times New Roman" w:cs="Times New Roman"/>
        </w:rPr>
        <w:t xml:space="preserve">: it means the number of hectares, for which all conditions laid down for the granting of the payment have been met resulting from the administrative and on-the-spot checks </w:t>
      </w:r>
      <w:r w:rsidRPr="00E80FBC">
        <w:rPr>
          <w:rFonts w:ascii="Times New Roman" w:hAnsi="Times New Roman" w:cs="Times New Roman"/>
          <w:b/>
        </w:rPr>
        <w:t xml:space="preserve">before </w:t>
      </w:r>
      <w:r w:rsidRPr="00844F6D">
        <w:rPr>
          <w:rFonts w:ascii="Times New Roman" w:hAnsi="Times New Roman" w:cs="Times New Roman"/>
        </w:rPr>
        <w:t>the application of any limit</w:t>
      </w:r>
      <w:r w:rsidR="00E80FBC">
        <w:rPr>
          <w:rFonts w:ascii="Times New Roman" w:hAnsi="Times New Roman" w:cs="Times New Roman"/>
        </w:rPr>
        <w:t>s</w:t>
      </w:r>
      <w:r w:rsidRPr="00844F6D">
        <w:rPr>
          <w:rFonts w:ascii="Times New Roman" w:hAnsi="Times New Roman" w:cs="Times New Roman"/>
        </w:rPr>
        <w:t xml:space="preserve"> (</w:t>
      </w:r>
      <w:r w:rsidR="00E80FBC">
        <w:rPr>
          <w:rFonts w:ascii="Times New Roman" w:hAnsi="Times New Roman" w:cs="Times New Roman"/>
        </w:rPr>
        <w:t>such as</w:t>
      </w:r>
      <w:r w:rsidRPr="00844F6D">
        <w:rPr>
          <w:rFonts w:ascii="Times New Roman" w:hAnsi="Times New Roman" w:cs="Times New Roman"/>
        </w:rPr>
        <w:t xml:space="preserve"> the number of entitlements in the case of </w:t>
      </w:r>
      <w:r w:rsidR="00E80FBC">
        <w:rPr>
          <w:rFonts w:ascii="Times New Roman" w:hAnsi="Times New Roman" w:cs="Times New Roman"/>
        </w:rPr>
        <w:t>b</w:t>
      </w:r>
      <w:r w:rsidR="00E80FBC" w:rsidRPr="00E80FBC">
        <w:rPr>
          <w:rFonts w:ascii="Times New Roman" w:hAnsi="Times New Roman" w:cs="Times New Roman"/>
        </w:rPr>
        <w:t xml:space="preserve">asic </w:t>
      </w:r>
      <w:r w:rsidR="009162BA">
        <w:rPr>
          <w:rFonts w:ascii="Times New Roman" w:hAnsi="Times New Roman" w:cs="Times New Roman"/>
        </w:rPr>
        <w:t>i</w:t>
      </w:r>
      <w:r w:rsidR="00E80FBC" w:rsidRPr="00E80FBC">
        <w:rPr>
          <w:rFonts w:ascii="Times New Roman" w:hAnsi="Times New Roman" w:cs="Times New Roman"/>
        </w:rPr>
        <w:t>ncome support for sustainabilit</w:t>
      </w:r>
      <w:r w:rsidR="009162BA">
        <w:rPr>
          <w:rFonts w:ascii="Times New Roman" w:hAnsi="Times New Roman" w:cs="Times New Roman"/>
        </w:rPr>
        <w:t>y</w:t>
      </w:r>
      <w:r w:rsidR="00E80FBC">
        <w:rPr>
          <w:rFonts w:ascii="Times New Roman" w:hAnsi="Times New Roman" w:cs="Times New Roman"/>
        </w:rPr>
        <w:t xml:space="preserve"> or</w:t>
      </w:r>
      <w:r w:rsidRPr="00844F6D">
        <w:rPr>
          <w:rFonts w:ascii="Times New Roman" w:hAnsi="Times New Roman" w:cs="Times New Roman"/>
        </w:rPr>
        <w:t xml:space="preserve"> </w:t>
      </w:r>
      <w:r w:rsidR="00E80FBC">
        <w:rPr>
          <w:rFonts w:ascii="Times New Roman" w:hAnsi="Times New Roman" w:cs="Times New Roman"/>
        </w:rPr>
        <w:t>maximum thresholds</w:t>
      </w:r>
      <w:r w:rsidR="00E80FBC" w:rsidRPr="00844F6D">
        <w:rPr>
          <w:rFonts w:ascii="Times New Roman" w:hAnsi="Times New Roman" w:cs="Times New Roman"/>
        </w:rPr>
        <w:t xml:space="preserve"> </w:t>
      </w:r>
      <w:r w:rsidRPr="00844F6D">
        <w:rPr>
          <w:rFonts w:ascii="Times New Roman" w:hAnsi="Times New Roman" w:cs="Times New Roman"/>
        </w:rPr>
        <w:t xml:space="preserve">set by </w:t>
      </w:r>
      <w:r w:rsidR="00240623">
        <w:rPr>
          <w:rFonts w:ascii="Times New Roman" w:hAnsi="Times New Roman" w:cs="Times New Roman"/>
        </w:rPr>
        <w:t>MS</w:t>
      </w:r>
      <w:r w:rsidRPr="00844F6D">
        <w:rPr>
          <w:rFonts w:ascii="Times New Roman" w:hAnsi="Times New Roman" w:cs="Times New Roman"/>
        </w:rPr>
        <w:t xml:space="preserve"> for certain interventions) (e.g. </w:t>
      </w:r>
      <w:r w:rsidR="00674DAD">
        <w:rPr>
          <w:rFonts w:ascii="Times New Roman" w:hAnsi="Times New Roman" w:cs="Times New Roman"/>
        </w:rPr>
        <w:t>98 hectares</w:t>
      </w:r>
      <w:r w:rsidRPr="00844F6D">
        <w:rPr>
          <w:rFonts w:ascii="Times New Roman" w:hAnsi="Times New Roman" w:cs="Times New Roman"/>
        </w:rPr>
        <w:t xml:space="preserve">, if after controls 2 hectares are not eligible). </w:t>
      </w:r>
    </w:p>
    <w:p w14:paraId="446F3198" w14:textId="77777777" w:rsidR="000722D5" w:rsidRPr="00844F6D" w:rsidRDefault="00844F6D" w:rsidP="000B58DB">
      <w:pPr>
        <w:spacing w:after="240" w:line="264" w:lineRule="auto"/>
        <w:ind w:left="284" w:hanging="284"/>
        <w:jc w:val="both"/>
        <w:rPr>
          <w:rFonts w:ascii="Times New Roman" w:hAnsi="Times New Roman" w:cs="Times New Roman"/>
        </w:rPr>
      </w:pPr>
      <w:r w:rsidRPr="00844F6D">
        <w:rPr>
          <w:rFonts w:ascii="Times New Roman" w:hAnsi="Times New Roman" w:cs="Times New Roman"/>
        </w:rPr>
        <w:t>3)</w:t>
      </w:r>
      <w:r w:rsidRPr="00844F6D">
        <w:rPr>
          <w:rFonts w:ascii="Times New Roman" w:hAnsi="Times New Roman" w:cs="Times New Roman"/>
        </w:rPr>
        <w:tab/>
      </w:r>
      <w:r w:rsidRPr="005D7DD3">
        <w:rPr>
          <w:rFonts w:ascii="Times New Roman" w:hAnsi="Times New Roman" w:cs="Times New Roman"/>
          <w:b/>
        </w:rPr>
        <w:t xml:space="preserve">Area determined after </w:t>
      </w:r>
      <w:r w:rsidR="00CD4986">
        <w:rPr>
          <w:rFonts w:ascii="Times New Roman" w:hAnsi="Times New Roman" w:cs="Times New Roman"/>
          <w:b/>
        </w:rPr>
        <w:t xml:space="preserve">administrative </w:t>
      </w:r>
      <w:r w:rsidRPr="005D7DD3">
        <w:rPr>
          <w:rFonts w:ascii="Times New Roman" w:hAnsi="Times New Roman" w:cs="Times New Roman"/>
          <w:b/>
        </w:rPr>
        <w:t xml:space="preserve">controls </w:t>
      </w:r>
      <w:r w:rsidRPr="00D5353E">
        <w:rPr>
          <w:rFonts w:ascii="Times New Roman" w:hAnsi="Times New Roman" w:cs="Times New Roman"/>
          <w:b/>
          <w:u w:val="single"/>
        </w:rPr>
        <w:t>after</w:t>
      </w:r>
      <w:r w:rsidRPr="005D7DD3">
        <w:rPr>
          <w:rFonts w:ascii="Times New Roman" w:hAnsi="Times New Roman" w:cs="Times New Roman"/>
          <w:b/>
        </w:rPr>
        <w:t xml:space="preserve"> applying </w:t>
      </w:r>
      <w:r w:rsidR="00E80FBC">
        <w:rPr>
          <w:rFonts w:ascii="Times New Roman" w:hAnsi="Times New Roman" w:cs="Times New Roman"/>
          <w:b/>
        </w:rPr>
        <w:t xml:space="preserve">any </w:t>
      </w:r>
      <w:r w:rsidRPr="005D7DD3">
        <w:rPr>
          <w:rFonts w:ascii="Times New Roman" w:hAnsi="Times New Roman" w:cs="Times New Roman"/>
          <w:b/>
        </w:rPr>
        <w:t>limits</w:t>
      </w:r>
      <w:r w:rsidRPr="00844F6D">
        <w:rPr>
          <w:rFonts w:ascii="Times New Roman" w:hAnsi="Times New Roman" w:cs="Times New Roman"/>
        </w:rPr>
        <w:t xml:space="preserve">: it corresponds to the number of hectares for which all conditions laid down for the granting of the payment have been met resulting from the administrative and on-the-spot checks </w:t>
      </w:r>
      <w:r w:rsidRPr="00E80FBC">
        <w:rPr>
          <w:rFonts w:ascii="Times New Roman" w:hAnsi="Times New Roman" w:cs="Times New Roman"/>
          <w:b/>
        </w:rPr>
        <w:t>after</w:t>
      </w:r>
      <w:r w:rsidRPr="00844F6D">
        <w:rPr>
          <w:rFonts w:ascii="Times New Roman" w:hAnsi="Times New Roman" w:cs="Times New Roman"/>
        </w:rPr>
        <w:t xml:space="preserve"> the application of any limit/ceiling (e.g. </w:t>
      </w:r>
      <w:r w:rsidR="00674DAD">
        <w:rPr>
          <w:rFonts w:ascii="Times New Roman" w:hAnsi="Times New Roman" w:cs="Times New Roman"/>
        </w:rPr>
        <w:t>80 hectares</w:t>
      </w:r>
      <w:r w:rsidRPr="00844F6D">
        <w:rPr>
          <w:rFonts w:ascii="Times New Roman" w:hAnsi="Times New Roman" w:cs="Times New Roman"/>
        </w:rPr>
        <w:t xml:space="preserve"> if the farmer has only 80 entitlements). This corresponds to the </w:t>
      </w:r>
      <w:r w:rsidRPr="009162BA">
        <w:rPr>
          <w:rFonts w:ascii="Times New Roman" w:hAnsi="Times New Roman" w:cs="Times New Roman"/>
          <w:b/>
        </w:rPr>
        <w:t>area paid</w:t>
      </w:r>
      <w:r w:rsidRPr="00844F6D">
        <w:rPr>
          <w:rFonts w:ascii="Times New Roman" w:hAnsi="Times New Roman" w:cs="Times New Roman"/>
        </w:rPr>
        <w:t>.</w:t>
      </w:r>
    </w:p>
    <w:p w14:paraId="78CE7147" w14:textId="77777777" w:rsidR="00844F6D" w:rsidRPr="00844F6D" w:rsidRDefault="00844F6D" w:rsidP="00844F6D">
      <w:pPr>
        <w:spacing w:after="120" w:line="264" w:lineRule="auto"/>
        <w:rPr>
          <w:rFonts w:ascii="Times New Roman" w:hAnsi="Times New Roman" w:cs="Times New Roman"/>
        </w:rPr>
      </w:pPr>
      <w:r w:rsidRPr="00844F6D">
        <w:rPr>
          <w:rFonts w:ascii="Times New Roman" w:hAnsi="Times New Roman" w:cs="Times New Roman"/>
        </w:rPr>
        <w:t xml:space="preserve">The reporting needs differ according to the </w:t>
      </w:r>
      <w:r w:rsidR="000722D5">
        <w:rPr>
          <w:rFonts w:ascii="Times New Roman" w:hAnsi="Times New Roman" w:cs="Times New Roman"/>
        </w:rPr>
        <w:t>purpose</w:t>
      </w:r>
      <w:r w:rsidRPr="00844F6D">
        <w:rPr>
          <w:rFonts w:ascii="Times New Roman" w:hAnsi="Times New Roman" w:cs="Times New Roman"/>
        </w:rPr>
        <w:t xml:space="preserve"> of the indicators: </w:t>
      </w:r>
    </w:p>
    <w:p w14:paraId="22DCA190" w14:textId="77777777" w:rsidR="00844F6D" w:rsidRPr="00844F6D" w:rsidRDefault="00844F6D" w:rsidP="000722D5">
      <w:pPr>
        <w:spacing w:after="120" w:line="264" w:lineRule="auto"/>
        <w:ind w:left="851" w:hanging="284"/>
        <w:rPr>
          <w:rFonts w:ascii="Times New Roman" w:hAnsi="Times New Roman" w:cs="Times New Roman"/>
        </w:rPr>
      </w:pPr>
      <w:r w:rsidRPr="00844F6D">
        <w:rPr>
          <w:rFonts w:ascii="Times New Roman" w:hAnsi="Times New Roman" w:cs="Times New Roman"/>
        </w:rPr>
        <w:t>•</w:t>
      </w:r>
      <w:r w:rsidRPr="00844F6D">
        <w:rPr>
          <w:rFonts w:ascii="Times New Roman" w:hAnsi="Times New Roman" w:cs="Times New Roman"/>
        </w:rPr>
        <w:tab/>
        <w:t xml:space="preserve">for performance clearance: the </w:t>
      </w:r>
      <w:r w:rsidRPr="00CD4986">
        <w:rPr>
          <w:rFonts w:ascii="Times New Roman" w:hAnsi="Times New Roman" w:cs="Times New Roman"/>
          <w:b/>
        </w:rPr>
        <w:t>area paid</w:t>
      </w:r>
      <w:r w:rsidRPr="00844F6D">
        <w:rPr>
          <w:rFonts w:ascii="Times New Roman" w:hAnsi="Times New Roman" w:cs="Times New Roman"/>
        </w:rPr>
        <w:t xml:space="preserve"> at</w:t>
      </w:r>
      <w:r w:rsidR="000722D5">
        <w:rPr>
          <w:rFonts w:ascii="Times New Roman" w:hAnsi="Times New Roman" w:cs="Times New Roman"/>
        </w:rPr>
        <w:t xml:space="preserve"> intervention/unit amount level</w:t>
      </w:r>
      <w:r w:rsidR="00CD4986">
        <w:rPr>
          <w:rFonts w:ascii="Times New Roman" w:hAnsi="Times New Roman" w:cs="Times New Roman"/>
        </w:rPr>
        <w:t xml:space="preserve"> (point 3)</w:t>
      </w:r>
      <w:r w:rsidR="000722D5">
        <w:rPr>
          <w:rFonts w:ascii="Times New Roman" w:hAnsi="Times New Roman" w:cs="Times New Roman"/>
        </w:rPr>
        <w:t>;</w:t>
      </w:r>
      <w:r w:rsidRPr="00844F6D">
        <w:rPr>
          <w:rFonts w:ascii="Times New Roman" w:hAnsi="Times New Roman" w:cs="Times New Roman"/>
        </w:rPr>
        <w:t xml:space="preserve"> </w:t>
      </w:r>
    </w:p>
    <w:p w14:paraId="052ED307" w14:textId="77777777" w:rsidR="00844F6D" w:rsidRPr="00844F6D" w:rsidRDefault="00844F6D" w:rsidP="00641C83">
      <w:pPr>
        <w:spacing w:after="240" w:line="264" w:lineRule="auto"/>
        <w:ind w:left="851" w:hanging="284"/>
        <w:rPr>
          <w:rFonts w:ascii="Times New Roman" w:hAnsi="Times New Roman" w:cs="Times New Roman"/>
        </w:rPr>
      </w:pPr>
      <w:r w:rsidRPr="00844F6D">
        <w:rPr>
          <w:rFonts w:ascii="Times New Roman" w:hAnsi="Times New Roman" w:cs="Times New Roman"/>
        </w:rPr>
        <w:t>•</w:t>
      </w:r>
      <w:r w:rsidRPr="00844F6D">
        <w:rPr>
          <w:rFonts w:ascii="Times New Roman" w:hAnsi="Times New Roman" w:cs="Times New Roman"/>
        </w:rPr>
        <w:tab/>
        <w:t xml:space="preserve">for monitoring and evaluating the performance of the CAP: </w:t>
      </w:r>
      <w:r w:rsidRPr="00D5353E">
        <w:rPr>
          <w:rFonts w:ascii="Times New Roman" w:hAnsi="Times New Roman" w:cs="Times New Roman"/>
          <w:b/>
        </w:rPr>
        <w:t>it is key to avoid double co</w:t>
      </w:r>
      <w:r w:rsidR="000722D5" w:rsidRPr="00D5353E">
        <w:rPr>
          <w:rFonts w:ascii="Times New Roman" w:hAnsi="Times New Roman" w:cs="Times New Roman"/>
          <w:b/>
        </w:rPr>
        <w:t>unting</w:t>
      </w:r>
      <w:r w:rsidR="000722D5">
        <w:rPr>
          <w:rFonts w:ascii="Times New Roman" w:hAnsi="Times New Roman" w:cs="Times New Roman"/>
        </w:rPr>
        <w:t xml:space="preserve"> in the aggregates and </w:t>
      </w:r>
      <w:r w:rsidRPr="00844F6D">
        <w:rPr>
          <w:rFonts w:ascii="Times New Roman" w:hAnsi="Times New Roman" w:cs="Times New Roman"/>
        </w:rPr>
        <w:t>measur</w:t>
      </w:r>
      <w:r w:rsidR="000722D5">
        <w:rPr>
          <w:rFonts w:ascii="Times New Roman" w:hAnsi="Times New Roman" w:cs="Times New Roman"/>
        </w:rPr>
        <w:t xml:space="preserve">e the whole area covered by the </w:t>
      </w:r>
      <w:r w:rsidRPr="00844F6D">
        <w:rPr>
          <w:rFonts w:ascii="Times New Roman" w:hAnsi="Times New Roman" w:cs="Times New Roman"/>
        </w:rPr>
        <w:t>CAP</w:t>
      </w:r>
      <w:r w:rsidR="000722D5">
        <w:rPr>
          <w:rFonts w:ascii="Times New Roman" w:hAnsi="Times New Roman" w:cs="Times New Roman"/>
        </w:rPr>
        <w:t>. T</w:t>
      </w:r>
      <w:r w:rsidRPr="00844F6D">
        <w:rPr>
          <w:rFonts w:ascii="Times New Roman" w:hAnsi="Times New Roman" w:cs="Times New Roman"/>
        </w:rPr>
        <w:t>hus</w:t>
      </w:r>
      <w:r w:rsidR="000722D5">
        <w:rPr>
          <w:rFonts w:ascii="Times New Roman" w:hAnsi="Times New Roman" w:cs="Times New Roman"/>
        </w:rPr>
        <w:t>,</w:t>
      </w:r>
      <w:r w:rsidRPr="00844F6D">
        <w:rPr>
          <w:rFonts w:ascii="Times New Roman" w:hAnsi="Times New Roman" w:cs="Times New Roman"/>
        </w:rPr>
        <w:t xml:space="preserve"> the area determined after controls</w:t>
      </w:r>
      <w:r w:rsidRPr="00D5353E">
        <w:rPr>
          <w:rFonts w:ascii="Times New Roman" w:hAnsi="Times New Roman" w:cs="Times New Roman"/>
          <w:b/>
        </w:rPr>
        <w:t xml:space="preserve"> before</w:t>
      </w:r>
      <w:r w:rsidRPr="00844F6D">
        <w:rPr>
          <w:rFonts w:ascii="Times New Roman" w:hAnsi="Times New Roman" w:cs="Times New Roman"/>
        </w:rPr>
        <w:t xml:space="preserve"> applyin</w:t>
      </w:r>
      <w:r w:rsidR="000722D5">
        <w:rPr>
          <w:rFonts w:ascii="Times New Roman" w:hAnsi="Times New Roman" w:cs="Times New Roman"/>
        </w:rPr>
        <w:t>g any limits is the best option for this purpose</w:t>
      </w:r>
      <w:r w:rsidR="00CD4986">
        <w:rPr>
          <w:rFonts w:ascii="Times New Roman" w:hAnsi="Times New Roman" w:cs="Times New Roman"/>
        </w:rPr>
        <w:t xml:space="preserve"> (point 2)</w:t>
      </w:r>
      <w:r w:rsidR="000722D5">
        <w:rPr>
          <w:rFonts w:ascii="Times New Roman" w:hAnsi="Times New Roman" w:cs="Times New Roman"/>
        </w:rPr>
        <w:t>.</w:t>
      </w:r>
    </w:p>
    <w:p w14:paraId="7062727B" w14:textId="77777777" w:rsidR="00844F6D" w:rsidRPr="000722D5" w:rsidRDefault="00844F6D" w:rsidP="000722D5">
      <w:pPr>
        <w:spacing w:after="120" w:line="264" w:lineRule="auto"/>
        <w:rPr>
          <w:rFonts w:ascii="Times New Roman" w:hAnsi="Times New Roman" w:cs="Times New Roman"/>
        </w:rPr>
      </w:pPr>
      <w:r w:rsidRPr="00844F6D">
        <w:rPr>
          <w:rFonts w:ascii="Times New Roman" w:hAnsi="Times New Roman" w:cs="Times New Roman"/>
        </w:rPr>
        <w:t>The following table summarises the area to be report</w:t>
      </w:r>
      <w:r w:rsidR="000722D5">
        <w:rPr>
          <w:rFonts w:ascii="Times New Roman" w:hAnsi="Times New Roman" w:cs="Times New Roman"/>
        </w:rPr>
        <w:t xml:space="preserve">ed for each relevant area-based indicator. </w:t>
      </w:r>
    </w:p>
    <w:tbl>
      <w:tblPr>
        <w:tblStyle w:val="TableGrid1"/>
        <w:tblpPr w:leftFromText="180" w:rightFromText="180" w:vertAnchor="text" w:horzAnchor="margin" w:tblpY="76"/>
        <w:tblW w:w="9180" w:type="dxa"/>
        <w:tblLook w:val="04A0" w:firstRow="1" w:lastRow="0" w:firstColumn="1" w:lastColumn="0" w:noHBand="0" w:noVBand="1"/>
      </w:tblPr>
      <w:tblGrid>
        <w:gridCol w:w="1575"/>
        <w:gridCol w:w="1686"/>
        <w:gridCol w:w="3084"/>
        <w:gridCol w:w="2835"/>
      </w:tblGrid>
      <w:tr w:rsidR="00CA5CFB" w:rsidRPr="006F2CA5" w14:paraId="37A48E21" w14:textId="77777777" w:rsidTr="6A862CB8">
        <w:trPr>
          <w:trHeight w:val="425"/>
        </w:trPr>
        <w:tc>
          <w:tcPr>
            <w:tcW w:w="3261" w:type="dxa"/>
            <w:gridSpan w:val="2"/>
          </w:tcPr>
          <w:p w14:paraId="0BCEC8B4" w14:textId="77777777" w:rsidR="00CA5CFB" w:rsidRPr="006F2CA5" w:rsidRDefault="00CA5CFB" w:rsidP="00A82615">
            <w:pPr>
              <w:spacing w:after="0" w:line="264" w:lineRule="auto"/>
              <w:jc w:val="center"/>
              <w:rPr>
                <w:b/>
              </w:rPr>
            </w:pPr>
          </w:p>
        </w:tc>
        <w:tc>
          <w:tcPr>
            <w:tcW w:w="3084" w:type="dxa"/>
          </w:tcPr>
          <w:p w14:paraId="16F66A26" w14:textId="77777777" w:rsidR="00CA5CFB" w:rsidRPr="006F2CA5" w:rsidRDefault="00CA5CFB" w:rsidP="004366A6">
            <w:pPr>
              <w:spacing w:after="0" w:line="264" w:lineRule="auto"/>
              <w:jc w:val="center"/>
              <w:rPr>
                <w:b/>
              </w:rPr>
            </w:pPr>
            <w:r w:rsidRPr="006F2CA5">
              <w:rPr>
                <w:b/>
              </w:rPr>
              <w:t>Are</w:t>
            </w:r>
            <w:r w:rsidR="004366A6">
              <w:rPr>
                <w:b/>
              </w:rPr>
              <w:t>a</w:t>
            </w:r>
            <w:r w:rsidRPr="006F2CA5">
              <w:rPr>
                <w:b/>
              </w:rPr>
              <w:t xml:space="preserve"> determined </w:t>
            </w:r>
            <w:r w:rsidRPr="006F2CA5">
              <w:rPr>
                <w:b/>
                <w:u w:val="single"/>
              </w:rPr>
              <w:t>before</w:t>
            </w:r>
            <w:r w:rsidRPr="006F2CA5">
              <w:rPr>
                <w:b/>
              </w:rPr>
              <w:t xml:space="preserve"> applying limit</w:t>
            </w:r>
            <w:r w:rsidR="00CD4986">
              <w:rPr>
                <w:b/>
              </w:rPr>
              <w:t>s</w:t>
            </w:r>
            <w:r w:rsidRPr="006F2CA5">
              <w:rPr>
                <w:b/>
              </w:rPr>
              <w:t xml:space="preserve"> (</w:t>
            </w:r>
            <w:r w:rsidR="004366A6">
              <w:rPr>
                <w:b/>
              </w:rPr>
              <w:t xml:space="preserve">e.g. </w:t>
            </w:r>
            <w:r w:rsidRPr="006F2CA5">
              <w:rPr>
                <w:b/>
              </w:rPr>
              <w:t xml:space="preserve">entitlements, </w:t>
            </w:r>
            <w:r w:rsidR="004366A6">
              <w:rPr>
                <w:b/>
              </w:rPr>
              <w:t>maximum thresholds</w:t>
            </w:r>
            <w:r w:rsidRPr="006F2CA5">
              <w:rPr>
                <w:b/>
              </w:rPr>
              <w:t>)</w:t>
            </w:r>
          </w:p>
        </w:tc>
        <w:tc>
          <w:tcPr>
            <w:tcW w:w="2835" w:type="dxa"/>
          </w:tcPr>
          <w:p w14:paraId="0652F598" w14:textId="77777777" w:rsidR="00CA5CFB" w:rsidRPr="006F2CA5" w:rsidRDefault="00CA5CFB" w:rsidP="004366A6">
            <w:pPr>
              <w:spacing w:after="0" w:line="264" w:lineRule="auto"/>
              <w:jc w:val="center"/>
              <w:rPr>
                <w:b/>
              </w:rPr>
            </w:pPr>
            <w:r w:rsidRPr="006F2CA5">
              <w:rPr>
                <w:b/>
              </w:rPr>
              <w:t xml:space="preserve">Area determined </w:t>
            </w:r>
            <w:r w:rsidRPr="006F2CA5">
              <w:rPr>
                <w:b/>
                <w:u w:val="single"/>
              </w:rPr>
              <w:t xml:space="preserve">after </w:t>
            </w:r>
            <w:r w:rsidRPr="006F2CA5">
              <w:rPr>
                <w:b/>
              </w:rPr>
              <w:t>applying limits (</w:t>
            </w:r>
            <w:r w:rsidR="00E762BE">
              <w:rPr>
                <w:b/>
              </w:rPr>
              <w:t xml:space="preserve">e.g. </w:t>
            </w:r>
            <w:r w:rsidRPr="006F2CA5">
              <w:rPr>
                <w:b/>
              </w:rPr>
              <w:t>entitlements, maximum</w:t>
            </w:r>
            <w:r w:rsidR="004366A6">
              <w:rPr>
                <w:b/>
              </w:rPr>
              <w:t xml:space="preserve"> thresholds</w:t>
            </w:r>
            <w:r w:rsidRPr="006F2CA5">
              <w:rPr>
                <w:b/>
              </w:rPr>
              <w:t>)</w:t>
            </w:r>
          </w:p>
        </w:tc>
      </w:tr>
      <w:tr w:rsidR="00CA5CFB" w:rsidRPr="006F2CA5" w14:paraId="1930DDCB" w14:textId="77777777" w:rsidTr="6A862CB8">
        <w:trPr>
          <w:trHeight w:val="425"/>
        </w:trPr>
        <w:tc>
          <w:tcPr>
            <w:tcW w:w="3261" w:type="dxa"/>
            <w:gridSpan w:val="2"/>
          </w:tcPr>
          <w:p w14:paraId="3EED4D86" w14:textId="77777777" w:rsidR="00CA5CFB" w:rsidRPr="006F2CA5" w:rsidRDefault="000722D5" w:rsidP="000722D5">
            <w:pPr>
              <w:spacing w:after="0" w:line="264" w:lineRule="auto"/>
              <w:jc w:val="center"/>
              <w:rPr>
                <w:b/>
              </w:rPr>
            </w:pPr>
            <w:r>
              <w:rPr>
                <w:b/>
              </w:rPr>
              <w:t>Output Indicators</w:t>
            </w:r>
            <w:r w:rsidR="00694BBF">
              <w:rPr>
                <w:b/>
              </w:rPr>
              <w:t xml:space="preserve"> by unit amount</w:t>
            </w:r>
          </w:p>
        </w:tc>
        <w:tc>
          <w:tcPr>
            <w:tcW w:w="3084" w:type="dxa"/>
          </w:tcPr>
          <w:p w14:paraId="30C3D6BC" w14:textId="77777777" w:rsidR="00CA5CFB" w:rsidRPr="006F2CA5" w:rsidRDefault="00CA5CFB" w:rsidP="00A82615">
            <w:pPr>
              <w:spacing w:after="0" w:line="264" w:lineRule="auto"/>
              <w:jc w:val="center"/>
            </w:pPr>
          </w:p>
        </w:tc>
        <w:tc>
          <w:tcPr>
            <w:tcW w:w="2835" w:type="dxa"/>
          </w:tcPr>
          <w:p w14:paraId="6411C7F5" w14:textId="77777777" w:rsidR="00CA5CFB" w:rsidRPr="006F2CA5" w:rsidRDefault="00CA5CFB" w:rsidP="00A82615">
            <w:pPr>
              <w:spacing w:after="0" w:line="264" w:lineRule="auto"/>
              <w:jc w:val="center"/>
            </w:pPr>
            <w:r w:rsidRPr="006F2CA5">
              <w:t>O.4, O.5, O.6, O.7, O.8, O.10, O.12, O.13, O.14, O.15, O.16, O.17, O.19</w:t>
            </w:r>
          </w:p>
        </w:tc>
      </w:tr>
      <w:tr w:rsidR="00CA5CFB" w:rsidRPr="006F2CA5" w14:paraId="33AF5FD7" w14:textId="77777777" w:rsidTr="6A862CB8">
        <w:trPr>
          <w:trHeight w:val="425"/>
        </w:trPr>
        <w:tc>
          <w:tcPr>
            <w:tcW w:w="1575" w:type="dxa"/>
            <w:vMerge w:val="restart"/>
          </w:tcPr>
          <w:p w14:paraId="02B97BC8" w14:textId="77777777" w:rsidR="00CA5CFB" w:rsidRPr="006F2CA5" w:rsidRDefault="000722D5" w:rsidP="000722D5">
            <w:pPr>
              <w:spacing w:after="0" w:line="264" w:lineRule="auto"/>
              <w:jc w:val="center"/>
              <w:rPr>
                <w:b/>
              </w:rPr>
            </w:pPr>
            <w:r>
              <w:rPr>
                <w:b/>
              </w:rPr>
              <w:t>Aggregate of o</w:t>
            </w:r>
            <w:r w:rsidR="00CA5CFB" w:rsidRPr="006F2CA5">
              <w:rPr>
                <w:b/>
              </w:rPr>
              <w:t>utput I</w:t>
            </w:r>
            <w:r>
              <w:rPr>
                <w:b/>
              </w:rPr>
              <w:t>ndicators</w:t>
            </w:r>
          </w:p>
        </w:tc>
        <w:tc>
          <w:tcPr>
            <w:tcW w:w="1686" w:type="dxa"/>
          </w:tcPr>
          <w:p w14:paraId="20CE62A1" w14:textId="77777777" w:rsidR="00CA5CFB" w:rsidRPr="006F2CA5" w:rsidRDefault="00CA5CFB" w:rsidP="00A82615">
            <w:pPr>
              <w:spacing w:after="0" w:line="264" w:lineRule="auto"/>
              <w:jc w:val="center"/>
              <w:rPr>
                <w:b/>
              </w:rPr>
            </w:pPr>
            <w:r w:rsidRPr="006F2CA5">
              <w:rPr>
                <w:b/>
              </w:rPr>
              <w:t>by intervention</w:t>
            </w:r>
          </w:p>
        </w:tc>
        <w:tc>
          <w:tcPr>
            <w:tcW w:w="3084" w:type="dxa"/>
          </w:tcPr>
          <w:p w14:paraId="28AA6C18" w14:textId="7BFE959E" w:rsidR="00CA5CFB" w:rsidRPr="006F2CA5" w:rsidRDefault="00CA5CFB" w:rsidP="00A82615">
            <w:pPr>
              <w:spacing w:after="0" w:line="264" w:lineRule="auto"/>
              <w:jc w:val="center"/>
            </w:pPr>
            <w:r w:rsidRPr="006F2CA5">
              <w:t>O.8, O.14, O.15, O.16, O.17, O.19</w:t>
            </w:r>
          </w:p>
        </w:tc>
        <w:tc>
          <w:tcPr>
            <w:tcW w:w="2835" w:type="dxa"/>
          </w:tcPr>
          <w:p w14:paraId="2D01A8A4" w14:textId="77777777" w:rsidR="00CA5CFB" w:rsidRPr="006F2CA5" w:rsidRDefault="00CA5CFB" w:rsidP="00A82615">
            <w:pPr>
              <w:spacing w:after="0" w:line="264" w:lineRule="auto"/>
              <w:jc w:val="center"/>
            </w:pPr>
          </w:p>
        </w:tc>
      </w:tr>
      <w:tr w:rsidR="00CA5CFB" w:rsidRPr="00116490" w14:paraId="17B4F803" w14:textId="77777777" w:rsidTr="6A862CB8">
        <w:trPr>
          <w:trHeight w:val="677"/>
        </w:trPr>
        <w:tc>
          <w:tcPr>
            <w:tcW w:w="1575" w:type="dxa"/>
            <w:vMerge/>
          </w:tcPr>
          <w:p w14:paraId="69FC80C9" w14:textId="77777777" w:rsidR="00CA5CFB" w:rsidRPr="006F2CA5" w:rsidRDefault="00CA5CFB" w:rsidP="00A82615">
            <w:pPr>
              <w:spacing w:after="0" w:line="264" w:lineRule="auto"/>
              <w:jc w:val="center"/>
              <w:rPr>
                <w:b/>
              </w:rPr>
            </w:pPr>
          </w:p>
        </w:tc>
        <w:tc>
          <w:tcPr>
            <w:tcW w:w="1686" w:type="dxa"/>
          </w:tcPr>
          <w:p w14:paraId="16E59C61" w14:textId="77777777" w:rsidR="00CA5CFB" w:rsidRPr="006F2CA5" w:rsidRDefault="00CA5CFB" w:rsidP="00A82615">
            <w:pPr>
              <w:spacing w:after="0" w:line="264" w:lineRule="auto"/>
              <w:jc w:val="center"/>
              <w:rPr>
                <w:b/>
              </w:rPr>
            </w:pPr>
            <w:r w:rsidRPr="006F2CA5">
              <w:rPr>
                <w:b/>
              </w:rPr>
              <w:t>by type of intervention</w:t>
            </w:r>
          </w:p>
        </w:tc>
        <w:tc>
          <w:tcPr>
            <w:tcW w:w="3084" w:type="dxa"/>
          </w:tcPr>
          <w:p w14:paraId="01ACE44C" w14:textId="77777777" w:rsidR="00CA5CFB" w:rsidRPr="006F2CA5" w:rsidRDefault="00CA5CFB" w:rsidP="6A862CB8">
            <w:pPr>
              <w:spacing w:after="0" w:line="264" w:lineRule="auto"/>
              <w:jc w:val="center"/>
            </w:pPr>
            <w:r>
              <w:t xml:space="preserve">O.4 (Total direct payments), </w:t>
            </w:r>
            <w:r w:rsidR="6A862CB8" w:rsidRPr="6A862CB8">
              <w:rPr>
                <w:color w:val="000000" w:themeColor="text1"/>
                <w:sz w:val="19"/>
                <w:szCs w:val="19"/>
              </w:rPr>
              <w:t>O.4 (BISS),</w:t>
            </w:r>
            <w:r w:rsidR="6A862CB8">
              <w:t xml:space="preserve"> </w:t>
            </w:r>
            <w:r>
              <w:t>O.8, O.14, O.15, O.16, O.17, O.34</w:t>
            </w:r>
          </w:p>
        </w:tc>
        <w:tc>
          <w:tcPr>
            <w:tcW w:w="2835" w:type="dxa"/>
          </w:tcPr>
          <w:p w14:paraId="60BEEDC8" w14:textId="70BEC6F5" w:rsidR="00CA5CFB" w:rsidRPr="00116490" w:rsidRDefault="00CA5CFB" w:rsidP="00A82615">
            <w:pPr>
              <w:spacing w:after="0" w:line="264" w:lineRule="auto"/>
              <w:jc w:val="center"/>
              <w:rPr>
                <w:lang w:val="sv-SE"/>
              </w:rPr>
            </w:pPr>
            <w:r w:rsidRPr="6A862CB8">
              <w:rPr>
                <w:lang w:val="sv-SE"/>
              </w:rPr>
              <w:t xml:space="preserve">O.4 (BISS), O.5, O.6, O.7, O.10, O.12, O.13 </w:t>
            </w:r>
          </w:p>
        </w:tc>
      </w:tr>
      <w:tr w:rsidR="00CA5CFB" w:rsidRPr="006F2CA5" w14:paraId="29B5293D" w14:textId="77777777" w:rsidTr="6A862CB8">
        <w:trPr>
          <w:trHeight w:val="417"/>
        </w:trPr>
        <w:tc>
          <w:tcPr>
            <w:tcW w:w="1575" w:type="dxa"/>
          </w:tcPr>
          <w:p w14:paraId="149B5A38" w14:textId="77777777" w:rsidR="00CA5CFB" w:rsidRPr="006F2CA5" w:rsidRDefault="00CA5CFB" w:rsidP="00A82615">
            <w:pPr>
              <w:spacing w:after="0" w:line="264" w:lineRule="auto"/>
              <w:jc w:val="center"/>
              <w:rPr>
                <w:b/>
              </w:rPr>
            </w:pPr>
            <w:r w:rsidRPr="006F2CA5">
              <w:rPr>
                <w:b/>
              </w:rPr>
              <w:t>Result Indicators</w:t>
            </w:r>
          </w:p>
        </w:tc>
        <w:tc>
          <w:tcPr>
            <w:tcW w:w="1686" w:type="dxa"/>
          </w:tcPr>
          <w:p w14:paraId="26E0C2A1" w14:textId="77777777" w:rsidR="00CA5CFB" w:rsidRPr="006F2CA5" w:rsidRDefault="00CA5CFB" w:rsidP="00A82615">
            <w:pPr>
              <w:spacing w:after="0" w:line="264" w:lineRule="auto"/>
              <w:jc w:val="center"/>
              <w:rPr>
                <w:sz w:val="16"/>
                <w:szCs w:val="16"/>
              </w:rPr>
            </w:pPr>
          </w:p>
        </w:tc>
        <w:tc>
          <w:tcPr>
            <w:tcW w:w="3084" w:type="dxa"/>
          </w:tcPr>
          <w:p w14:paraId="17975B61" w14:textId="61E388E2" w:rsidR="00CA5CFB" w:rsidRPr="006F2CA5" w:rsidRDefault="00CA5CFB" w:rsidP="00A82615">
            <w:pPr>
              <w:spacing w:after="0" w:line="264" w:lineRule="auto"/>
              <w:jc w:val="center"/>
            </w:pPr>
            <w:r w:rsidRPr="006F2CA5">
              <w:t xml:space="preserve">R.4, R.6, R.7, R.12, R.14, R.19, R.20, R.21, R.22, R.23, R.24, R.29, R.30, R.31, R.33, R.34 </w:t>
            </w:r>
          </w:p>
        </w:tc>
        <w:tc>
          <w:tcPr>
            <w:tcW w:w="2835" w:type="dxa"/>
          </w:tcPr>
          <w:p w14:paraId="24995741" w14:textId="77777777" w:rsidR="00CA5CFB" w:rsidRPr="006F2CA5" w:rsidRDefault="00CA5CFB" w:rsidP="00A82615">
            <w:pPr>
              <w:spacing w:after="0" w:line="264" w:lineRule="auto"/>
              <w:jc w:val="center"/>
            </w:pPr>
          </w:p>
        </w:tc>
      </w:tr>
    </w:tbl>
    <w:p w14:paraId="25FBCDB9" w14:textId="77777777" w:rsidR="00CA5CFB" w:rsidRPr="006F2CA5" w:rsidRDefault="00CA5CFB" w:rsidP="00A82615">
      <w:pPr>
        <w:spacing w:after="120" w:line="264" w:lineRule="auto"/>
        <w:jc w:val="both"/>
        <w:rPr>
          <w:rFonts w:ascii="Times New Roman" w:hAnsi="Times New Roman" w:cs="Times New Roman"/>
          <w:b/>
        </w:rPr>
        <w:sectPr w:rsidR="00CA5CFB" w:rsidRPr="006F2CA5">
          <w:pgSz w:w="12240" w:h="15840"/>
          <w:pgMar w:top="1440" w:right="1440" w:bottom="1440" w:left="1440" w:header="708" w:footer="708" w:gutter="0"/>
          <w:cols w:space="708"/>
          <w:docGrid w:linePitch="360"/>
        </w:sectPr>
      </w:pPr>
    </w:p>
    <w:p w14:paraId="480FED66" w14:textId="426A2C8A" w:rsidR="00953CDD" w:rsidRDefault="00012C0B" w:rsidP="000B58DB">
      <w:pPr>
        <w:pStyle w:val="Heading1"/>
        <w:rPr>
          <w:rFonts w:ascii="Times New Roman" w:hAnsi="Times New Roman" w:cs="Times New Roman"/>
          <w:color w:val="C45911" w:themeColor="accent2" w:themeShade="BF"/>
        </w:rPr>
      </w:pPr>
      <w:bookmarkStart w:id="45" w:name="_Toc126762232"/>
      <w:r w:rsidRPr="000B58DB">
        <w:rPr>
          <w:rFonts w:ascii="Times New Roman" w:hAnsi="Times New Roman" w:cs="Times New Roman"/>
          <w:color w:val="C45911" w:themeColor="accent2" w:themeShade="BF"/>
          <w:u w:val="single"/>
        </w:rPr>
        <w:lastRenderedPageBreak/>
        <w:t>Annex VI</w:t>
      </w:r>
      <w:r w:rsidR="00F71BD2">
        <w:rPr>
          <w:rFonts w:ascii="Times New Roman" w:hAnsi="Times New Roman" w:cs="Times New Roman"/>
          <w:color w:val="C45911" w:themeColor="accent2" w:themeShade="BF"/>
          <w:u w:val="single"/>
        </w:rPr>
        <w:t>I</w:t>
      </w:r>
      <w:r w:rsidR="000B58DB" w:rsidRPr="000B58DB">
        <w:rPr>
          <w:rFonts w:ascii="Times New Roman" w:hAnsi="Times New Roman" w:cs="Times New Roman"/>
          <w:color w:val="C45911" w:themeColor="accent2" w:themeShade="BF"/>
        </w:rPr>
        <w:t xml:space="preserve">: </w:t>
      </w:r>
      <w:r w:rsidR="00FF0E47" w:rsidRPr="000B58DB">
        <w:rPr>
          <w:rFonts w:ascii="Times New Roman" w:hAnsi="Times New Roman" w:cs="Times New Roman"/>
          <w:color w:val="C45911" w:themeColor="accent2" w:themeShade="BF"/>
        </w:rPr>
        <w:t>Link between r</w:t>
      </w:r>
      <w:r w:rsidRPr="000B58DB">
        <w:rPr>
          <w:rFonts w:ascii="Times New Roman" w:hAnsi="Times New Roman" w:cs="Times New Roman"/>
          <w:color w:val="C45911" w:themeColor="accent2" w:themeShade="BF"/>
        </w:rPr>
        <w:t>esults indicators</w:t>
      </w:r>
      <w:r w:rsidR="004979A0" w:rsidRPr="000B58DB">
        <w:rPr>
          <w:rFonts w:ascii="Times New Roman" w:hAnsi="Times New Roman" w:cs="Times New Roman"/>
          <w:color w:val="C45911" w:themeColor="accent2" w:themeShade="BF"/>
        </w:rPr>
        <w:t xml:space="preserve"> and specific objectives</w:t>
      </w:r>
      <w:bookmarkEnd w:id="45"/>
    </w:p>
    <w:p w14:paraId="26134EED" w14:textId="77777777" w:rsidR="000B58DB" w:rsidRPr="000B58DB" w:rsidRDefault="000B58DB" w:rsidP="000B58DB">
      <w:pPr>
        <w:rPr>
          <w:sz w:val="4"/>
        </w:rPr>
      </w:pPr>
    </w:p>
    <w:tbl>
      <w:tblPr>
        <w:tblW w:w="5000" w:type="pct"/>
        <w:tblLook w:val="04A0" w:firstRow="1" w:lastRow="0" w:firstColumn="1" w:lastColumn="0" w:noHBand="0" w:noVBand="1"/>
      </w:tblPr>
      <w:tblGrid>
        <w:gridCol w:w="3474"/>
        <w:gridCol w:w="295"/>
        <w:gridCol w:w="5807"/>
      </w:tblGrid>
      <w:tr w:rsidR="00EE09FA" w:rsidRPr="00E62597" w14:paraId="6DD70761" w14:textId="77777777" w:rsidTr="00EE09FA">
        <w:trPr>
          <w:trHeight w:val="300"/>
        </w:trPr>
        <w:tc>
          <w:tcPr>
            <w:tcW w:w="181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DC7B104" w14:textId="77777777" w:rsidR="00EE09FA" w:rsidRPr="00E62597" w:rsidRDefault="00EE09FA" w:rsidP="0015400B">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rPr>
              <w:t>EU cross-cutting objective</w:t>
            </w:r>
          </w:p>
        </w:tc>
        <w:tc>
          <w:tcPr>
            <w:tcW w:w="154" w:type="pct"/>
            <w:tcBorders>
              <w:top w:val="nil"/>
              <w:left w:val="nil"/>
              <w:bottom w:val="nil"/>
              <w:right w:val="single" w:sz="8" w:space="0" w:color="auto"/>
            </w:tcBorders>
            <w:shd w:val="clear" w:color="auto" w:fill="auto"/>
            <w:vAlign w:val="center"/>
            <w:hideMark/>
          </w:tcPr>
          <w:p w14:paraId="00DEB4E8" w14:textId="77777777" w:rsidR="00EE09FA" w:rsidRPr="00E62597" w:rsidRDefault="00EE09FA" w:rsidP="0015400B">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rPr>
              <w:t> </w:t>
            </w:r>
          </w:p>
        </w:tc>
        <w:tc>
          <w:tcPr>
            <w:tcW w:w="3032" w:type="pct"/>
            <w:tcBorders>
              <w:top w:val="single" w:sz="8" w:space="0" w:color="auto"/>
              <w:left w:val="nil"/>
              <w:bottom w:val="nil"/>
              <w:right w:val="single" w:sz="8" w:space="0" w:color="auto"/>
            </w:tcBorders>
            <w:shd w:val="clear" w:color="auto" w:fill="D9D9D9" w:themeFill="background1" w:themeFillShade="D9"/>
            <w:vAlign w:val="center"/>
            <w:hideMark/>
          </w:tcPr>
          <w:p w14:paraId="7ACEE292" w14:textId="77777777" w:rsidR="00EE09FA" w:rsidRPr="00E62597" w:rsidRDefault="00EE09FA" w:rsidP="0015400B">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rPr>
              <w:t>Result indicators</w:t>
            </w:r>
          </w:p>
        </w:tc>
      </w:tr>
      <w:tr w:rsidR="00EE09FA" w:rsidRPr="00E62597" w14:paraId="41F38148" w14:textId="77777777" w:rsidTr="0015400B">
        <w:trPr>
          <w:trHeight w:val="78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6D4301DB"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Modernising agriculture and rural areas by fostering and sharing knowledge, innovation and digitalisation in agriculture and rural areas and by encouraging their uptake by farmers, through improved access to research, innovation, knowledge exchange and training</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3EAB24DF"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bCs/>
                <w:color w:val="000000"/>
                <w:sz w:val="20"/>
                <w:szCs w:val="20"/>
              </w:rPr>
              <w:t> </w:t>
            </w:r>
          </w:p>
        </w:tc>
        <w:tc>
          <w:tcPr>
            <w:tcW w:w="3032" w:type="pct"/>
            <w:tcBorders>
              <w:top w:val="single" w:sz="8" w:space="0" w:color="auto"/>
              <w:left w:val="nil"/>
              <w:bottom w:val="nil"/>
              <w:right w:val="single" w:sz="8" w:space="0" w:color="auto"/>
            </w:tcBorders>
            <w:shd w:val="clear" w:color="auto" w:fill="auto"/>
            <w:vAlign w:val="center"/>
            <w:hideMark/>
          </w:tcPr>
          <w:p w14:paraId="46B251A8"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bCs/>
                <w:color w:val="000000"/>
                <w:sz w:val="20"/>
                <w:szCs w:val="20"/>
              </w:rPr>
              <w:t>R.1</w:t>
            </w:r>
            <w:r w:rsidRPr="00E62597">
              <w:rPr>
                <w:rFonts w:ascii="Times New Roman" w:eastAsia="Times New Roman" w:hAnsi="Times New Roman" w:cs="Times New Roman"/>
                <w:color w:val="000000"/>
                <w:sz w:val="20"/>
                <w:szCs w:val="20"/>
              </w:rPr>
              <w:t xml:space="preserve"> Enhancing performance through knowledge and innovation: Number of persons benefitting from advice, training, knowledge exchange or participating in European Innovation Partnership (EIP) operational groups supported by the CAP in order to enhance sustainable economic, social, environmental, climate and resource efficiency performance</w:t>
            </w:r>
          </w:p>
        </w:tc>
      </w:tr>
      <w:tr w:rsidR="00EE09FA" w:rsidRPr="00E62597" w14:paraId="618B37CE" w14:textId="77777777" w:rsidTr="0015400B">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35B38C89"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44233464"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159DCB41"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 Linking advice and knowledge systems: Number of advisors receiving support to be integrated within the Agricultural Knowledge and Innovation Systems (AKIS)</w:t>
            </w:r>
          </w:p>
        </w:tc>
      </w:tr>
      <w:tr w:rsidR="00EE09FA" w:rsidRPr="00E62597" w14:paraId="2466797C" w14:textId="77777777" w:rsidTr="0015400B">
        <w:trPr>
          <w:trHeight w:val="300"/>
        </w:trPr>
        <w:tc>
          <w:tcPr>
            <w:tcW w:w="1814" w:type="pct"/>
            <w:vMerge/>
            <w:tcBorders>
              <w:top w:val="nil"/>
              <w:left w:val="single" w:sz="8" w:space="0" w:color="auto"/>
              <w:bottom w:val="single" w:sz="8" w:space="0" w:color="000000"/>
              <w:right w:val="single" w:sz="8" w:space="0" w:color="auto"/>
            </w:tcBorders>
            <w:vAlign w:val="center"/>
            <w:hideMark/>
          </w:tcPr>
          <w:p w14:paraId="34E8C6B5"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611BE4AB"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062068F0" w14:textId="77777777" w:rsidR="00EE09FA" w:rsidRPr="00E62597" w:rsidRDefault="00EE09FA" w:rsidP="0015400B">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R.3 Digitalising agriculture: Share of farms benefitting from support for digital farming technology through CAP</w:t>
            </w:r>
          </w:p>
        </w:tc>
      </w:tr>
    </w:tbl>
    <w:p w14:paraId="0A4F49AA" w14:textId="77777777" w:rsidR="00EE09FA" w:rsidRDefault="00EE09FA" w:rsidP="00EE09FA">
      <w:pPr>
        <w:spacing w:after="0" w:line="264" w:lineRule="auto"/>
        <w:rPr>
          <w:rFonts w:ascii="Times New Roman" w:hAnsi="Times New Roman" w:cs="Times New Roman"/>
          <w:b/>
        </w:rPr>
      </w:pPr>
    </w:p>
    <w:tbl>
      <w:tblPr>
        <w:tblW w:w="5000" w:type="pct"/>
        <w:tblLook w:val="04A0" w:firstRow="1" w:lastRow="0" w:firstColumn="1" w:lastColumn="0" w:noHBand="0" w:noVBand="1"/>
      </w:tblPr>
      <w:tblGrid>
        <w:gridCol w:w="3474"/>
        <w:gridCol w:w="295"/>
        <w:gridCol w:w="5807"/>
      </w:tblGrid>
      <w:tr w:rsidR="00E62597" w:rsidRPr="00E62597" w14:paraId="224EBCE0" w14:textId="77777777" w:rsidTr="00EE09FA">
        <w:trPr>
          <w:trHeight w:val="300"/>
          <w:tblHeader/>
        </w:trPr>
        <w:tc>
          <w:tcPr>
            <w:tcW w:w="181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EC9BA67" w14:textId="77777777" w:rsidR="00E62597" w:rsidRPr="00E62597" w:rsidRDefault="00E62597" w:rsidP="00E62597">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lang w:val="en-US"/>
              </w:rPr>
              <w:t>EU specific objectives</w:t>
            </w:r>
          </w:p>
        </w:tc>
        <w:tc>
          <w:tcPr>
            <w:tcW w:w="154" w:type="pct"/>
            <w:tcBorders>
              <w:top w:val="nil"/>
              <w:left w:val="nil"/>
              <w:bottom w:val="nil"/>
              <w:right w:val="single" w:sz="8" w:space="0" w:color="auto"/>
            </w:tcBorders>
            <w:shd w:val="clear" w:color="auto" w:fill="auto"/>
            <w:vAlign w:val="center"/>
            <w:hideMark/>
          </w:tcPr>
          <w:p w14:paraId="3C00CB5F" w14:textId="77777777" w:rsidR="00E62597" w:rsidRPr="00E62597" w:rsidRDefault="00E62597" w:rsidP="00E62597">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lang w:val="en-US"/>
              </w:rPr>
              <w:t> </w:t>
            </w:r>
          </w:p>
        </w:tc>
        <w:tc>
          <w:tcPr>
            <w:tcW w:w="30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586E012" w14:textId="77777777" w:rsidR="00E62597" w:rsidRPr="00E62597" w:rsidRDefault="00E62597" w:rsidP="00E62597">
            <w:pPr>
              <w:spacing w:after="0" w:line="240" w:lineRule="auto"/>
              <w:rPr>
                <w:rFonts w:ascii="Times New Roman" w:eastAsia="Times New Roman" w:hAnsi="Times New Roman" w:cs="Times New Roman"/>
                <w:b/>
                <w:bCs/>
                <w:color w:val="000000"/>
                <w:sz w:val="20"/>
                <w:szCs w:val="20"/>
                <w:lang w:val="en-US"/>
              </w:rPr>
            </w:pPr>
            <w:r w:rsidRPr="00E62597">
              <w:rPr>
                <w:rFonts w:ascii="Times New Roman" w:eastAsia="Times New Roman" w:hAnsi="Times New Roman" w:cs="Times New Roman"/>
                <w:b/>
                <w:bCs/>
                <w:color w:val="000000"/>
                <w:sz w:val="20"/>
                <w:szCs w:val="20"/>
                <w:lang w:val="en-US"/>
              </w:rPr>
              <w:t>Result indicators</w:t>
            </w:r>
          </w:p>
        </w:tc>
      </w:tr>
      <w:tr w:rsidR="00E62597" w:rsidRPr="00E62597" w14:paraId="4E28F0F2" w14:textId="77777777" w:rsidTr="00E62597">
        <w:trPr>
          <w:trHeight w:val="52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41B0A8E7"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SO1: To support viable farm income and resilience of the agricultural sector across the Union in order to enhance long-term food security and agricultural diversity as well as to ensure the economic sustainability of agricultural production in the Union</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314C835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5F5800F0"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 Linking income support to standards and good practices: Share of utilised agricultural area (UAA) covered by income support and subject to conditionality</w:t>
            </w:r>
          </w:p>
        </w:tc>
      </w:tr>
      <w:tr w:rsidR="00E62597" w:rsidRPr="00E62597" w14:paraId="2FC729C2" w14:textId="77777777" w:rsidTr="00E62597">
        <w:trPr>
          <w:trHeight w:val="290"/>
        </w:trPr>
        <w:tc>
          <w:tcPr>
            <w:tcW w:w="1814" w:type="pct"/>
            <w:vMerge/>
            <w:tcBorders>
              <w:top w:val="nil"/>
              <w:left w:val="single" w:sz="8" w:space="0" w:color="auto"/>
              <w:bottom w:val="single" w:sz="8" w:space="0" w:color="000000"/>
              <w:right w:val="single" w:sz="8" w:space="0" w:color="auto"/>
            </w:tcBorders>
            <w:vAlign w:val="center"/>
            <w:hideMark/>
          </w:tcPr>
          <w:p w14:paraId="13B05420"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6E980BCA"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5A093F1D"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R.5 Risk management: Share of farms with supported CAP risk management tools</w:t>
            </w:r>
          </w:p>
        </w:tc>
      </w:tr>
      <w:tr w:rsidR="00E62597" w:rsidRPr="00E62597" w14:paraId="225B3671"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0699B260"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515CB782"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6CF8DDA0"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R.6 Redistribution to smaller farms: Percentage of additional direct payments per hectare for eligible farms below average farm size (compared to average)</w:t>
            </w:r>
          </w:p>
        </w:tc>
      </w:tr>
      <w:tr w:rsidR="00E62597" w:rsidRPr="00E62597" w14:paraId="68A8AF16" w14:textId="77777777" w:rsidTr="00E62597">
        <w:trPr>
          <w:trHeight w:val="530"/>
        </w:trPr>
        <w:tc>
          <w:tcPr>
            <w:tcW w:w="1814" w:type="pct"/>
            <w:vMerge/>
            <w:tcBorders>
              <w:top w:val="nil"/>
              <w:left w:val="single" w:sz="8" w:space="0" w:color="auto"/>
              <w:bottom w:val="single" w:sz="8" w:space="0" w:color="000000"/>
              <w:right w:val="single" w:sz="8" w:space="0" w:color="auto"/>
            </w:tcBorders>
            <w:vAlign w:val="center"/>
            <w:hideMark/>
          </w:tcPr>
          <w:p w14:paraId="2044558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78912880"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73CBB341"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R.7 Enhancing support for farms in areas with specific needs: Percentage of additional support per hectare in areas with higher needs (compared to average)</w:t>
            </w:r>
          </w:p>
        </w:tc>
      </w:tr>
      <w:tr w:rsidR="00E62597" w:rsidRPr="00E62597" w14:paraId="15056B86" w14:textId="77777777" w:rsidTr="00E62597">
        <w:trPr>
          <w:trHeight w:val="29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2A51BD2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SO2: To enhance market orientation and increase farm competitiveness both in the short and long term, including greater focus on research, technology and digitalisation</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1CD34D8D"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7152EAC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R.8 Targeting farms in specific sectors:</w:t>
            </w:r>
          </w:p>
        </w:tc>
      </w:tr>
      <w:tr w:rsidR="00E62597" w:rsidRPr="00E62597" w14:paraId="1A53DFD4" w14:textId="77777777" w:rsidTr="00E62597">
        <w:trPr>
          <w:trHeight w:val="290"/>
        </w:trPr>
        <w:tc>
          <w:tcPr>
            <w:tcW w:w="1814" w:type="pct"/>
            <w:vMerge/>
            <w:tcBorders>
              <w:top w:val="nil"/>
              <w:left w:val="single" w:sz="8" w:space="0" w:color="auto"/>
              <w:bottom w:val="single" w:sz="8" w:space="0" w:color="000000"/>
              <w:right w:val="single" w:sz="8" w:space="0" w:color="auto"/>
            </w:tcBorders>
            <w:vAlign w:val="center"/>
            <w:hideMark/>
          </w:tcPr>
          <w:p w14:paraId="0BFAB32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BB7668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35E481CA"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Share of farms benefitting from coupled income support for improving competitiveness, sustainability or quality</w:t>
            </w:r>
          </w:p>
        </w:tc>
      </w:tr>
      <w:tr w:rsidR="00E62597" w:rsidRPr="00E62597" w14:paraId="14E14F63" w14:textId="77777777" w:rsidTr="00E62597">
        <w:trPr>
          <w:trHeight w:val="530"/>
        </w:trPr>
        <w:tc>
          <w:tcPr>
            <w:tcW w:w="1814" w:type="pct"/>
            <w:vMerge/>
            <w:tcBorders>
              <w:top w:val="nil"/>
              <w:left w:val="single" w:sz="8" w:space="0" w:color="auto"/>
              <w:bottom w:val="single" w:sz="8" w:space="0" w:color="000000"/>
              <w:right w:val="single" w:sz="8" w:space="0" w:color="auto"/>
            </w:tcBorders>
            <w:vAlign w:val="center"/>
            <w:hideMark/>
          </w:tcPr>
          <w:p w14:paraId="1EBE796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0C43E612"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23DDF3D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R.9 Farm modernisation: Share of farms receiving investment support to restructure and modernise, including to improve resource efficiency</w:t>
            </w:r>
          </w:p>
        </w:tc>
      </w:tr>
      <w:tr w:rsidR="00E62597" w:rsidRPr="00E62597" w14:paraId="5EF546E5" w14:textId="77777777" w:rsidTr="00E62597">
        <w:trPr>
          <w:trHeight w:val="52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22AF443C"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SO3: To improve the farmers' position in the value chain</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38D97F46"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single" w:sz="8" w:space="0" w:color="auto"/>
              <w:left w:val="nil"/>
              <w:bottom w:val="nil"/>
              <w:right w:val="single" w:sz="8" w:space="0" w:color="auto"/>
            </w:tcBorders>
            <w:shd w:val="clear" w:color="auto" w:fill="auto"/>
            <w:vAlign w:val="center"/>
            <w:hideMark/>
          </w:tcPr>
          <w:p w14:paraId="0AF4733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R.10 Better supply chain organisation: Share of farms participating in producer groups, producer organisations, local markets, short supply chain circuits and quality schemes supported by the CAP</w:t>
            </w:r>
          </w:p>
        </w:tc>
      </w:tr>
      <w:tr w:rsidR="00E62597" w:rsidRPr="00E62597" w14:paraId="15D558AF" w14:textId="77777777" w:rsidTr="00E62597">
        <w:trPr>
          <w:trHeight w:val="530"/>
        </w:trPr>
        <w:tc>
          <w:tcPr>
            <w:tcW w:w="1814" w:type="pct"/>
            <w:vMerge/>
            <w:tcBorders>
              <w:top w:val="nil"/>
              <w:left w:val="single" w:sz="8" w:space="0" w:color="auto"/>
              <w:bottom w:val="single" w:sz="8" w:space="0" w:color="000000"/>
              <w:right w:val="single" w:sz="8" w:space="0" w:color="auto"/>
            </w:tcBorders>
            <w:vAlign w:val="center"/>
            <w:hideMark/>
          </w:tcPr>
          <w:p w14:paraId="02AD9C5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595313E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632ECF5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R.11 Concentration of supply: Share of value of marketed production by producer organisations or producer groups with operational programmes in certain sectors</w:t>
            </w:r>
          </w:p>
        </w:tc>
      </w:tr>
      <w:tr w:rsidR="00E62597" w:rsidRPr="00E62597" w14:paraId="49FB31F6" w14:textId="77777777" w:rsidTr="00E62597">
        <w:trPr>
          <w:trHeight w:val="52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34B7F2C3"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SO4: To contribute to climate change mitigation and adaptation, including by reducing greenhouse gas emissions and enhancing carbon sequestration, as well as to promote sustainable energy</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0FE8FDB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785AAF1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R.12 Adaptation to climate change: Share of utilised agricultural area (UAA) under supported commitments to improve climate adaptation</w:t>
            </w:r>
          </w:p>
        </w:tc>
      </w:tr>
      <w:tr w:rsidR="00E62597" w:rsidRPr="00E62597" w14:paraId="33B5E7AE"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44B87DEA"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74C341C9"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01BFBCAD"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R.13 Reducing emissions in the livestock sector: Share of livestock units (LU) under supported commitments to reduce emissions of greenhouse gases and/or ammonia, including manure management</w:t>
            </w:r>
          </w:p>
        </w:tc>
      </w:tr>
      <w:tr w:rsidR="00E62597" w:rsidRPr="00E62597" w14:paraId="294C7718" w14:textId="77777777" w:rsidTr="00F81D13">
        <w:trPr>
          <w:trHeight w:val="780"/>
        </w:trPr>
        <w:tc>
          <w:tcPr>
            <w:tcW w:w="1814" w:type="pct"/>
            <w:vMerge/>
            <w:tcBorders>
              <w:top w:val="nil"/>
              <w:left w:val="single" w:sz="8" w:space="0" w:color="auto"/>
              <w:bottom w:val="single" w:sz="8" w:space="0" w:color="000000"/>
              <w:right w:val="single" w:sz="8" w:space="0" w:color="auto"/>
            </w:tcBorders>
            <w:vAlign w:val="center"/>
            <w:hideMark/>
          </w:tcPr>
          <w:p w14:paraId="6485C5D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7B03D2D2"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right w:val="single" w:sz="8" w:space="0" w:color="auto"/>
            </w:tcBorders>
            <w:shd w:val="clear" w:color="auto" w:fill="auto"/>
            <w:vAlign w:val="center"/>
            <w:hideMark/>
          </w:tcPr>
          <w:p w14:paraId="5CBBBCF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R.14 Carbon storage in soils and biomass: Share of utilised agricultural area (UAA) under supported commitments to reduce emissions or to maintain or enhance carbon storage (including permanent grassland, permanent crops with permanent green cover, agricultural land in wetland and peatland)</w:t>
            </w:r>
          </w:p>
        </w:tc>
      </w:tr>
      <w:tr w:rsidR="00E62597" w:rsidRPr="00E62597" w14:paraId="62BBEBD0" w14:textId="77777777" w:rsidTr="00F81D13">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75818BC3"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05DBB2F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4" w:space="0" w:color="auto"/>
              <w:right w:val="single" w:sz="8" w:space="0" w:color="auto"/>
            </w:tcBorders>
            <w:shd w:val="clear" w:color="auto" w:fill="auto"/>
            <w:vAlign w:val="center"/>
            <w:hideMark/>
          </w:tcPr>
          <w:p w14:paraId="586CD88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 xml:space="preserve">R.15 Renewable energy from agriculture, forestry and from other renewable sources: Supported investments in renewable energy </w:t>
            </w:r>
            <w:r w:rsidRPr="00E62597">
              <w:rPr>
                <w:rFonts w:ascii="Times New Roman" w:eastAsia="Times New Roman" w:hAnsi="Times New Roman" w:cs="Times New Roman"/>
                <w:color w:val="000000"/>
                <w:sz w:val="20"/>
                <w:szCs w:val="20"/>
              </w:rPr>
              <w:lastRenderedPageBreak/>
              <w:t>production capacity, including bio-based (in MW)</w:t>
            </w:r>
          </w:p>
        </w:tc>
      </w:tr>
      <w:tr w:rsidR="00E62597" w:rsidRPr="00E62597" w14:paraId="3C6B29B9" w14:textId="77777777" w:rsidTr="00F81D13">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5E5287EA"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1F3517C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single" w:sz="4" w:space="0" w:color="auto"/>
              <w:left w:val="nil"/>
              <w:bottom w:val="nil"/>
              <w:right w:val="single" w:sz="8" w:space="0" w:color="auto"/>
            </w:tcBorders>
            <w:shd w:val="clear" w:color="auto" w:fill="auto"/>
            <w:vAlign w:val="center"/>
            <w:hideMark/>
          </w:tcPr>
          <w:p w14:paraId="52DE7CE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R.16 Investments related to climate: Share of farms benefitting from CAP investment support contributing to climate change mitigation and adaptation, and to the production of renewable energy or biomaterials</w:t>
            </w:r>
          </w:p>
        </w:tc>
      </w:tr>
      <w:tr w:rsidR="00E62597" w:rsidRPr="00E62597" w14:paraId="31346068" w14:textId="77777777" w:rsidTr="00E62597">
        <w:trPr>
          <w:trHeight w:val="310"/>
        </w:trPr>
        <w:tc>
          <w:tcPr>
            <w:tcW w:w="1814" w:type="pct"/>
            <w:vMerge/>
            <w:tcBorders>
              <w:top w:val="nil"/>
              <w:left w:val="single" w:sz="8" w:space="0" w:color="auto"/>
              <w:bottom w:val="single" w:sz="8" w:space="0" w:color="000000"/>
              <w:right w:val="single" w:sz="8" w:space="0" w:color="auto"/>
            </w:tcBorders>
            <w:vAlign w:val="center"/>
            <w:hideMark/>
          </w:tcPr>
          <w:p w14:paraId="762C7CB0"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3B86E04"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75614F84"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R.17 Afforested land: Area supported for afforestation, agroforestry and restoration, including breakdowns</w:t>
            </w:r>
          </w:p>
        </w:tc>
      </w:tr>
      <w:tr w:rsidR="00E62597" w:rsidRPr="00E62597" w14:paraId="6B063C07" w14:textId="77777777" w:rsidTr="00E62597">
        <w:trPr>
          <w:trHeight w:val="300"/>
        </w:trPr>
        <w:tc>
          <w:tcPr>
            <w:tcW w:w="1814" w:type="pct"/>
            <w:vMerge/>
            <w:tcBorders>
              <w:top w:val="nil"/>
              <w:left w:val="single" w:sz="8" w:space="0" w:color="auto"/>
              <w:bottom w:val="single" w:sz="8" w:space="0" w:color="000000"/>
              <w:right w:val="single" w:sz="8" w:space="0" w:color="auto"/>
            </w:tcBorders>
            <w:vAlign w:val="center"/>
            <w:hideMark/>
          </w:tcPr>
          <w:p w14:paraId="41634D8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19A1DC0F"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7183DEC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R.18 Investment support for the forest sector: Total investment to improve the performance of the forestry sector</w:t>
            </w:r>
          </w:p>
        </w:tc>
      </w:tr>
      <w:tr w:rsidR="00E62597" w:rsidRPr="00E62597" w14:paraId="5BB7467E" w14:textId="77777777" w:rsidTr="00E62597">
        <w:trPr>
          <w:trHeight w:val="83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6939BA2C"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SO5: To foster sustainable development and efficient management of natural resources such as water, soil and air, including by reducing chemical dependency</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66A81DE5"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color w:val="000000"/>
                <w:sz w:val="20"/>
                <w:szCs w:val="20"/>
                <w:lang w:val="en-US"/>
              </w:rPr>
              <w:t> </w:t>
            </w:r>
          </w:p>
        </w:tc>
        <w:tc>
          <w:tcPr>
            <w:tcW w:w="3032" w:type="pct"/>
            <w:tcBorders>
              <w:top w:val="nil"/>
              <w:left w:val="nil"/>
              <w:bottom w:val="nil"/>
              <w:right w:val="single" w:sz="8" w:space="0" w:color="auto"/>
            </w:tcBorders>
            <w:shd w:val="clear" w:color="auto" w:fill="auto"/>
            <w:vAlign w:val="center"/>
            <w:hideMark/>
          </w:tcPr>
          <w:p w14:paraId="5A8FDA51"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R.19 Improving and protecting soils: Share of utilised agricultural area (UAA) under supported commitments beneficial for soil management to improve soil quality and biota (such as reducing tillage, soil cover with crops, crop rotation included with leguminous crops)</w:t>
            </w:r>
          </w:p>
        </w:tc>
      </w:tr>
      <w:tr w:rsidR="00E62597" w:rsidRPr="00E62597" w14:paraId="262B0D9B" w14:textId="77777777" w:rsidTr="00E62597">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21182D4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378E175F"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612366C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R.20 Improving air quality: Share of utilised agricultural area (UAA) under supported commitments to reduce ammonia emission</w:t>
            </w:r>
          </w:p>
        </w:tc>
      </w:tr>
      <w:tr w:rsidR="00E62597" w:rsidRPr="00E62597" w14:paraId="57432384" w14:textId="77777777" w:rsidTr="00E62597">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5CB5ABF4"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409295C5"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5288702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R.21 Protecting water quality: Share of utilised agricultural area (UAA) under supported commitments for the quality of water bodies</w:t>
            </w:r>
          </w:p>
        </w:tc>
      </w:tr>
      <w:tr w:rsidR="00E62597" w:rsidRPr="00E62597" w14:paraId="54087E97" w14:textId="77777777" w:rsidTr="00E62597">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45B6644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013101A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50186C8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R.22 Sustainable nutrient management: Share of utilised agricultural area (UAA) under supported commitments related to improved nutrient management</w:t>
            </w:r>
          </w:p>
        </w:tc>
      </w:tr>
      <w:tr w:rsidR="00E62597" w:rsidRPr="00E62597" w14:paraId="14C66365" w14:textId="77777777" w:rsidTr="00E62597">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64ED3C5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7C3105D5"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7FB9C4F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R.23 Sustainable water use: Share of utilised agricultural area (UAA) under supported commitments to improve water balance</w:t>
            </w:r>
          </w:p>
        </w:tc>
      </w:tr>
      <w:tr w:rsidR="00E62597" w:rsidRPr="00E62597" w14:paraId="3BBD640A" w14:textId="77777777" w:rsidTr="00E62597">
        <w:trPr>
          <w:trHeight w:val="830"/>
        </w:trPr>
        <w:tc>
          <w:tcPr>
            <w:tcW w:w="1814" w:type="pct"/>
            <w:vMerge/>
            <w:tcBorders>
              <w:top w:val="nil"/>
              <w:left w:val="single" w:sz="8" w:space="0" w:color="auto"/>
              <w:bottom w:val="single" w:sz="8" w:space="0" w:color="000000"/>
              <w:right w:val="single" w:sz="8" w:space="0" w:color="auto"/>
            </w:tcBorders>
            <w:vAlign w:val="center"/>
            <w:hideMark/>
          </w:tcPr>
          <w:p w14:paraId="19DFD291"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3A9DB2F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4EE82AC3"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R.24 Sustainable and reduced use of pesticides: Share of utilised agricultural area (UAA) under supported specific commitments which lead to a sustainable use of pesticides in order to reduce risks and impacts of pesticides such as pesticides leakage</w:t>
            </w:r>
          </w:p>
        </w:tc>
      </w:tr>
      <w:tr w:rsidR="00E62597" w:rsidRPr="00E62597" w14:paraId="1E8AA924"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6BB3AE5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val="restart"/>
            <w:tcBorders>
              <w:top w:val="nil"/>
              <w:left w:val="single" w:sz="8" w:space="0" w:color="auto"/>
              <w:bottom w:val="nil"/>
              <w:right w:val="single" w:sz="8" w:space="0" w:color="auto"/>
            </w:tcBorders>
            <w:shd w:val="clear" w:color="auto" w:fill="auto"/>
            <w:vAlign w:val="center"/>
            <w:hideMark/>
          </w:tcPr>
          <w:p w14:paraId="67354B1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028E0CB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R.25 Environmental performance in the livestock sector: Share of livestock units (LU) under supported commitments to improve environmental sustainability</w:t>
            </w:r>
          </w:p>
        </w:tc>
      </w:tr>
      <w:tr w:rsidR="00E62597" w:rsidRPr="00E62597" w14:paraId="13AF5CA9"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488789B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12BA4450"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0EDB71F4"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R.26 Investments related to natural resources: Share of farms benefitting from CAP productive and non-productive investment support related to care for the natural resources</w:t>
            </w:r>
          </w:p>
        </w:tc>
      </w:tr>
      <w:tr w:rsidR="00E62597" w:rsidRPr="00E62597" w14:paraId="3B9A2904" w14:textId="77777777" w:rsidTr="00E62597">
        <w:trPr>
          <w:trHeight w:val="780"/>
        </w:trPr>
        <w:tc>
          <w:tcPr>
            <w:tcW w:w="1814" w:type="pct"/>
            <w:vMerge/>
            <w:tcBorders>
              <w:top w:val="nil"/>
              <w:left w:val="single" w:sz="8" w:space="0" w:color="auto"/>
              <w:bottom w:val="single" w:sz="8" w:space="0" w:color="000000"/>
              <w:right w:val="single" w:sz="8" w:space="0" w:color="auto"/>
            </w:tcBorders>
            <w:vAlign w:val="center"/>
            <w:hideMark/>
          </w:tcPr>
          <w:p w14:paraId="498269A7"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B1C1698"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6F9B806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R.27 Environmental or climate-related performance through investment in rural areas: Number of operations contributing to environmental sustainability and the achievement of climate mitigation and adaptation goals in rural areas</w:t>
            </w:r>
          </w:p>
        </w:tc>
      </w:tr>
      <w:tr w:rsidR="00E62597" w:rsidRPr="00E62597" w14:paraId="3C5AA55C" w14:textId="77777777" w:rsidTr="00E62597">
        <w:trPr>
          <w:trHeight w:val="790"/>
        </w:trPr>
        <w:tc>
          <w:tcPr>
            <w:tcW w:w="1814" w:type="pct"/>
            <w:vMerge/>
            <w:tcBorders>
              <w:top w:val="nil"/>
              <w:left w:val="single" w:sz="8" w:space="0" w:color="auto"/>
              <w:bottom w:val="single" w:sz="8" w:space="0" w:color="000000"/>
              <w:right w:val="single" w:sz="8" w:space="0" w:color="auto"/>
            </w:tcBorders>
            <w:vAlign w:val="center"/>
            <w:hideMark/>
          </w:tcPr>
          <w:p w14:paraId="2424557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0EECBD6"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040E86E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R.28 Environmental or climate-related performance through knowledge and innovation: Number of persons benefitting from advice, training, knowledge exchange, or participating in European Innovation Partnership (EIP) operational groups supported by the CAP related to environmental or climate-related performance</w:t>
            </w:r>
          </w:p>
        </w:tc>
      </w:tr>
      <w:tr w:rsidR="00E62597" w:rsidRPr="00E62597" w14:paraId="0C56E57C" w14:textId="77777777" w:rsidTr="00E62597">
        <w:trPr>
          <w:trHeight w:val="57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7C8698E7"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SO6: To contribute to halting and reversing biodiversity loss, enhance ecosystem services and preserve habitats and landscapes</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52A4D7FE"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18FF11B4"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R.29 Development of organic agriculture: Share of utilised agricultural area (UAA) supported by the CAP for organic farming, with a split between maintenance and conversion</w:t>
            </w:r>
          </w:p>
        </w:tc>
      </w:tr>
      <w:tr w:rsidR="00E62597" w:rsidRPr="00E62597" w14:paraId="2306E523" w14:textId="77777777" w:rsidTr="00F81D13">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7CAE774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4C229F3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right w:val="single" w:sz="8" w:space="0" w:color="auto"/>
            </w:tcBorders>
            <w:shd w:val="clear" w:color="auto" w:fill="auto"/>
            <w:vAlign w:val="center"/>
            <w:hideMark/>
          </w:tcPr>
          <w:p w14:paraId="67437C5D"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R.30 Supporting sustainable forest management: Share of forest land under commitments to support forest protection and management of ecosystem services</w:t>
            </w:r>
          </w:p>
        </w:tc>
      </w:tr>
      <w:tr w:rsidR="00E62597" w:rsidRPr="00E62597" w14:paraId="58EA3BB4" w14:textId="77777777" w:rsidTr="00F81D13">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5A91320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0F3906DF"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4" w:space="0" w:color="auto"/>
              <w:right w:val="single" w:sz="8" w:space="0" w:color="auto"/>
            </w:tcBorders>
            <w:shd w:val="clear" w:color="auto" w:fill="auto"/>
            <w:vAlign w:val="center"/>
            <w:hideMark/>
          </w:tcPr>
          <w:p w14:paraId="19C941B3"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 xml:space="preserve">R.31 Preserving habitats and species: Share of utilised agricultural area (UAA) under supported commitments for supporting </w:t>
            </w:r>
            <w:r w:rsidRPr="00E62597">
              <w:rPr>
                <w:rFonts w:ascii="Times New Roman" w:eastAsia="Times New Roman" w:hAnsi="Times New Roman" w:cs="Times New Roman"/>
                <w:color w:val="000000"/>
                <w:sz w:val="20"/>
                <w:szCs w:val="20"/>
                <w:lang w:val="en-US"/>
              </w:rPr>
              <w:lastRenderedPageBreak/>
              <w:t>biodiversity conservation or restoration including high-nature-value farming practices</w:t>
            </w:r>
          </w:p>
        </w:tc>
      </w:tr>
      <w:tr w:rsidR="00E62597" w:rsidRPr="00E62597" w14:paraId="1153EE34" w14:textId="77777777" w:rsidTr="00F81D13">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2D0153C4"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6F744D8"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single" w:sz="4" w:space="0" w:color="auto"/>
              <w:left w:val="nil"/>
              <w:bottom w:val="nil"/>
              <w:right w:val="single" w:sz="8" w:space="0" w:color="auto"/>
            </w:tcBorders>
            <w:shd w:val="clear" w:color="auto" w:fill="auto"/>
            <w:vAlign w:val="center"/>
            <w:hideMark/>
          </w:tcPr>
          <w:p w14:paraId="7718E69C"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R.32 Investments related to biodiversity: Share of farms benefitting from CAP investment support contributing to biodiversity</w:t>
            </w:r>
          </w:p>
        </w:tc>
      </w:tr>
      <w:tr w:rsidR="00E62597" w:rsidRPr="00E62597" w14:paraId="21E781A9" w14:textId="77777777" w:rsidTr="00E62597">
        <w:trPr>
          <w:trHeight w:val="290"/>
        </w:trPr>
        <w:tc>
          <w:tcPr>
            <w:tcW w:w="1814" w:type="pct"/>
            <w:vMerge/>
            <w:tcBorders>
              <w:top w:val="nil"/>
              <w:left w:val="single" w:sz="8" w:space="0" w:color="auto"/>
              <w:bottom w:val="single" w:sz="8" w:space="0" w:color="000000"/>
              <w:right w:val="single" w:sz="8" w:space="0" w:color="auto"/>
            </w:tcBorders>
            <w:vAlign w:val="center"/>
            <w:hideMark/>
          </w:tcPr>
          <w:p w14:paraId="5BE5FA5C"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20C2817A"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60EDE7E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R.33 Improving Natura 2000 management: Share of total Natura 2000 area under supported commitments</w:t>
            </w:r>
          </w:p>
        </w:tc>
      </w:tr>
      <w:tr w:rsidR="00E62597" w:rsidRPr="00E62597" w14:paraId="0C1C44F8" w14:textId="77777777" w:rsidTr="00E62597">
        <w:trPr>
          <w:trHeight w:val="570"/>
        </w:trPr>
        <w:tc>
          <w:tcPr>
            <w:tcW w:w="1814" w:type="pct"/>
            <w:vMerge/>
            <w:tcBorders>
              <w:top w:val="nil"/>
              <w:left w:val="single" w:sz="8" w:space="0" w:color="auto"/>
              <w:bottom w:val="single" w:sz="8" w:space="0" w:color="000000"/>
              <w:right w:val="single" w:sz="8" w:space="0" w:color="auto"/>
            </w:tcBorders>
            <w:vAlign w:val="center"/>
            <w:hideMark/>
          </w:tcPr>
          <w:p w14:paraId="4965EEF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668D208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4F2651C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R.34 Preserving landscape features: Share of utilised agricultural area (UAA) under supported commitments for managing landscape features, including hedgerows and trees</w:t>
            </w:r>
          </w:p>
        </w:tc>
      </w:tr>
      <w:tr w:rsidR="00E62597" w:rsidRPr="00E62597" w14:paraId="5C2DA864" w14:textId="77777777" w:rsidTr="00E62597">
        <w:trPr>
          <w:trHeight w:val="300"/>
        </w:trPr>
        <w:tc>
          <w:tcPr>
            <w:tcW w:w="1814" w:type="pct"/>
            <w:vMerge/>
            <w:tcBorders>
              <w:top w:val="nil"/>
              <w:left w:val="single" w:sz="8" w:space="0" w:color="auto"/>
              <w:bottom w:val="single" w:sz="8" w:space="0" w:color="000000"/>
              <w:right w:val="single" w:sz="8" w:space="0" w:color="auto"/>
            </w:tcBorders>
            <w:vAlign w:val="center"/>
            <w:hideMark/>
          </w:tcPr>
          <w:p w14:paraId="338E935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7FB85C9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5EC58FE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lang w:val="en-US"/>
              </w:rPr>
              <w:t>R.35 Preserving beehives: Share of beehives supported by the CAP</w:t>
            </w:r>
          </w:p>
        </w:tc>
      </w:tr>
      <w:tr w:rsidR="00E62597" w:rsidRPr="00E62597" w14:paraId="4EA739E8" w14:textId="77777777" w:rsidTr="00E62597">
        <w:trPr>
          <w:trHeight w:val="530"/>
        </w:trPr>
        <w:tc>
          <w:tcPr>
            <w:tcW w:w="1814" w:type="pct"/>
            <w:tcBorders>
              <w:top w:val="nil"/>
              <w:left w:val="single" w:sz="8" w:space="0" w:color="auto"/>
              <w:bottom w:val="single" w:sz="8" w:space="0" w:color="auto"/>
              <w:right w:val="single" w:sz="8" w:space="0" w:color="auto"/>
            </w:tcBorders>
            <w:shd w:val="clear" w:color="auto" w:fill="auto"/>
            <w:vAlign w:val="center"/>
            <w:hideMark/>
          </w:tcPr>
          <w:p w14:paraId="5EA1F59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SO7: To attract and sustain young farmers and other new farmers and facilitate sustainable business development in rural areas</w:t>
            </w:r>
          </w:p>
        </w:tc>
        <w:tc>
          <w:tcPr>
            <w:tcW w:w="154" w:type="pct"/>
            <w:tcBorders>
              <w:top w:val="nil"/>
              <w:left w:val="nil"/>
              <w:bottom w:val="nil"/>
              <w:right w:val="single" w:sz="8" w:space="0" w:color="auto"/>
            </w:tcBorders>
            <w:shd w:val="clear" w:color="auto" w:fill="auto"/>
            <w:vAlign w:val="center"/>
            <w:hideMark/>
          </w:tcPr>
          <w:p w14:paraId="0658A0D1"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single" w:sz="8" w:space="0" w:color="auto"/>
              <w:right w:val="single" w:sz="8" w:space="0" w:color="auto"/>
            </w:tcBorders>
            <w:shd w:val="clear" w:color="auto" w:fill="auto"/>
            <w:vAlign w:val="center"/>
            <w:hideMark/>
          </w:tcPr>
          <w:p w14:paraId="111E336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R.36 Generational renewal: Number of young farmers benefitting from setting up with support from the CAP, including a gender breakdown</w:t>
            </w:r>
          </w:p>
        </w:tc>
      </w:tr>
      <w:tr w:rsidR="00E62597" w:rsidRPr="00E62597" w14:paraId="4F712740" w14:textId="77777777" w:rsidTr="00E62597">
        <w:trPr>
          <w:trHeight w:val="29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00654F4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 xml:space="preserve">SO8: To promote employment, growth, gender equality, including the participation of women in farming, social inclusion and local development in rural areas, including the circular bio-economy and sustainable forestry </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49A00487"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1ADA9AC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R.37 Growth and jobs in rural areas: New jobs supported in CAP projects</w:t>
            </w:r>
          </w:p>
        </w:tc>
      </w:tr>
      <w:tr w:rsidR="00E62597" w:rsidRPr="00E62597" w14:paraId="31E8A3B8" w14:textId="77777777" w:rsidTr="00E62597">
        <w:trPr>
          <w:trHeight w:val="290"/>
        </w:trPr>
        <w:tc>
          <w:tcPr>
            <w:tcW w:w="1814" w:type="pct"/>
            <w:vMerge/>
            <w:tcBorders>
              <w:top w:val="nil"/>
              <w:left w:val="single" w:sz="8" w:space="0" w:color="auto"/>
              <w:bottom w:val="single" w:sz="8" w:space="0" w:color="000000"/>
              <w:right w:val="single" w:sz="8" w:space="0" w:color="auto"/>
            </w:tcBorders>
            <w:vAlign w:val="center"/>
            <w:hideMark/>
          </w:tcPr>
          <w:p w14:paraId="42FBA35B"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4AB6C37B"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60763553"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R.38 LEADER coverage: Share of rural population covered by local development strategies</w:t>
            </w:r>
          </w:p>
        </w:tc>
      </w:tr>
      <w:tr w:rsidR="00E62597" w:rsidRPr="00E62597" w14:paraId="292F99D6"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44DD994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044DB43A"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3407C57A"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R.39 Developing the rural economy: Number of rural businesses, including bio-economy businesses, developed with CAP support</w:t>
            </w:r>
          </w:p>
        </w:tc>
      </w:tr>
      <w:tr w:rsidR="00E62597" w:rsidRPr="00E62597" w14:paraId="029EB774" w14:textId="77777777" w:rsidTr="00E62597">
        <w:trPr>
          <w:trHeight w:val="290"/>
        </w:trPr>
        <w:tc>
          <w:tcPr>
            <w:tcW w:w="1814" w:type="pct"/>
            <w:vMerge/>
            <w:tcBorders>
              <w:top w:val="nil"/>
              <w:left w:val="single" w:sz="8" w:space="0" w:color="auto"/>
              <w:bottom w:val="single" w:sz="8" w:space="0" w:color="000000"/>
              <w:right w:val="single" w:sz="8" w:space="0" w:color="auto"/>
            </w:tcBorders>
            <w:vAlign w:val="center"/>
            <w:hideMark/>
          </w:tcPr>
          <w:p w14:paraId="222D6948"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432CAE05"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241CDEDE"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R.40 Smart transition of the rural economy: Number of supported smart-village strategies</w:t>
            </w:r>
          </w:p>
        </w:tc>
      </w:tr>
      <w:tr w:rsidR="00E62597" w:rsidRPr="00E62597" w14:paraId="2D4119D7" w14:textId="77777777" w:rsidTr="00E62597">
        <w:trPr>
          <w:trHeight w:val="520"/>
        </w:trPr>
        <w:tc>
          <w:tcPr>
            <w:tcW w:w="1814" w:type="pct"/>
            <w:vMerge/>
            <w:tcBorders>
              <w:top w:val="nil"/>
              <w:left w:val="single" w:sz="8" w:space="0" w:color="auto"/>
              <w:bottom w:val="single" w:sz="8" w:space="0" w:color="000000"/>
              <w:right w:val="single" w:sz="8" w:space="0" w:color="auto"/>
            </w:tcBorders>
            <w:vAlign w:val="center"/>
            <w:hideMark/>
          </w:tcPr>
          <w:p w14:paraId="1DF0979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31F4230C"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nil"/>
              <w:right w:val="single" w:sz="8" w:space="0" w:color="auto"/>
            </w:tcBorders>
            <w:shd w:val="clear" w:color="auto" w:fill="auto"/>
            <w:vAlign w:val="center"/>
            <w:hideMark/>
          </w:tcPr>
          <w:p w14:paraId="7DF14DC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R.41 Connecting rural Europe: Share of rural population benefitting from improved access to services and infrastructure through CAP support</w:t>
            </w:r>
          </w:p>
        </w:tc>
      </w:tr>
      <w:tr w:rsidR="00E62597" w:rsidRPr="00E62597" w14:paraId="3FA0DA7E" w14:textId="77777777" w:rsidTr="00E62597">
        <w:trPr>
          <w:trHeight w:val="300"/>
        </w:trPr>
        <w:tc>
          <w:tcPr>
            <w:tcW w:w="1814" w:type="pct"/>
            <w:vMerge/>
            <w:tcBorders>
              <w:top w:val="nil"/>
              <w:left w:val="single" w:sz="8" w:space="0" w:color="auto"/>
              <w:bottom w:val="single" w:sz="8" w:space="0" w:color="000000"/>
              <w:right w:val="single" w:sz="8" w:space="0" w:color="auto"/>
            </w:tcBorders>
            <w:vAlign w:val="center"/>
            <w:hideMark/>
          </w:tcPr>
          <w:p w14:paraId="35892B71"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6A545BD3"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41539C52"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R.42 Promoting social inclusion: Number of persons covered by supported social inclusion projects</w:t>
            </w:r>
          </w:p>
        </w:tc>
      </w:tr>
      <w:tr w:rsidR="00E62597" w:rsidRPr="00E62597" w14:paraId="63E194A4" w14:textId="77777777" w:rsidTr="00E62597">
        <w:trPr>
          <w:trHeight w:val="670"/>
        </w:trPr>
        <w:tc>
          <w:tcPr>
            <w:tcW w:w="1814" w:type="pct"/>
            <w:vMerge w:val="restart"/>
            <w:tcBorders>
              <w:top w:val="nil"/>
              <w:left w:val="single" w:sz="8" w:space="0" w:color="auto"/>
              <w:bottom w:val="single" w:sz="8" w:space="0" w:color="000000"/>
              <w:right w:val="single" w:sz="8" w:space="0" w:color="auto"/>
            </w:tcBorders>
            <w:shd w:val="clear" w:color="auto" w:fill="auto"/>
            <w:vAlign w:val="center"/>
            <w:hideMark/>
          </w:tcPr>
          <w:p w14:paraId="18EAF269"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color w:val="000000"/>
                <w:sz w:val="20"/>
                <w:szCs w:val="20"/>
              </w:rPr>
              <w:t>SO9: To improve the response of Union agriculture to societal demands on food and health, including high-quality, safe and nutritious food produced in a sustainable way, to reduce food waste, as well as to improve animal welfare and to combat antimicrobial resistances</w:t>
            </w:r>
          </w:p>
        </w:tc>
        <w:tc>
          <w:tcPr>
            <w:tcW w:w="154" w:type="pct"/>
            <w:vMerge w:val="restart"/>
            <w:tcBorders>
              <w:top w:val="nil"/>
              <w:left w:val="single" w:sz="8" w:space="0" w:color="auto"/>
              <w:bottom w:val="nil"/>
              <w:right w:val="single" w:sz="8" w:space="0" w:color="auto"/>
            </w:tcBorders>
            <w:shd w:val="clear" w:color="auto" w:fill="auto"/>
            <w:vAlign w:val="center"/>
            <w:hideMark/>
          </w:tcPr>
          <w:p w14:paraId="0862696F"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r w:rsidRPr="00E62597">
              <w:rPr>
                <w:rFonts w:ascii="Times New Roman" w:eastAsia="Times New Roman" w:hAnsi="Times New Roman" w:cs="Times New Roman"/>
                <w:b/>
                <w:bCs/>
                <w:i/>
                <w:iCs/>
                <w:noProof/>
                <w:color w:val="000000"/>
                <w:sz w:val="20"/>
                <w:szCs w:val="20"/>
              </w:rPr>
              <w:t> </w:t>
            </w:r>
          </w:p>
        </w:tc>
        <w:tc>
          <w:tcPr>
            <w:tcW w:w="3032" w:type="pct"/>
            <w:tcBorders>
              <w:top w:val="nil"/>
              <w:left w:val="nil"/>
              <w:bottom w:val="nil"/>
              <w:right w:val="single" w:sz="8" w:space="0" w:color="auto"/>
            </w:tcBorders>
            <w:shd w:val="clear" w:color="auto" w:fill="auto"/>
            <w:vAlign w:val="center"/>
            <w:hideMark/>
          </w:tcPr>
          <w:p w14:paraId="42737F25"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R.43 Limiting antimicrobial use: Share of livestock units (LU) concerned by supported actions to limit the use of antimicrobials (prevention/reduction)</w:t>
            </w:r>
          </w:p>
        </w:tc>
      </w:tr>
      <w:tr w:rsidR="00E62597" w:rsidRPr="00E62597" w14:paraId="1BF45971" w14:textId="77777777" w:rsidTr="00E62597">
        <w:trPr>
          <w:trHeight w:val="630"/>
        </w:trPr>
        <w:tc>
          <w:tcPr>
            <w:tcW w:w="1814" w:type="pct"/>
            <w:vMerge/>
            <w:tcBorders>
              <w:top w:val="nil"/>
              <w:left w:val="single" w:sz="8" w:space="0" w:color="auto"/>
              <w:bottom w:val="single" w:sz="8" w:space="0" w:color="000000"/>
              <w:right w:val="single" w:sz="8" w:space="0" w:color="auto"/>
            </w:tcBorders>
            <w:vAlign w:val="center"/>
            <w:hideMark/>
          </w:tcPr>
          <w:p w14:paraId="60104E7D"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p>
        </w:tc>
        <w:tc>
          <w:tcPr>
            <w:tcW w:w="154" w:type="pct"/>
            <w:vMerge/>
            <w:tcBorders>
              <w:top w:val="nil"/>
              <w:left w:val="single" w:sz="8" w:space="0" w:color="auto"/>
              <w:bottom w:val="nil"/>
              <w:right w:val="single" w:sz="8" w:space="0" w:color="auto"/>
            </w:tcBorders>
            <w:vAlign w:val="center"/>
            <w:hideMark/>
          </w:tcPr>
          <w:p w14:paraId="6C9FF55D" w14:textId="77777777" w:rsidR="00E62597" w:rsidRPr="00E62597" w:rsidRDefault="00E62597" w:rsidP="00E62597">
            <w:pPr>
              <w:spacing w:after="0" w:line="240" w:lineRule="auto"/>
              <w:rPr>
                <w:rFonts w:ascii="Times New Roman" w:eastAsia="Times New Roman" w:hAnsi="Times New Roman" w:cs="Times New Roman"/>
                <w:b/>
                <w:bCs/>
                <w:i/>
                <w:iCs/>
                <w:color w:val="000000"/>
                <w:sz w:val="20"/>
                <w:szCs w:val="20"/>
                <w:lang w:val="en-US"/>
              </w:rPr>
            </w:pPr>
          </w:p>
        </w:tc>
        <w:tc>
          <w:tcPr>
            <w:tcW w:w="3032" w:type="pct"/>
            <w:tcBorders>
              <w:top w:val="nil"/>
              <w:left w:val="nil"/>
              <w:bottom w:val="single" w:sz="8" w:space="0" w:color="auto"/>
              <w:right w:val="single" w:sz="8" w:space="0" w:color="auto"/>
            </w:tcBorders>
            <w:shd w:val="clear" w:color="auto" w:fill="auto"/>
            <w:vAlign w:val="center"/>
            <w:hideMark/>
          </w:tcPr>
          <w:p w14:paraId="4F94D676" w14:textId="77777777" w:rsidR="00E62597" w:rsidRPr="00E62597" w:rsidRDefault="00E62597" w:rsidP="00E62597">
            <w:pPr>
              <w:spacing w:after="0" w:line="240" w:lineRule="auto"/>
              <w:rPr>
                <w:rFonts w:ascii="Times New Roman" w:eastAsia="Times New Roman" w:hAnsi="Times New Roman" w:cs="Times New Roman"/>
                <w:color w:val="000000"/>
                <w:sz w:val="20"/>
                <w:szCs w:val="20"/>
                <w:lang w:val="en-US"/>
              </w:rPr>
            </w:pPr>
            <w:r w:rsidRPr="00E62597">
              <w:rPr>
                <w:rFonts w:ascii="Times New Roman" w:eastAsia="Times New Roman" w:hAnsi="Times New Roman" w:cs="Times New Roman"/>
                <w:noProof/>
                <w:color w:val="000000"/>
                <w:sz w:val="20"/>
                <w:szCs w:val="20"/>
              </w:rPr>
              <w:t>R.44 Improving animal welfare: Share of livestock units (LU) covered by supported actions to improve animal welfare</w:t>
            </w:r>
          </w:p>
        </w:tc>
      </w:tr>
    </w:tbl>
    <w:p w14:paraId="0817FF19" w14:textId="77777777" w:rsidR="00012C0B" w:rsidRPr="004979A0" w:rsidRDefault="00012C0B" w:rsidP="00A82615">
      <w:pPr>
        <w:spacing w:after="120" w:line="264" w:lineRule="auto"/>
        <w:jc w:val="both"/>
        <w:rPr>
          <w:rFonts w:ascii="Times New Roman" w:hAnsi="Times New Roman" w:cs="Times New Roman"/>
          <w:b/>
          <w:lang w:val="en-US"/>
        </w:rPr>
        <w:sectPr w:rsidR="00012C0B" w:rsidRPr="004979A0">
          <w:pgSz w:w="12240" w:h="15840"/>
          <w:pgMar w:top="1440" w:right="1440" w:bottom="1440" w:left="1440" w:header="708" w:footer="708" w:gutter="0"/>
          <w:cols w:space="708"/>
          <w:docGrid w:linePitch="360"/>
        </w:sectPr>
      </w:pPr>
    </w:p>
    <w:p w14:paraId="1BA21AA8" w14:textId="7C27DDDD" w:rsidR="00012C0B" w:rsidRPr="000B58DB" w:rsidRDefault="00953CDD" w:rsidP="000B58DB">
      <w:pPr>
        <w:pStyle w:val="Heading1"/>
        <w:rPr>
          <w:rFonts w:ascii="Times New Roman" w:hAnsi="Times New Roman" w:cs="Times New Roman"/>
          <w:color w:val="C45911" w:themeColor="accent2" w:themeShade="BF"/>
        </w:rPr>
      </w:pPr>
      <w:bookmarkStart w:id="46" w:name="_Toc126762233"/>
      <w:r w:rsidRPr="000B58DB">
        <w:rPr>
          <w:rFonts w:ascii="Times New Roman" w:hAnsi="Times New Roman" w:cs="Times New Roman"/>
          <w:color w:val="C45911" w:themeColor="accent2" w:themeShade="BF"/>
          <w:u w:val="single"/>
        </w:rPr>
        <w:lastRenderedPageBreak/>
        <w:t>Annex V</w:t>
      </w:r>
      <w:r w:rsidR="00F13E9D" w:rsidRPr="000B58DB">
        <w:rPr>
          <w:rFonts w:ascii="Times New Roman" w:hAnsi="Times New Roman" w:cs="Times New Roman"/>
          <w:color w:val="C45911" w:themeColor="accent2" w:themeShade="BF"/>
          <w:u w:val="single"/>
        </w:rPr>
        <w:t>I</w:t>
      </w:r>
      <w:r w:rsidR="00012C0B" w:rsidRPr="000B58DB">
        <w:rPr>
          <w:rFonts w:ascii="Times New Roman" w:hAnsi="Times New Roman" w:cs="Times New Roman"/>
          <w:color w:val="C45911" w:themeColor="accent2" w:themeShade="BF"/>
          <w:u w:val="single"/>
        </w:rPr>
        <w:t>I</w:t>
      </w:r>
      <w:r w:rsidR="00F71BD2">
        <w:rPr>
          <w:rFonts w:ascii="Times New Roman" w:hAnsi="Times New Roman" w:cs="Times New Roman"/>
          <w:color w:val="C45911" w:themeColor="accent2" w:themeShade="BF"/>
          <w:u w:val="single"/>
        </w:rPr>
        <w:t>I</w:t>
      </w:r>
      <w:r w:rsidR="000B58DB" w:rsidRPr="000B58DB">
        <w:rPr>
          <w:rFonts w:ascii="Times New Roman" w:hAnsi="Times New Roman" w:cs="Times New Roman"/>
          <w:color w:val="C45911" w:themeColor="accent2" w:themeShade="BF"/>
        </w:rPr>
        <w:t xml:space="preserve">: </w:t>
      </w:r>
      <w:r w:rsidR="00012C0B" w:rsidRPr="000B58DB">
        <w:rPr>
          <w:rFonts w:ascii="Times New Roman" w:hAnsi="Times New Roman" w:cs="Times New Roman"/>
          <w:color w:val="C45911" w:themeColor="accent2" w:themeShade="BF"/>
        </w:rPr>
        <w:t>Matrix linking result indicators and</w:t>
      </w:r>
      <w:r w:rsidR="00CD4986" w:rsidRPr="000B58DB">
        <w:rPr>
          <w:rFonts w:ascii="Times New Roman" w:hAnsi="Times New Roman" w:cs="Times New Roman"/>
          <w:color w:val="C45911" w:themeColor="accent2" w:themeShade="BF"/>
        </w:rPr>
        <w:t xml:space="preserve"> specific objectives</w:t>
      </w:r>
      <w:bookmarkEnd w:id="46"/>
    </w:p>
    <w:p w14:paraId="34E557D4" w14:textId="77777777" w:rsidR="00CD4986" w:rsidRDefault="00CD4986" w:rsidP="00CD4986">
      <w:pPr>
        <w:tabs>
          <w:tab w:val="left" w:pos="501"/>
          <w:tab w:val="center" w:pos="6480"/>
        </w:tabs>
        <w:spacing w:after="120" w:line="264" w:lineRule="auto"/>
        <w:rPr>
          <w:rFonts w:ascii="Times New Roman" w:hAnsi="Times New Roman" w:cs="Times New Roman"/>
          <w:b/>
        </w:rPr>
      </w:pPr>
    </w:p>
    <w:tbl>
      <w:tblPr>
        <w:tblW w:w="14217" w:type="dxa"/>
        <w:tblInd w:w="108" w:type="dxa"/>
        <w:tblLayout w:type="fixed"/>
        <w:tblLook w:val="04A0" w:firstRow="1" w:lastRow="0" w:firstColumn="1" w:lastColumn="0" w:noHBand="0" w:noVBand="1"/>
      </w:tblPr>
      <w:tblGrid>
        <w:gridCol w:w="1518"/>
        <w:gridCol w:w="1269"/>
        <w:gridCol w:w="1270"/>
        <w:gridCol w:w="1270"/>
        <w:gridCol w:w="1270"/>
        <w:gridCol w:w="1270"/>
        <w:gridCol w:w="1270"/>
        <w:gridCol w:w="1270"/>
        <w:gridCol w:w="1270"/>
        <w:gridCol w:w="1270"/>
        <w:gridCol w:w="1270"/>
      </w:tblGrid>
      <w:tr w:rsidR="00D033CA" w:rsidRPr="00D033CA" w14:paraId="6D23CB9A" w14:textId="77777777" w:rsidTr="00C30C44">
        <w:trPr>
          <w:trHeight w:val="614"/>
          <w:tblHeader/>
        </w:trPr>
        <w:tc>
          <w:tcPr>
            <w:tcW w:w="1843" w:type="dxa"/>
            <w:tcBorders>
              <w:top w:val="nil"/>
              <w:left w:val="nil"/>
              <w:bottom w:val="single" w:sz="4" w:space="0" w:color="auto"/>
              <w:right w:val="single" w:sz="4" w:space="0" w:color="auto"/>
            </w:tcBorders>
            <w:shd w:val="clear" w:color="000000" w:fill="FFFFFF"/>
            <w:vAlign w:val="center"/>
            <w:hideMark/>
          </w:tcPr>
          <w:p w14:paraId="5D672DB7"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5A51AD2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SO1</w:t>
            </w:r>
            <w:r w:rsidRPr="00D033CA">
              <w:rPr>
                <w:rFonts w:ascii="Times New Roman" w:eastAsia="Times New Roman" w:hAnsi="Times New Roman" w:cs="Times New Roman"/>
                <w:color w:val="000000"/>
                <w:sz w:val="20"/>
                <w:szCs w:val="20"/>
                <w:lang w:val="en-US"/>
              </w:rPr>
              <w:t xml:space="preserve">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0A6DA68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SO2</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2B9AB40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SO3</w:t>
            </w:r>
            <w:r w:rsidRPr="00D033CA">
              <w:rPr>
                <w:rFonts w:ascii="Times New Roman" w:eastAsia="Times New Roman" w:hAnsi="Times New Roman" w:cs="Times New Roman"/>
                <w:color w:val="000000"/>
                <w:sz w:val="20"/>
                <w:szCs w:val="20"/>
                <w:lang w:val="en-US"/>
              </w:rPr>
              <w:t xml:space="preserve">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68F95DB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SO4</w:t>
            </w:r>
            <w:r w:rsidRPr="00D033CA">
              <w:rPr>
                <w:rFonts w:ascii="Times New Roman" w:eastAsia="Times New Roman" w:hAnsi="Times New Roman" w:cs="Times New Roman"/>
                <w:color w:val="000000"/>
                <w:sz w:val="20"/>
                <w:szCs w:val="20"/>
                <w:lang w:val="en-US"/>
              </w:rPr>
              <w:t xml:space="preserve">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418D01E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SO5</w:t>
            </w:r>
            <w:r w:rsidRPr="00D033CA">
              <w:rPr>
                <w:rFonts w:ascii="Times New Roman" w:eastAsia="Times New Roman" w:hAnsi="Times New Roman" w:cs="Times New Roman"/>
                <w:color w:val="000000"/>
                <w:sz w:val="20"/>
                <w:szCs w:val="20"/>
                <w:lang w:val="en-US"/>
              </w:rPr>
              <w:t xml:space="preserve">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598F059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 xml:space="preserve">SO6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5ED713D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 xml:space="preserve">SO7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7C2083E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 xml:space="preserve">SO8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0671379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 xml:space="preserve">SO9 </w:t>
            </w:r>
          </w:p>
        </w:tc>
        <w:tc>
          <w:tcPr>
            <w:tcW w:w="1531" w:type="dxa"/>
            <w:tcBorders>
              <w:top w:val="single" w:sz="4" w:space="0" w:color="auto"/>
              <w:left w:val="nil"/>
              <w:bottom w:val="single" w:sz="4" w:space="0" w:color="auto"/>
              <w:right w:val="single" w:sz="4" w:space="0" w:color="auto"/>
            </w:tcBorders>
            <w:shd w:val="clear" w:color="000000" w:fill="F2F2F2"/>
            <w:vAlign w:val="center"/>
            <w:hideMark/>
          </w:tcPr>
          <w:p w14:paraId="406E93A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b/>
                <w:bCs/>
                <w:color w:val="000000"/>
                <w:sz w:val="20"/>
                <w:szCs w:val="20"/>
                <w:lang w:val="en-US"/>
              </w:rPr>
              <w:t>SO10</w:t>
            </w:r>
            <w:r w:rsidRPr="00D033CA">
              <w:rPr>
                <w:rFonts w:ascii="Times New Roman" w:eastAsia="Times New Roman" w:hAnsi="Times New Roman" w:cs="Times New Roman"/>
                <w:color w:val="000000"/>
                <w:sz w:val="20"/>
                <w:szCs w:val="20"/>
                <w:lang w:val="en-US"/>
              </w:rPr>
              <w:t xml:space="preserve"> </w:t>
            </w:r>
          </w:p>
        </w:tc>
      </w:tr>
      <w:tr w:rsidR="00D033CA" w:rsidRPr="00D033CA" w14:paraId="12C4203A" w14:textId="77777777" w:rsidTr="00C30C44">
        <w:trPr>
          <w:trHeight w:val="2393"/>
        </w:trPr>
        <w:tc>
          <w:tcPr>
            <w:tcW w:w="1843" w:type="dxa"/>
            <w:tcBorders>
              <w:top w:val="nil"/>
              <w:left w:val="single" w:sz="4" w:space="0" w:color="auto"/>
              <w:bottom w:val="single" w:sz="4" w:space="0" w:color="auto"/>
              <w:right w:val="single" w:sz="4" w:space="0" w:color="auto"/>
            </w:tcBorders>
            <w:shd w:val="clear" w:color="000000" w:fill="F2F2F2"/>
            <w:vAlign w:val="center"/>
          </w:tcPr>
          <w:p w14:paraId="1146D3E6"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p>
        </w:tc>
        <w:tc>
          <w:tcPr>
            <w:tcW w:w="1531" w:type="dxa"/>
            <w:tcBorders>
              <w:top w:val="nil"/>
              <w:left w:val="nil"/>
              <w:bottom w:val="single" w:sz="4" w:space="0" w:color="auto"/>
              <w:right w:val="single" w:sz="4" w:space="0" w:color="auto"/>
            </w:tcBorders>
            <w:shd w:val="clear" w:color="auto" w:fill="auto"/>
            <w:vAlign w:val="center"/>
          </w:tcPr>
          <w:p w14:paraId="653BE94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Support viable farm income and resilience</w:t>
            </w:r>
          </w:p>
        </w:tc>
        <w:tc>
          <w:tcPr>
            <w:tcW w:w="1531" w:type="dxa"/>
            <w:tcBorders>
              <w:top w:val="nil"/>
              <w:left w:val="nil"/>
              <w:bottom w:val="single" w:sz="4" w:space="0" w:color="auto"/>
              <w:right w:val="single" w:sz="4" w:space="0" w:color="auto"/>
            </w:tcBorders>
            <w:shd w:val="clear" w:color="auto" w:fill="auto"/>
            <w:vAlign w:val="center"/>
          </w:tcPr>
          <w:p w14:paraId="4670667D" w14:textId="77777777" w:rsidR="00D033CA" w:rsidRPr="00D033CA" w:rsidRDefault="00D033CA" w:rsidP="00D033CA">
            <w:pPr>
              <w:spacing w:after="0" w:line="240" w:lineRule="auto"/>
              <w:rPr>
                <w:rFonts w:ascii="Times New Roman" w:eastAsia="Times New Roman" w:hAnsi="Times New Roman" w:cs="Times New Roman"/>
                <w:bCs/>
                <w:color w:val="000000"/>
                <w:sz w:val="20"/>
                <w:szCs w:val="20"/>
                <w:lang w:val="en-US"/>
              </w:rPr>
            </w:pPr>
            <w:r w:rsidRPr="00D033CA">
              <w:rPr>
                <w:rFonts w:ascii="Times New Roman" w:eastAsia="Times New Roman" w:hAnsi="Times New Roman" w:cs="Times New Roman"/>
                <w:bCs/>
                <w:color w:val="000000"/>
                <w:sz w:val="20"/>
                <w:szCs w:val="20"/>
                <w:lang w:val="en-US"/>
              </w:rPr>
              <w:t>Enhance market orientation and increase farm competitiveness</w:t>
            </w:r>
          </w:p>
        </w:tc>
        <w:tc>
          <w:tcPr>
            <w:tcW w:w="1531" w:type="dxa"/>
            <w:tcBorders>
              <w:top w:val="nil"/>
              <w:left w:val="nil"/>
              <w:bottom w:val="single" w:sz="4" w:space="0" w:color="auto"/>
              <w:right w:val="single" w:sz="4" w:space="0" w:color="auto"/>
            </w:tcBorders>
            <w:shd w:val="clear" w:color="auto" w:fill="auto"/>
            <w:vAlign w:val="center"/>
          </w:tcPr>
          <w:p w14:paraId="6118974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Improve the farmers' position in the value chain</w:t>
            </w:r>
          </w:p>
        </w:tc>
        <w:tc>
          <w:tcPr>
            <w:tcW w:w="1531" w:type="dxa"/>
            <w:tcBorders>
              <w:top w:val="nil"/>
              <w:left w:val="nil"/>
              <w:bottom w:val="single" w:sz="4" w:space="0" w:color="auto"/>
              <w:right w:val="single" w:sz="4" w:space="0" w:color="auto"/>
            </w:tcBorders>
            <w:shd w:val="clear" w:color="auto" w:fill="auto"/>
            <w:vAlign w:val="center"/>
          </w:tcPr>
          <w:p w14:paraId="076FB49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Contribute to climate change mitigation and adaptation</w:t>
            </w:r>
          </w:p>
        </w:tc>
        <w:tc>
          <w:tcPr>
            <w:tcW w:w="1531" w:type="dxa"/>
            <w:tcBorders>
              <w:top w:val="nil"/>
              <w:left w:val="nil"/>
              <w:bottom w:val="single" w:sz="4" w:space="0" w:color="auto"/>
              <w:right w:val="single" w:sz="4" w:space="0" w:color="auto"/>
            </w:tcBorders>
            <w:shd w:val="clear" w:color="auto" w:fill="auto"/>
            <w:vAlign w:val="center"/>
          </w:tcPr>
          <w:p w14:paraId="6370CB9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Foster sustainable development and efficient management of natural resources</w:t>
            </w:r>
          </w:p>
        </w:tc>
        <w:tc>
          <w:tcPr>
            <w:tcW w:w="1531" w:type="dxa"/>
            <w:tcBorders>
              <w:top w:val="nil"/>
              <w:left w:val="nil"/>
              <w:bottom w:val="single" w:sz="4" w:space="0" w:color="auto"/>
              <w:right w:val="single" w:sz="4" w:space="0" w:color="auto"/>
            </w:tcBorders>
            <w:shd w:val="clear" w:color="auto" w:fill="auto"/>
            <w:vAlign w:val="center"/>
          </w:tcPr>
          <w:p w14:paraId="79404B68"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Contribute to halting and reversing biodiversity loss</w:t>
            </w:r>
          </w:p>
        </w:tc>
        <w:tc>
          <w:tcPr>
            <w:tcW w:w="1531" w:type="dxa"/>
            <w:tcBorders>
              <w:top w:val="nil"/>
              <w:left w:val="nil"/>
              <w:bottom w:val="single" w:sz="4" w:space="0" w:color="auto"/>
              <w:right w:val="single" w:sz="4" w:space="0" w:color="auto"/>
            </w:tcBorders>
            <w:shd w:val="clear" w:color="auto" w:fill="auto"/>
            <w:vAlign w:val="center"/>
          </w:tcPr>
          <w:p w14:paraId="3299BAE9"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Attract and sustain young farmers and facilitate sustainable business development in rural areas</w:t>
            </w:r>
          </w:p>
        </w:tc>
        <w:tc>
          <w:tcPr>
            <w:tcW w:w="1531" w:type="dxa"/>
            <w:tcBorders>
              <w:top w:val="nil"/>
              <w:left w:val="nil"/>
              <w:bottom w:val="single" w:sz="4" w:space="0" w:color="auto"/>
              <w:right w:val="single" w:sz="4" w:space="0" w:color="auto"/>
            </w:tcBorders>
            <w:shd w:val="clear" w:color="auto" w:fill="auto"/>
            <w:vAlign w:val="center"/>
          </w:tcPr>
          <w:p w14:paraId="4EA4464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Promote employment, growth, gender equality</w:t>
            </w:r>
          </w:p>
        </w:tc>
        <w:tc>
          <w:tcPr>
            <w:tcW w:w="1531" w:type="dxa"/>
            <w:tcBorders>
              <w:top w:val="nil"/>
              <w:left w:val="nil"/>
              <w:bottom w:val="single" w:sz="4" w:space="0" w:color="auto"/>
              <w:right w:val="single" w:sz="4" w:space="0" w:color="auto"/>
            </w:tcBorders>
            <w:shd w:val="clear" w:color="auto" w:fill="auto"/>
            <w:vAlign w:val="center"/>
          </w:tcPr>
          <w:p w14:paraId="0F29C0A8"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color w:val="000000"/>
                <w:sz w:val="20"/>
                <w:szCs w:val="20"/>
                <w:lang w:val="en-US"/>
              </w:rPr>
              <w:t>Improve the response of Union agriculture to societal demands on food and health</w:t>
            </w:r>
          </w:p>
        </w:tc>
        <w:tc>
          <w:tcPr>
            <w:tcW w:w="1531" w:type="dxa"/>
            <w:tcBorders>
              <w:top w:val="nil"/>
              <w:left w:val="nil"/>
              <w:bottom w:val="single" w:sz="4" w:space="0" w:color="auto"/>
              <w:right w:val="single" w:sz="4" w:space="0" w:color="auto"/>
            </w:tcBorders>
            <w:shd w:val="clear" w:color="auto" w:fill="auto"/>
            <w:noWrap/>
            <w:vAlign w:val="center"/>
          </w:tcPr>
          <w:p w14:paraId="4FD0A7D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Modernising the sector by fostering and sharing knowledge, innovation and digitalisation in agriculture</w:t>
            </w:r>
          </w:p>
        </w:tc>
      </w:tr>
      <w:tr w:rsidR="00D033CA" w:rsidRPr="00D033CA" w14:paraId="0A728081"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915163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 </w:t>
            </w:r>
            <w:r w:rsidRPr="00D033CA">
              <w:rPr>
                <w:rFonts w:ascii="Times New Roman" w:eastAsia="Times New Roman" w:hAnsi="Times New Roman" w:cs="Times New Roman"/>
                <w:color w:val="000000"/>
                <w:sz w:val="20"/>
                <w:szCs w:val="20"/>
                <w:lang w:val="en-US"/>
              </w:rPr>
              <w:t>Enhancing performance through knowledge and innovation</w:t>
            </w:r>
          </w:p>
        </w:tc>
        <w:tc>
          <w:tcPr>
            <w:tcW w:w="1531" w:type="dxa"/>
            <w:tcBorders>
              <w:top w:val="nil"/>
              <w:left w:val="nil"/>
              <w:bottom w:val="single" w:sz="4" w:space="0" w:color="auto"/>
              <w:right w:val="single" w:sz="4" w:space="0" w:color="auto"/>
            </w:tcBorders>
            <w:shd w:val="clear" w:color="auto" w:fill="auto"/>
            <w:vAlign w:val="center"/>
            <w:hideMark/>
          </w:tcPr>
          <w:p w14:paraId="0902A20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50E18F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8E1A230"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1317E415"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1695A889"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066F5E60"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79842AB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5E6898C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6DB92D4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40BF99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37690CB"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5B8915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 </w:t>
            </w:r>
            <w:r w:rsidRPr="00D033CA">
              <w:rPr>
                <w:rFonts w:ascii="Times New Roman" w:eastAsia="Times New Roman" w:hAnsi="Times New Roman" w:cs="Times New Roman"/>
                <w:color w:val="000000"/>
                <w:sz w:val="20"/>
                <w:szCs w:val="20"/>
                <w:lang w:val="en-US"/>
              </w:rPr>
              <w:t>Linking advice and knowledge systems</w:t>
            </w:r>
          </w:p>
        </w:tc>
        <w:tc>
          <w:tcPr>
            <w:tcW w:w="1531" w:type="dxa"/>
            <w:tcBorders>
              <w:top w:val="nil"/>
              <w:left w:val="nil"/>
              <w:bottom w:val="single" w:sz="4" w:space="0" w:color="auto"/>
              <w:right w:val="single" w:sz="4" w:space="0" w:color="auto"/>
            </w:tcBorders>
            <w:shd w:val="clear" w:color="auto" w:fill="auto"/>
            <w:vAlign w:val="center"/>
            <w:hideMark/>
          </w:tcPr>
          <w:p w14:paraId="74AC33C1"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0D4A7711"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7CC675B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649E72E0"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2DA9D836"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67D86B7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74A01BA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3D52E5C9"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3046285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0E87312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DBD1691" w14:textId="77777777" w:rsidTr="00C30C44">
        <w:trPr>
          <w:trHeight w:val="53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69DA8D8"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 </w:t>
            </w:r>
            <w:r w:rsidRPr="00D033CA">
              <w:rPr>
                <w:rFonts w:ascii="Times New Roman" w:eastAsia="Times New Roman" w:hAnsi="Times New Roman" w:cs="Times New Roman"/>
                <w:color w:val="000000"/>
                <w:sz w:val="20"/>
                <w:szCs w:val="20"/>
                <w:lang w:val="en-US"/>
              </w:rPr>
              <w:t>Digitalising agriculture</w:t>
            </w:r>
          </w:p>
        </w:tc>
        <w:tc>
          <w:tcPr>
            <w:tcW w:w="1531" w:type="dxa"/>
            <w:tcBorders>
              <w:top w:val="nil"/>
              <w:left w:val="nil"/>
              <w:bottom w:val="single" w:sz="4" w:space="0" w:color="auto"/>
              <w:right w:val="single" w:sz="4" w:space="0" w:color="auto"/>
            </w:tcBorders>
            <w:shd w:val="clear" w:color="auto" w:fill="auto"/>
            <w:vAlign w:val="center"/>
            <w:hideMark/>
          </w:tcPr>
          <w:p w14:paraId="09632BE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vAlign w:val="center"/>
            <w:hideMark/>
          </w:tcPr>
          <w:p w14:paraId="3C990B8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565CDBA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362FDF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7B6C3D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9836B97"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51C355F3"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4DC519C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vAlign w:val="center"/>
            <w:hideMark/>
          </w:tcPr>
          <w:p w14:paraId="1D7BB51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DDF61F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A5B29B2"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A17A57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 </w:t>
            </w:r>
            <w:r w:rsidRPr="00D033CA">
              <w:rPr>
                <w:rFonts w:ascii="Times New Roman" w:eastAsia="Times New Roman" w:hAnsi="Times New Roman" w:cs="Times New Roman"/>
                <w:color w:val="000000"/>
                <w:sz w:val="20"/>
                <w:szCs w:val="20"/>
                <w:lang w:val="en-US"/>
              </w:rPr>
              <w:t>Linking income support to standards and good practices</w:t>
            </w:r>
          </w:p>
        </w:tc>
        <w:tc>
          <w:tcPr>
            <w:tcW w:w="1531" w:type="dxa"/>
            <w:tcBorders>
              <w:top w:val="nil"/>
              <w:left w:val="nil"/>
              <w:bottom w:val="single" w:sz="4" w:space="0" w:color="auto"/>
              <w:right w:val="single" w:sz="4" w:space="0" w:color="auto"/>
            </w:tcBorders>
            <w:shd w:val="clear" w:color="000000" w:fill="548235"/>
            <w:noWrap/>
            <w:vAlign w:val="center"/>
            <w:hideMark/>
          </w:tcPr>
          <w:p w14:paraId="4833E2E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994B0D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517B7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8FAE0D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B8FA88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417E3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893D3C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30644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D84536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880A58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019D76A1"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65B8309"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R.5 </w:t>
            </w:r>
            <w:r w:rsidRPr="00D033CA">
              <w:rPr>
                <w:rFonts w:ascii="Times New Roman" w:eastAsia="Times New Roman" w:hAnsi="Times New Roman" w:cs="Times New Roman"/>
                <w:color w:val="000000"/>
                <w:sz w:val="20"/>
                <w:szCs w:val="20"/>
                <w:lang w:val="en-US"/>
              </w:rPr>
              <w:t>Risk Management</w:t>
            </w:r>
          </w:p>
        </w:tc>
        <w:tc>
          <w:tcPr>
            <w:tcW w:w="1531" w:type="dxa"/>
            <w:tcBorders>
              <w:top w:val="nil"/>
              <w:left w:val="nil"/>
              <w:bottom w:val="single" w:sz="4" w:space="0" w:color="auto"/>
              <w:right w:val="single" w:sz="4" w:space="0" w:color="auto"/>
            </w:tcBorders>
            <w:shd w:val="clear" w:color="000000" w:fill="548235"/>
            <w:noWrap/>
            <w:vAlign w:val="center"/>
            <w:hideMark/>
          </w:tcPr>
          <w:p w14:paraId="4FBE9D0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E99F3B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326E6A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66C741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AE1F6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7F84B4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B6BA7F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C18C1F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CD71DB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39CCE2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A895E26" w14:textId="77777777" w:rsidTr="00C30C44">
        <w:trPr>
          <w:trHeight w:val="77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0DCA468"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lastRenderedPageBreak/>
              <w:t xml:space="preserve">R.6 </w:t>
            </w:r>
            <w:r w:rsidRPr="00D033CA">
              <w:rPr>
                <w:rFonts w:ascii="Times New Roman" w:eastAsia="Times New Roman" w:hAnsi="Times New Roman" w:cs="Times New Roman"/>
                <w:color w:val="000000"/>
                <w:sz w:val="20"/>
                <w:szCs w:val="20"/>
                <w:lang w:val="en-US"/>
              </w:rPr>
              <w:t>Redistribution to smaller farms</w:t>
            </w:r>
          </w:p>
        </w:tc>
        <w:tc>
          <w:tcPr>
            <w:tcW w:w="1531" w:type="dxa"/>
            <w:tcBorders>
              <w:top w:val="nil"/>
              <w:left w:val="nil"/>
              <w:bottom w:val="single" w:sz="4" w:space="0" w:color="auto"/>
              <w:right w:val="single" w:sz="4" w:space="0" w:color="auto"/>
            </w:tcBorders>
            <w:shd w:val="clear" w:color="000000" w:fill="548235"/>
            <w:noWrap/>
            <w:vAlign w:val="center"/>
            <w:hideMark/>
          </w:tcPr>
          <w:p w14:paraId="7B9BD9C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4FFD01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DF34E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1FDA2B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A5818A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B788A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C025D7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C950B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329465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7BEEE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2BE2F0F9"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2EDBB2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R.7 </w:t>
            </w:r>
            <w:r w:rsidRPr="00D033CA">
              <w:rPr>
                <w:rFonts w:ascii="Times New Roman" w:eastAsia="Times New Roman" w:hAnsi="Times New Roman" w:cs="Times New Roman"/>
                <w:color w:val="000000"/>
                <w:sz w:val="20"/>
                <w:szCs w:val="20"/>
                <w:lang w:val="en-US"/>
              </w:rPr>
              <w:t>Enhancing support to farms in areas with specific needs</w:t>
            </w:r>
          </w:p>
        </w:tc>
        <w:tc>
          <w:tcPr>
            <w:tcW w:w="1531" w:type="dxa"/>
            <w:tcBorders>
              <w:top w:val="nil"/>
              <w:left w:val="nil"/>
              <w:bottom w:val="single" w:sz="4" w:space="0" w:color="auto"/>
              <w:right w:val="single" w:sz="4" w:space="0" w:color="auto"/>
            </w:tcBorders>
            <w:shd w:val="clear" w:color="000000" w:fill="548235"/>
            <w:noWrap/>
            <w:vAlign w:val="center"/>
            <w:hideMark/>
          </w:tcPr>
          <w:p w14:paraId="4531E83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6A5608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175659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FC6914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FBFC7D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B63C50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D8B541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26FF5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41F149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7657FC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3E2C3E2B"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3C433C7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R.8 </w:t>
            </w:r>
            <w:r w:rsidRPr="00D033CA">
              <w:rPr>
                <w:rFonts w:ascii="Times New Roman" w:eastAsia="Times New Roman" w:hAnsi="Times New Roman" w:cs="Times New Roman"/>
                <w:color w:val="000000"/>
                <w:sz w:val="20"/>
                <w:szCs w:val="20"/>
                <w:lang w:val="en-US"/>
              </w:rPr>
              <w:t>Targeting farms in specific sectors</w:t>
            </w:r>
          </w:p>
        </w:tc>
        <w:tc>
          <w:tcPr>
            <w:tcW w:w="1531" w:type="dxa"/>
            <w:tcBorders>
              <w:top w:val="nil"/>
              <w:left w:val="nil"/>
              <w:bottom w:val="single" w:sz="4" w:space="0" w:color="auto"/>
              <w:right w:val="single" w:sz="4" w:space="0" w:color="auto"/>
            </w:tcBorders>
            <w:shd w:val="clear" w:color="auto" w:fill="auto"/>
            <w:noWrap/>
            <w:vAlign w:val="center"/>
            <w:hideMark/>
          </w:tcPr>
          <w:p w14:paraId="7A73DAC0" w14:textId="77777777" w:rsidR="00D033CA" w:rsidRPr="00D033CA" w:rsidRDefault="00D033CA" w:rsidP="00D033CA">
            <w:pPr>
              <w:spacing w:after="0" w:line="240" w:lineRule="auto"/>
              <w:rPr>
                <w:rFonts w:ascii="Calibri" w:eastAsia="Times New Roman" w:hAnsi="Calibri" w:cs="Calibri"/>
                <w:color w:val="000000"/>
                <w:lang w:val="en-US"/>
              </w:rPr>
            </w:pPr>
            <w:r w:rsidRPr="00D033CA">
              <w:rPr>
                <w:rFonts w:ascii="Calibri" w:eastAsia="Times New Roman" w:hAnsi="Calibri" w:cs="Calibri"/>
                <w:color w:val="00000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99BEE1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E08AE7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E19A5C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F8C2A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A4FEC2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722DD6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F944E0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781157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E214A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0E5F4ACF" w14:textId="77777777" w:rsidTr="00C30C44">
        <w:trPr>
          <w:trHeight w:val="48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259DB6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R.9 </w:t>
            </w:r>
            <w:r w:rsidRPr="00D033CA">
              <w:rPr>
                <w:rFonts w:ascii="Times New Roman" w:eastAsia="Times New Roman" w:hAnsi="Times New Roman" w:cs="Times New Roman"/>
                <w:color w:val="000000"/>
                <w:sz w:val="20"/>
                <w:szCs w:val="20"/>
                <w:lang w:val="en-US"/>
              </w:rPr>
              <w:t>Farm modernisation</w:t>
            </w:r>
          </w:p>
        </w:tc>
        <w:tc>
          <w:tcPr>
            <w:tcW w:w="1531" w:type="dxa"/>
            <w:tcBorders>
              <w:top w:val="nil"/>
              <w:left w:val="nil"/>
              <w:bottom w:val="single" w:sz="4" w:space="0" w:color="auto"/>
              <w:right w:val="single" w:sz="4" w:space="0" w:color="auto"/>
            </w:tcBorders>
            <w:shd w:val="clear" w:color="auto" w:fill="auto"/>
            <w:noWrap/>
            <w:vAlign w:val="center"/>
            <w:hideMark/>
          </w:tcPr>
          <w:p w14:paraId="0C43BC5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D9D23F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07A2DE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A3EAE1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1AA49C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CDE314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3169CD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58C72D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1DC66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50DDF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D59446F"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8C59C05"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R.10 </w:t>
            </w:r>
            <w:r w:rsidRPr="00D033CA">
              <w:rPr>
                <w:rFonts w:ascii="Times New Roman" w:eastAsia="Times New Roman" w:hAnsi="Times New Roman" w:cs="Times New Roman"/>
                <w:color w:val="000000"/>
                <w:sz w:val="20"/>
                <w:szCs w:val="20"/>
                <w:lang w:val="en-US"/>
              </w:rPr>
              <w:t>Better supply chain organisation</w:t>
            </w:r>
          </w:p>
        </w:tc>
        <w:tc>
          <w:tcPr>
            <w:tcW w:w="1531" w:type="dxa"/>
            <w:tcBorders>
              <w:top w:val="nil"/>
              <w:left w:val="nil"/>
              <w:bottom w:val="single" w:sz="4" w:space="0" w:color="auto"/>
              <w:right w:val="single" w:sz="4" w:space="0" w:color="auto"/>
            </w:tcBorders>
            <w:shd w:val="clear" w:color="auto" w:fill="auto"/>
            <w:noWrap/>
            <w:vAlign w:val="center"/>
            <w:hideMark/>
          </w:tcPr>
          <w:p w14:paraId="4FFF6E3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53329B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6D50CA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652559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FA9E77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42235E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F7B694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830B7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A5B5D9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E22851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2529095" w14:textId="77777777" w:rsidTr="00C30C44">
        <w:trPr>
          <w:trHeight w:val="644"/>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4A3382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R.11 </w:t>
            </w:r>
            <w:r w:rsidRPr="00D033CA">
              <w:rPr>
                <w:rFonts w:ascii="Times New Roman" w:eastAsia="Times New Roman" w:hAnsi="Times New Roman" w:cs="Times New Roman"/>
                <w:color w:val="000000"/>
                <w:sz w:val="20"/>
                <w:szCs w:val="20"/>
                <w:lang w:val="en-US"/>
              </w:rPr>
              <w:t>Concentration of supply</w:t>
            </w:r>
          </w:p>
        </w:tc>
        <w:tc>
          <w:tcPr>
            <w:tcW w:w="1531" w:type="dxa"/>
            <w:tcBorders>
              <w:top w:val="nil"/>
              <w:left w:val="nil"/>
              <w:bottom w:val="single" w:sz="4" w:space="0" w:color="auto"/>
              <w:right w:val="single" w:sz="4" w:space="0" w:color="auto"/>
            </w:tcBorders>
            <w:shd w:val="clear" w:color="auto" w:fill="auto"/>
            <w:noWrap/>
            <w:vAlign w:val="center"/>
            <w:hideMark/>
          </w:tcPr>
          <w:p w14:paraId="34AF1F1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D48A23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68461F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FAFF55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C64AB1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D04043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E23A08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7D24B5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A1ECF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0D03A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1E2EFCE1" w14:textId="77777777" w:rsidTr="00C30C44">
        <w:trPr>
          <w:trHeight w:val="654"/>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4819FAF"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R.12 </w:t>
            </w:r>
            <w:r w:rsidRPr="00D033CA">
              <w:rPr>
                <w:rFonts w:ascii="Times New Roman" w:eastAsia="Times New Roman" w:hAnsi="Times New Roman" w:cs="Times New Roman"/>
                <w:color w:val="000000"/>
                <w:sz w:val="20"/>
                <w:szCs w:val="20"/>
                <w:lang w:val="en-US"/>
              </w:rPr>
              <w:t>Adaptation to climate change</w:t>
            </w:r>
          </w:p>
        </w:tc>
        <w:tc>
          <w:tcPr>
            <w:tcW w:w="1531" w:type="dxa"/>
            <w:tcBorders>
              <w:top w:val="nil"/>
              <w:left w:val="nil"/>
              <w:bottom w:val="single" w:sz="4" w:space="0" w:color="auto"/>
              <w:right w:val="single" w:sz="4" w:space="0" w:color="auto"/>
            </w:tcBorders>
            <w:shd w:val="clear" w:color="auto" w:fill="auto"/>
            <w:noWrap/>
            <w:vAlign w:val="center"/>
            <w:hideMark/>
          </w:tcPr>
          <w:p w14:paraId="5BD7EAA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5518F4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4F1D69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CC1D26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62B226DD"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789DDF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F14A22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59E453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3D2BAB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651762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0690AA29" w14:textId="77777777" w:rsidTr="00C30C44">
        <w:trPr>
          <w:trHeight w:val="1373"/>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BA8127E"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R.13 </w:t>
            </w:r>
            <w:r w:rsidRPr="00D033CA">
              <w:rPr>
                <w:rFonts w:ascii="Times New Roman" w:eastAsia="Times New Roman" w:hAnsi="Times New Roman" w:cs="Times New Roman"/>
                <w:color w:val="000000"/>
                <w:sz w:val="20"/>
                <w:szCs w:val="20"/>
                <w:lang w:val="en-US"/>
              </w:rPr>
              <w:t>Reducing emissions in the livestock sector</w:t>
            </w:r>
          </w:p>
        </w:tc>
        <w:tc>
          <w:tcPr>
            <w:tcW w:w="1531" w:type="dxa"/>
            <w:tcBorders>
              <w:top w:val="nil"/>
              <w:left w:val="nil"/>
              <w:bottom w:val="single" w:sz="4" w:space="0" w:color="auto"/>
              <w:right w:val="single" w:sz="4" w:space="0" w:color="auto"/>
            </w:tcBorders>
            <w:shd w:val="clear" w:color="auto" w:fill="auto"/>
            <w:noWrap/>
            <w:vAlign w:val="center"/>
            <w:hideMark/>
          </w:tcPr>
          <w:p w14:paraId="49DA1B9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F60D24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06F117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FFE7DE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713158D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D2B14D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8CB4E0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7C44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C54D97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E27C3D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5E8C80EA" w14:textId="77777777" w:rsidTr="00C30C44">
        <w:trPr>
          <w:trHeight w:val="77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6DC8A08"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R.14 </w:t>
            </w:r>
            <w:r w:rsidRPr="00D033CA">
              <w:rPr>
                <w:rFonts w:ascii="Times New Roman" w:eastAsia="Times New Roman" w:hAnsi="Times New Roman" w:cs="Times New Roman"/>
                <w:color w:val="000000"/>
                <w:sz w:val="20"/>
                <w:szCs w:val="20"/>
                <w:lang w:val="en-US"/>
              </w:rPr>
              <w:t>Carbon storage in soils and biomass</w:t>
            </w:r>
          </w:p>
        </w:tc>
        <w:tc>
          <w:tcPr>
            <w:tcW w:w="1531" w:type="dxa"/>
            <w:tcBorders>
              <w:top w:val="nil"/>
              <w:left w:val="nil"/>
              <w:bottom w:val="single" w:sz="4" w:space="0" w:color="auto"/>
              <w:right w:val="single" w:sz="4" w:space="0" w:color="auto"/>
            </w:tcBorders>
            <w:shd w:val="clear" w:color="auto" w:fill="auto"/>
            <w:noWrap/>
            <w:vAlign w:val="center"/>
            <w:hideMark/>
          </w:tcPr>
          <w:p w14:paraId="05A85C6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6ECB84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2672B4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AF328D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4D71A95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1C7AA9D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D2E6F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DF3523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6FD6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354FD7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06398453" w14:textId="77777777" w:rsidTr="00C30C44">
        <w:trPr>
          <w:trHeight w:val="651"/>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F3A842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lastRenderedPageBreak/>
              <w:t xml:space="preserve">R.15 </w:t>
            </w:r>
            <w:r w:rsidRPr="00D033CA">
              <w:rPr>
                <w:rFonts w:ascii="Times New Roman" w:eastAsia="Times New Roman" w:hAnsi="Times New Roman" w:cs="Times New Roman"/>
                <w:color w:val="000000"/>
                <w:sz w:val="20"/>
                <w:szCs w:val="20"/>
                <w:lang w:val="en-US"/>
              </w:rPr>
              <w:t>Renewable energy from agriculture, forestry and from other renewable sources</w:t>
            </w:r>
          </w:p>
        </w:tc>
        <w:tc>
          <w:tcPr>
            <w:tcW w:w="1531" w:type="dxa"/>
            <w:tcBorders>
              <w:top w:val="nil"/>
              <w:left w:val="nil"/>
              <w:bottom w:val="single" w:sz="4" w:space="0" w:color="auto"/>
              <w:right w:val="single" w:sz="4" w:space="0" w:color="auto"/>
            </w:tcBorders>
            <w:shd w:val="clear" w:color="auto" w:fill="auto"/>
            <w:noWrap/>
            <w:vAlign w:val="center"/>
            <w:hideMark/>
          </w:tcPr>
          <w:p w14:paraId="12ED6CC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97375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D67BE6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FFF339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6C6A924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4F7A7BA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E6384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30A567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EA2BB3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3F4ED1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CA0400B"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796114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R.16 </w:t>
            </w:r>
            <w:r w:rsidRPr="00D033CA">
              <w:rPr>
                <w:rFonts w:ascii="Times New Roman" w:eastAsia="Times New Roman" w:hAnsi="Times New Roman" w:cs="Times New Roman"/>
                <w:color w:val="000000"/>
                <w:sz w:val="20"/>
                <w:szCs w:val="20"/>
                <w:lang w:val="en-US"/>
              </w:rPr>
              <w:t>Investments related to climate</w:t>
            </w:r>
          </w:p>
        </w:tc>
        <w:tc>
          <w:tcPr>
            <w:tcW w:w="1531" w:type="dxa"/>
            <w:tcBorders>
              <w:top w:val="nil"/>
              <w:left w:val="nil"/>
              <w:bottom w:val="single" w:sz="4" w:space="0" w:color="auto"/>
              <w:right w:val="single" w:sz="4" w:space="0" w:color="auto"/>
            </w:tcBorders>
            <w:shd w:val="clear" w:color="auto" w:fill="auto"/>
            <w:noWrap/>
            <w:vAlign w:val="center"/>
            <w:hideMark/>
          </w:tcPr>
          <w:p w14:paraId="0320F82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2DCCE9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BEDD88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E97F4C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6696524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2FE0564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C5A906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962722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0C1CE2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60EB0C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1D2CDB27" w14:textId="77777777" w:rsidTr="00D033CA">
        <w:trPr>
          <w:trHeight w:val="42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AC5D4F7"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R.17 </w:t>
            </w:r>
            <w:r w:rsidRPr="00D033CA">
              <w:rPr>
                <w:rFonts w:ascii="Times New Roman" w:eastAsia="Times New Roman" w:hAnsi="Times New Roman" w:cs="Times New Roman"/>
                <w:color w:val="000000"/>
                <w:sz w:val="20"/>
                <w:szCs w:val="20"/>
                <w:lang w:val="en-US"/>
              </w:rPr>
              <w:t>Afforested land</w:t>
            </w:r>
          </w:p>
        </w:tc>
        <w:tc>
          <w:tcPr>
            <w:tcW w:w="1531" w:type="dxa"/>
            <w:tcBorders>
              <w:top w:val="nil"/>
              <w:left w:val="nil"/>
              <w:bottom w:val="single" w:sz="4" w:space="0" w:color="auto"/>
              <w:right w:val="single" w:sz="4" w:space="0" w:color="auto"/>
            </w:tcBorders>
            <w:shd w:val="clear" w:color="auto" w:fill="auto"/>
            <w:noWrap/>
            <w:vAlign w:val="center"/>
            <w:hideMark/>
          </w:tcPr>
          <w:p w14:paraId="0287E206"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1F6AEF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FA1EDD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22EABA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37CB96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2E18F0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2395EA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2103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64704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A35633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587EF571"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5CE01F4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R.18 </w:t>
            </w:r>
            <w:r w:rsidRPr="00D033CA">
              <w:rPr>
                <w:rFonts w:ascii="Times New Roman" w:eastAsia="Times New Roman" w:hAnsi="Times New Roman" w:cs="Times New Roman"/>
                <w:color w:val="000000"/>
                <w:sz w:val="20"/>
                <w:szCs w:val="20"/>
                <w:lang w:val="en-US"/>
              </w:rPr>
              <w:t>Investment support to the forest sector</w:t>
            </w:r>
          </w:p>
        </w:tc>
        <w:tc>
          <w:tcPr>
            <w:tcW w:w="1531" w:type="dxa"/>
            <w:tcBorders>
              <w:top w:val="nil"/>
              <w:left w:val="nil"/>
              <w:bottom w:val="single" w:sz="4" w:space="0" w:color="auto"/>
              <w:right w:val="single" w:sz="4" w:space="0" w:color="auto"/>
            </w:tcBorders>
            <w:shd w:val="clear" w:color="auto" w:fill="auto"/>
            <w:noWrap/>
            <w:vAlign w:val="center"/>
            <w:hideMark/>
          </w:tcPr>
          <w:p w14:paraId="1D1D359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9DEEA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9D9156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8169B4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64FFFF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61B3BE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DD7294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256459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2B91E7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2D31FF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563690C1" w14:textId="77777777" w:rsidTr="00C30C44">
        <w:trPr>
          <w:trHeight w:val="70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99AC34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R.19 </w:t>
            </w:r>
            <w:r w:rsidRPr="00D033CA">
              <w:rPr>
                <w:rFonts w:ascii="Times New Roman" w:eastAsia="Times New Roman" w:hAnsi="Times New Roman" w:cs="Times New Roman"/>
                <w:color w:val="000000"/>
                <w:sz w:val="20"/>
                <w:szCs w:val="20"/>
                <w:lang w:val="en-US"/>
              </w:rPr>
              <w:t>Improving and protecting soils</w:t>
            </w:r>
          </w:p>
        </w:tc>
        <w:tc>
          <w:tcPr>
            <w:tcW w:w="1531" w:type="dxa"/>
            <w:tcBorders>
              <w:top w:val="nil"/>
              <w:left w:val="nil"/>
              <w:bottom w:val="single" w:sz="4" w:space="0" w:color="auto"/>
              <w:right w:val="single" w:sz="4" w:space="0" w:color="auto"/>
            </w:tcBorders>
            <w:shd w:val="clear" w:color="auto" w:fill="auto"/>
            <w:noWrap/>
            <w:vAlign w:val="center"/>
            <w:hideMark/>
          </w:tcPr>
          <w:p w14:paraId="61430CE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451FE8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89DBB3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623D55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7BD4D5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4BF1EC"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08CA7F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F13FE7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D16691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FC93D0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8E20FD2" w14:textId="77777777" w:rsidTr="00C30C44">
        <w:trPr>
          <w:trHeight w:val="393"/>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65C0ED7"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R.20 </w:t>
            </w:r>
            <w:r w:rsidRPr="00D033CA">
              <w:rPr>
                <w:rFonts w:ascii="Times New Roman" w:eastAsia="Times New Roman" w:hAnsi="Times New Roman" w:cs="Times New Roman"/>
                <w:color w:val="000000"/>
                <w:sz w:val="20"/>
                <w:szCs w:val="20"/>
                <w:lang w:val="en-US"/>
              </w:rPr>
              <w:t>Improving air quality</w:t>
            </w:r>
          </w:p>
        </w:tc>
        <w:tc>
          <w:tcPr>
            <w:tcW w:w="1531" w:type="dxa"/>
            <w:tcBorders>
              <w:top w:val="nil"/>
              <w:left w:val="nil"/>
              <w:bottom w:val="single" w:sz="4" w:space="0" w:color="auto"/>
              <w:right w:val="single" w:sz="4" w:space="0" w:color="auto"/>
            </w:tcBorders>
            <w:shd w:val="clear" w:color="auto" w:fill="auto"/>
            <w:noWrap/>
            <w:vAlign w:val="center"/>
            <w:hideMark/>
          </w:tcPr>
          <w:p w14:paraId="14B1EF9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941A1D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5EA861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1277AD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2A0A3C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7B81E6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D73263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58CF8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C1E550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2AFAF3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1C284321" w14:textId="77777777" w:rsidTr="00C30C44">
        <w:trPr>
          <w:trHeight w:val="77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385DDA1"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R.21 </w:t>
            </w:r>
            <w:r w:rsidRPr="00D033CA">
              <w:rPr>
                <w:rFonts w:ascii="Times New Roman" w:eastAsia="Times New Roman" w:hAnsi="Times New Roman" w:cs="Times New Roman"/>
                <w:color w:val="000000"/>
                <w:sz w:val="20"/>
                <w:szCs w:val="20"/>
                <w:lang w:val="en-US"/>
              </w:rPr>
              <w:t>Protecting water quality</w:t>
            </w:r>
          </w:p>
        </w:tc>
        <w:tc>
          <w:tcPr>
            <w:tcW w:w="1531" w:type="dxa"/>
            <w:tcBorders>
              <w:top w:val="nil"/>
              <w:left w:val="nil"/>
              <w:bottom w:val="single" w:sz="4" w:space="0" w:color="auto"/>
              <w:right w:val="single" w:sz="4" w:space="0" w:color="auto"/>
            </w:tcBorders>
            <w:shd w:val="clear" w:color="auto" w:fill="auto"/>
            <w:noWrap/>
            <w:vAlign w:val="center"/>
            <w:hideMark/>
          </w:tcPr>
          <w:p w14:paraId="01944A6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0F5F30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6794F8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6EDAAC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6BE631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0EB994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9634C3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16FF8F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FAF850E"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B905C0D"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r>
      <w:tr w:rsidR="00D033CA" w:rsidRPr="00D033CA" w14:paraId="63774203" w14:textId="77777777" w:rsidTr="00D033CA">
        <w:trPr>
          <w:trHeight w:val="162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FA40BC0"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R.22 </w:t>
            </w:r>
            <w:r w:rsidRPr="00D033CA">
              <w:rPr>
                <w:rFonts w:ascii="Times New Roman" w:eastAsia="Times New Roman" w:hAnsi="Times New Roman" w:cs="Times New Roman"/>
                <w:color w:val="000000"/>
                <w:sz w:val="20"/>
                <w:szCs w:val="20"/>
                <w:lang w:val="en-US"/>
              </w:rPr>
              <w:t>Sustainable nutrient management</w:t>
            </w:r>
          </w:p>
        </w:tc>
        <w:tc>
          <w:tcPr>
            <w:tcW w:w="1531" w:type="dxa"/>
            <w:tcBorders>
              <w:top w:val="nil"/>
              <w:left w:val="nil"/>
              <w:bottom w:val="single" w:sz="4" w:space="0" w:color="auto"/>
              <w:right w:val="single" w:sz="4" w:space="0" w:color="auto"/>
            </w:tcBorders>
            <w:shd w:val="clear" w:color="auto" w:fill="auto"/>
            <w:noWrap/>
            <w:vAlign w:val="center"/>
            <w:hideMark/>
          </w:tcPr>
          <w:p w14:paraId="6363988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EDF030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C830B4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A54EC2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06F3641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2537F6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84A687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997120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39B33C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41DBA0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25B5A6B4" w14:textId="77777777" w:rsidTr="00C30C44">
        <w:trPr>
          <w:trHeight w:val="808"/>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12C5D41"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lastRenderedPageBreak/>
              <w:t xml:space="preserve">R.23 </w:t>
            </w:r>
            <w:r w:rsidRPr="00D033CA">
              <w:rPr>
                <w:rFonts w:ascii="Times New Roman" w:eastAsia="Times New Roman" w:hAnsi="Times New Roman" w:cs="Times New Roman"/>
                <w:color w:val="000000"/>
                <w:sz w:val="20"/>
                <w:szCs w:val="20"/>
                <w:lang w:val="en-US"/>
              </w:rPr>
              <w:t>Sustainable water use</w:t>
            </w:r>
          </w:p>
        </w:tc>
        <w:tc>
          <w:tcPr>
            <w:tcW w:w="1531" w:type="dxa"/>
            <w:tcBorders>
              <w:top w:val="nil"/>
              <w:left w:val="nil"/>
              <w:bottom w:val="single" w:sz="4" w:space="0" w:color="auto"/>
              <w:right w:val="single" w:sz="4" w:space="0" w:color="auto"/>
            </w:tcBorders>
            <w:shd w:val="clear" w:color="auto" w:fill="auto"/>
            <w:noWrap/>
            <w:vAlign w:val="center"/>
            <w:hideMark/>
          </w:tcPr>
          <w:p w14:paraId="4E02839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17F372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873EAA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1FEACF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23E497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A95038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B4BC0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9DB00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5760C4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C2BC1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33AE5FD6"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4C908A7"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R.24 </w:t>
            </w:r>
            <w:r w:rsidRPr="00D033CA">
              <w:rPr>
                <w:rFonts w:ascii="Times New Roman" w:eastAsia="Times New Roman" w:hAnsi="Times New Roman" w:cs="Times New Roman"/>
                <w:color w:val="000000"/>
                <w:sz w:val="20"/>
                <w:szCs w:val="20"/>
                <w:lang w:val="en-US"/>
              </w:rPr>
              <w:t>Sustainable and reduced use of pesticides</w:t>
            </w:r>
          </w:p>
        </w:tc>
        <w:tc>
          <w:tcPr>
            <w:tcW w:w="1531" w:type="dxa"/>
            <w:tcBorders>
              <w:top w:val="nil"/>
              <w:left w:val="nil"/>
              <w:bottom w:val="single" w:sz="4" w:space="0" w:color="auto"/>
              <w:right w:val="single" w:sz="4" w:space="0" w:color="auto"/>
            </w:tcBorders>
            <w:shd w:val="clear" w:color="auto" w:fill="auto"/>
            <w:noWrap/>
            <w:vAlign w:val="center"/>
            <w:hideMark/>
          </w:tcPr>
          <w:p w14:paraId="6F5DD08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D15870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DEB375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3B61BC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C549D1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51ABE7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E08B51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F18FEF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CFB07A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561600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0B70CAA1"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439F667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R.25 </w:t>
            </w:r>
            <w:r w:rsidRPr="00D033CA">
              <w:rPr>
                <w:rFonts w:ascii="Times New Roman" w:eastAsia="Times New Roman" w:hAnsi="Times New Roman" w:cs="Times New Roman"/>
                <w:color w:val="000000"/>
                <w:sz w:val="20"/>
                <w:szCs w:val="20"/>
                <w:lang w:val="en-US"/>
              </w:rPr>
              <w:t>Environmental performance in the livestock sector</w:t>
            </w:r>
          </w:p>
        </w:tc>
        <w:tc>
          <w:tcPr>
            <w:tcW w:w="1531" w:type="dxa"/>
            <w:tcBorders>
              <w:top w:val="nil"/>
              <w:left w:val="nil"/>
              <w:bottom w:val="single" w:sz="4" w:space="0" w:color="auto"/>
              <w:right w:val="single" w:sz="4" w:space="0" w:color="auto"/>
            </w:tcBorders>
            <w:shd w:val="clear" w:color="auto" w:fill="auto"/>
            <w:noWrap/>
            <w:vAlign w:val="center"/>
            <w:hideMark/>
          </w:tcPr>
          <w:p w14:paraId="552BA9C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71CB4A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34BF69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440AD7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004C872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2E8B3F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4DB0D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385748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1D48EA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2719BB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59A0F64"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11A26AF"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R.26 </w:t>
            </w:r>
            <w:r w:rsidRPr="00D033CA">
              <w:rPr>
                <w:rFonts w:ascii="Times New Roman" w:eastAsia="Times New Roman" w:hAnsi="Times New Roman" w:cs="Times New Roman"/>
                <w:color w:val="000000"/>
                <w:sz w:val="20"/>
                <w:szCs w:val="20"/>
                <w:lang w:val="en-US"/>
              </w:rPr>
              <w:t>Investments related to natural resources</w:t>
            </w:r>
          </w:p>
        </w:tc>
        <w:tc>
          <w:tcPr>
            <w:tcW w:w="1531" w:type="dxa"/>
            <w:tcBorders>
              <w:top w:val="nil"/>
              <w:left w:val="nil"/>
              <w:bottom w:val="single" w:sz="4" w:space="0" w:color="auto"/>
              <w:right w:val="single" w:sz="4" w:space="0" w:color="auto"/>
            </w:tcBorders>
            <w:shd w:val="clear" w:color="auto" w:fill="auto"/>
            <w:noWrap/>
            <w:vAlign w:val="center"/>
            <w:hideMark/>
          </w:tcPr>
          <w:p w14:paraId="634AB0C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36CE51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39E638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E5CEB4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DBB470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4A0CCE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7E0BED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404FAB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E123CE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CB84E2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277A8A26"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324D739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R.27 </w:t>
            </w:r>
            <w:r w:rsidRPr="00D033CA">
              <w:rPr>
                <w:rFonts w:ascii="Times New Roman" w:eastAsia="Times New Roman" w:hAnsi="Times New Roman" w:cs="Times New Roman"/>
                <w:color w:val="000000"/>
                <w:sz w:val="20"/>
                <w:szCs w:val="20"/>
                <w:lang w:val="en-US"/>
              </w:rPr>
              <w:t>Environment-/climate-related performance through investment in rural areas</w:t>
            </w:r>
          </w:p>
        </w:tc>
        <w:tc>
          <w:tcPr>
            <w:tcW w:w="1531" w:type="dxa"/>
            <w:tcBorders>
              <w:top w:val="nil"/>
              <w:left w:val="nil"/>
              <w:bottom w:val="single" w:sz="4" w:space="0" w:color="auto"/>
              <w:right w:val="single" w:sz="4" w:space="0" w:color="auto"/>
            </w:tcBorders>
            <w:shd w:val="clear" w:color="auto" w:fill="auto"/>
            <w:noWrap/>
            <w:vAlign w:val="center"/>
            <w:hideMark/>
          </w:tcPr>
          <w:p w14:paraId="6057BF2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14DBCA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E49FE1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7A5D2D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F970A3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07037C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C18859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3C8CEF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9B8918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8B4B46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48820DE"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3129166"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R.28 </w:t>
            </w:r>
            <w:r w:rsidRPr="00D033CA">
              <w:rPr>
                <w:rFonts w:ascii="Times New Roman" w:eastAsia="Times New Roman" w:hAnsi="Times New Roman" w:cs="Times New Roman"/>
                <w:color w:val="000000"/>
                <w:sz w:val="20"/>
                <w:szCs w:val="20"/>
                <w:lang w:val="en-US"/>
              </w:rPr>
              <w:t>Environmental/climate performance through knowledge and innovation</w:t>
            </w:r>
          </w:p>
        </w:tc>
        <w:tc>
          <w:tcPr>
            <w:tcW w:w="1531" w:type="dxa"/>
            <w:tcBorders>
              <w:top w:val="nil"/>
              <w:left w:val="nil"/>
              <w:bottom w:val="single" w:sz="4" w:space="0" w:color="auto"/>
              <w:right w:val="single" w:sz="4" w:space="0" w:color="auto"/>
            </w:tcBorders>
            <w:shd w:val="clear" w:color="auto" w:fill="auto"/>
            <w:noWrap/>
            <w:vAlign w:val="center"/>
            <w:hideMark/>
          </w:tcPr>
          <w:p w14:paraId="1A60B55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B1AC3A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CD06B6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2B44B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B95B0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6E6132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378C5E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4E3FB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3EEF37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0FE3D7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27A401F"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561D86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R.29 </w:t>
            </w:r>
            <w:r w:rsidRPr="00D033CA">
              <w:rPr>
                <w:rFonts w:ascii="Times New Roman" w:eastAsia="Times New Roman" w:hAnsi="Times New Roman" w:cs="Times New Roman"/>
                <w:color w:val="000000"/>
                <w:sz w:val="20"/>
                <w:szCs w:val="20"/>
                <w:lang w:val="en-US"/>
              </w:rPr>
              <w:t>Development of organic agriculture</w:t>
            </w:r>
          </w:p>
        </w:tc>
        <w:tc>
          <w:tcPr>
            <w:tcW w:w="1531" w:type="dxa"/>
            <w:tcBorders>
              <w:top w:val="nil"/>
              <w:left w:val="nil"/>
              <w:bottom w:val="single" w:sz="4" w:space="0" w:color="auto"/>
              <w:right w:val="single" w:sz="4" w:space="0" w:color="auto"/>
            </w:tcBorders>
            <w:shd w:val="clear" w:color="auto" w:fill="auto"/>
            <w:noWrap/>
            <w:vAlign w:val="center"/>
            <w:hideMark/>
          </w:tcPr>
          <w:p w14:paraId="35B8266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4A6640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E596C1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79483B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78D3F9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0CD94B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9CE286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F1236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1E714E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919EBD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8724FA8"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6FABFFF"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lastRenderedPageBreak/>
              <w:t xml:space="preserve">R.30 </w:t>
            </w:r>
            <w:r w:rsidRPr="00D033CA">
              <w:rPr>
                <w:rFonts w:ascii="Times New Roman" w:eastAsia="Times New Roman" w:hAnsi="Times New Roman" w:cs="Times New Roman"/>
                <w:color w:val="000000"/>
                <w:sz w:val="20"/>
                <w:szCs w:val="20"/>
                <w:lang w:val="en-US"/>
              </w:rPr>
              <w:t>Supporting sustainable forest management</w:t>
            </w:r>
          </w:p>
        </w:tc>
        <w:tc>
          <w:tcPr>
            <w:tcW w:w="1531" w:type="dxa"/>
            <w:tcBorders>
              <w:top w:val="nil"/>
              <w:left w:val="nil"/>
              <w:bottom w:val="single" w:sz="4" w:space="0" w:color="auto"/>
              <w:right w:val="single" w:sz="4" w:space="0" w:color="auto"/>
            </w:tcBorders>
            <w:shd w:val="clear" w:color="auto" w:fill="auto"/>
            <w:noWrap/>
            <w:vAlign w:val="center"/>
            <w:hideMark/>
          </w:tcPr>
          <w:p w14:paraId="3CA4989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17DC0F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61098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5B7E15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A4D1AF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0FD3A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936FB9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D5FA95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F0AA1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0B986B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F008B05" w14:textId="77777777" w:rsidTr="00C30C44">
        <w:trPr>
          <w:trHeight w:val="85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466C1D1"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R.31 </w:t>
            </w:r>
            <w:r w:rsidRPr="00D033CA">
              <w:rPr>
                <w:rFonts w:ascii="Times New Roman" w:eastAsia="Times New Roman" w:hAnsi="Times New Roman" w:cs="Times New Roman"/>
                <w:color w:val="000000"/>
                <w:sz w:val="20"/>
                <w:szCs w:val="20"/>
                <w:lang w:val="en-US"/>
              </w:rPr>
              <w:t>Preserving habitats and species</w:t>
            </w:r>
          </w:p>
        </w:tc>
        <w:tc>
          <w:tcPr>
            <w:tcW w:w="1531" w:type="dxa"/>
            <w:tcBorders>
              <w:top w:val="nil"/>
              <w:left w:val="nil"/>
              <w:bottom w:val="single" w:sz="4" w:space="0" w:color="auto"/>
              <w:right w:val="single" w:sz="4" w:space="0" w:color="auto"/>
            </w:tcBorders>
            <w:shd w:val="clear" w:color="auto" w:fill="auto"/>
            <w:noWrap/>
            <w:vAlign w:val="center"/>
            <w:hideMark/>
          </w:tcPr>
          <w:p w14:paraId="75262F7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4F6C49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9E093B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78FE2E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60037F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170EC1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1DAF2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D6517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600800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C3C43C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26C1BBF7"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2E23055"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R.32 </w:t>
            </w:r>
            <w:r w:rsidRPr="00D033CA">
              <w:rPr>
                <w:rFonts w:ascii="Times New Roman" w:eastAsia="Times New Roman" w:hAnsi="Times New Roman" w:cs="Times New Roman"/>
                <w:color w:val="000000"/>
                <w:sz w:val="20"/>
                <w:szCs w:val="20"/>
                <w:lang w:val="en-US"/>
              </w:rPr>
              <w:t>Investments related to biodiversity</w:t>
            </w:r>
          </w:p>
        </w:tc>
        <w:tc>
          <w:tcPr>
            <w:tcW w:w="1531" w:type="dxa"/>
            <w:tcBorders>
              <w:top w:val="nil"/>
              <w:left w:val="nil"/>
              <w:bottom w:val="single" w:sz="4" w:space="0" w:color="auto"/>
              <w:right w:val="single" w:sz="4" w:space="0" w:color="auto"/>
            </w:tcBorders>
            <w:shd w:val="clear" w:color="auto" w:fill="auto"/>
            <w:noWrap/>
            <w:vAlign w:val="center"/>
            <w:hideMark/>
          </w:tcPr>
          <w:p w14:paraId="1A650DD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1D0A63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C85F6F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5FE07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32BEF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4D5217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F717EE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01DAE3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DB084E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7E8BDA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325AEAC1"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154C0F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R.33 </w:t>
            </w:r>
            <w:r w:rsidRPr="00D033CA">
              <w:rPr>
                <w:rFonts w:ascii="Times New Roman" w:eastAsia="Times New Roman" w:hAnsi="Times New Roman" w:cs="Times New Roman"/>
                <w:color w:val="000000"/>
                <w:sz w:val="20"/>
                <w:szCs w:val="20"/>
                <w:lang w:val="en-US"/>
              </w:rPr>
              <w:t>Improving Natura 2000 management</w:t>
            </w:r>
          </w:p>
        </w:tc>
        <w:tc>
          <w:tcPr>
            <w:tcW w:w="1531" w:type="dxa"/>
            <w:tcBorders>
              <w:top w:val="nil"/>
              <w:left w:val="nil"/>
              <w:bottom w:val="single" w:sz="4" w:space="0" w:color="auto"/>
              <w:right w:val="single" w:sz="4" w:space="0" w:color="auto"/>
            </w:tcBorders>
            <w:shd w:val="clear" w:color="auto" w:fill="auto"/>
            <w:noWrap/>
            <w:vAlign w:val="center"/>
            <w:hideMark/>
          </w:tcPr>
          <w:p w14:paraId="5B7B42C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2BCD88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CB9AE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02139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9B65DD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443C21E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1EE933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89239B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CBDC73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78FCA9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699E95C" w14:textId="77777777" w:rsidTr="00C30C44">
        <w:trPr>
          <w:trHeight w:val="71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4ECABE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R.34</w:t>
            </w:r>
            <w:r w:rsidRPr="00D033CA">
              <w:rPr>
                <w:rFonts w:ascii="Times New Roman" w:eastAsia="Times New Roman" w:hAnsi="Times New Roman" w:cs="Times New Roman"/>
                <w:color w:val="000000"/>
                <w:sz w:val="20"/>
                <w:szCs w:val="20"/>
                <w:lang w:val="en-US"/>
              </w:rPr>
              <w:t xml:space="preserve"> Preserving landscape features</w:t>
            </w:r>
          </w:p>
        </w:tc>
        <w:tc>
          <w:tcPr>
            <w:tcW w:w="1531" w:type="dxa"/>
            <w:tcBorders>
              <w:top w:val="nil"/>
              <w:left w:val="nil"/>
              <w:bottom w:val="single" w:sz="4" w:space="0" w:color="auto"/>
              <w:right w:val="single" w:sz="4" w:space="0" w:color="auto"/>
            </w:tcBorders>
            <w:shd w:val="clear" w:color="auto" w:fill="auto"/>
            <w:noWrap/>
            <w:vAlign w:val="center"/>
            <w:hideMark/>
          </w:tcPr>
          <w:p w14:paraId="668C9DA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89FC5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7A2978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39C14E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5DA82E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ADC154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82A3F2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7C6ACA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BD9DCC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FF6B56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3951A919" w14:textId="77777777" w:rsidTr="00C30C44">
        <w:trPr>
          <w:trHeight w:val="33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99A706D"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R.35 </w:t>
            </w:r>
            <w:r w:rsidRPr="00D033CA">
              <w:rPr>
                <w:rFonts w:ascii="Times New Roman" w:eastAsia="Times New Roman" w:hAnsi="Times New Roman" w:cs="Times New Roman"/>
                <w:color w:val="000000"/>
                <w:sz w:val="20"/>
                <w:szCs w:val="20"/>
                <w:lang w:val="en-US"/>
              </w:rPr>
              <w:t>Preserving beehives</w:t>
            </w:r>
          </w:p>
        </w:tc>
        <w:tc>
          <w:tcPr>
            <w:tcW w:w="1531" w:type="dxa"/>
            <w:tcBorders>
              <w:top w:val="nil"/>
              <w:left w:val="nil"/>
              <w:bottom w:val="single" w:sz="4" w:space="0" w:color="auto"/>
              <w:right w:val="single" w:sz="4" w:space="0" w:color="auto"/>
            </w:tcBorders>
            <w:shd w:val="clear" w:color="auto" w:fill="auto"/>
            <w:noWrap/>
            <w:vAlign w:val="center"/>
            <w:hideMark/>
          </w:tcPr>
          <w:p w14:paraId="04D7BEC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3BE55B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7EC537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04B806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B88FC4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61421C7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04B96D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EE68F1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E0D6A0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3A8AF1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558165FD"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CD0F036"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R.36 </w:t>
            </w:r>
            <w:r w:rsidRPr="00D033CA">
              <w:rPr>
                <w:rFonts w:ascii="Times New Roman" w:eastAsia="Times New Roman" w:hAnsi="Times New Roman" w:cs="Times New Roman"/>
                <w:color w:val="000000"/>
                <w:sz w:val="20"/>
                <w:szCs w:val="20"/>
                <w:lang w:val="en-US"/>
              </w:rPr>
              <w:t>Generational renewal</w:t>
            </w:r>
          </w:p>
        </w:tc>
        <w:tc>
          <w:tcPr>
            <w:tcW w:w="1531" w:type="dxa"/>
            <w:tcBorders>
              <w:top w:val="nil"/>
              <w:left w:val="nil"/>
              <w:bottom w:val="single" w:sz="4" w:space="0" w:color="auto"/>
              <w:right w:val="single" w:sz="4" w:space="0" w:color="auto"/>
            </w:tcBorders>
            <w:shd w:val="clear" w:color="000000" w:fill="548235"/>
            <w:noWrap/>
            <w:vAlign w:val="center"/>
            <w:hideMark/>
          </w:tcPr>
          <w:p w14:paraId="469C101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C21752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A993C1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3A39BE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6A1647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98A1E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0288891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B01081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19FF2B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02EFBD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224E7987"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032875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R.37 </w:t>
            </w:r>
            <w:r w:rsidRPr="00D033CA">
              <w:rPr>
                <w:rFonts w:ascii="Times New Roman" w:eastAsia="Times New Roman" w:hAnsi="Times New Roman" w:cs="Times New Roman"/>
                <w:color w:val="000000"/>
                <w:sz w:val="20"/>
                <w:szCs w:val="20"/>
                <w:lang w:val="en-US"/>
              </w:rPr>
              <w:t>Growth and jobs in rural areas</w:t>
            </w:r>
          </w:p>
        </w:tc>
        <w:tc>
          <w:tcPr>
            <w:tcW w:w="1531" w:type="dxa"/>
            <w:tcBorders>
              <w:top w:val="nil"/>
              <w:left w:val="nil"/>
              <w:bottom w:val="single" w:sz="4" w:space="0" w:color="auto"/>
              <w:right w:val="single" w:sz="4" w:space="0" w:color="auto"/>
            </w:tcBorders>
            <w:shd w:val="clear" w:color="auto" w:fill="auto"/>
            <w:noWrap/>
            <w:vAlign w:val="center"/>
            <w:hideMark/>
          </w:tcPr>
          <w:p w14:paraId="0D7E9B5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1A8C8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E8D35A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A4F82F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75FDB8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37695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74A861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106CF0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D416C5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E5A74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9E9C366" w14:textId="77777777" w:rsidTr="00C30C44">
        <w:trPr>
          <w:trHeight w:val="77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3798EEC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R.38 </w:t>
            </w:r>
            <w:r w:rsidRPr="00D033CA">
              <w:rPr>
                <w:rFonts w:ascii="Times New Roman" w:eastAsia="Times New Roman" w:hAnsi="Times New Roman" w:cs="Times New Roman"/>
                <w:color w:val="000000"/>
                <w:sz w:val="20"/>
                <w:szCs w:val="20"/>
                <w:lang w:val="en-US"/>
              </w:rPr>
              <w:t>LEADER coverage</w:t>
            </w:r>
          </w:p>
        </w:tc>
        <w:tc>
          <w:tcPr>
            <w:tcW w:w="1531" w:type="dxa"/>
            <w:tcBorders>
              <w:top w:val="nil"/>
              <w:left w:val="nil"/>
              <w:bottom w:val="single" w:sz="4" w:space="0" w:color="auto"/>
              <w:right w:val="single" w:sz="4" w:space="0" w:color="auto"/>
            </w:tcBorders>
            <w:shd w:val="clear" w:color="auto" w:fill="auto"/>
            <w:noWrap/>
            <w:vAlign w:val="center"/>
            <w:hideMark/>
          </w:tcPr>
          <w:p w14:paraId="010C6398"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3556CE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F3F939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0ECE1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405434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8F430A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AFC23C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55F6703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A3B309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BC4D9F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04D5B2E" w14:textId="77777777" w:rsidTr="00C30C44">
        <w:trPr>
          <w:trHeight w:val="72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7F9F999"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lastRenderedPageBreak/>
              <w:t xml:space="preserve">R.39 </w:t>
            </w:r>
            <w:r w:rsidRPr="00D033CA">
              <w:rPr>
                <w:rFonts w:ascii="Times New Roman" w:eastAsia="Times New Roman" w:hAnsi="Times New Roman" w:cs="Times New Roman"/>
                <w:color w:val="000000"/>
                <w:sz w:val="20"/>
                <w:szCs w:val="20"/>
                <w:lang w:val="en-US"/>
              </w:rPr>
              <w:t>Developing the rural economy</w:t>
            </w:r>
          </w:p>
        </w:tc>
        <w:tc>
          <w:tcPr>
            <w:tcW w:w="1531" w:type="dxa"/>
            <w:tcBorders>
              <w:top w:val="nil"/>
              <w:left w:val="nil"/>
              <w:bottom w:val="single" w:sz="4" w:space="0" w:color="auto"/>
              <w:right w:val="single" w:sz="4" w:space="0" w:color="auto"/>
            </w:tcBorders>
            <w:shd w:val="clear" w:color="auto" w:fill="auto"/>
            <w:noWrap/>
            <w:vAlign w:val="center"/>
            <w:hideMark/>
          </w:tcPr>
          <w:p w14:paraId="3BE9186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8592B1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FD7C44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391182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0596E6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1EC7EF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8D0A480"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37438E4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5B51F9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089C4B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7D6A6473" w14:textId="77777777" w:rsidTr="00C30C44">
        <w:trPr>
          <w:trHeight w:val="828"/>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2AFC95A"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R.40 </w:t>
            </w:r>
            <w:r w:rsidRPr="00D033CA">
              <w:rPr>
                <w:rFonts w:ascii="Times New Roman" w:eastAsia="Times New Roman" w:hAnsi="Times New Roman" w:cs="Times New Roman"/>
                <w:color w:val="000000"/>
                <w:sz w:val="20"/>
                <w:szCs w:val="20"/>
                <w:lang w:val="en-US"/>
              </w:rPr>
              <w:t>Smart transition of the rural economy</w:t>
            </w:r>
          </w:p>
        </w:tc>
        <w:tc>
          <w:tcPr>
            <w:tcW w:w="1531" w:type="dxa"/>
            <w:tcBorders>
              <w:top w:val="nil"/>
              <w:left w:val="nil"/>
              <w:bottom w:val="single" w:sz="4" w:space="0" w:color="auto"/>
              <w:right w:val="single" w:sz="4" w:space="0" w:color="auto"/>
            </w:tcBorders>
            <w:shd w:val="clear" w:color="auto" w:fill="auto"/>
            <w:noWrap/>
            <w:vAlign w:val="center"/>
            <w:hideMark/>
          </w:tcPr>
          <w:p w14:paraId="5CCC7E9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C21ABF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2D0052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162161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AF5317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B76766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AA9D3D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02FD6C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650B3E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11212D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A65A1F4" w14:textId="77777777" w:rsidTr="00C30C44">
        <w:trPr>
          <w:trHeight w:val="58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59C8A82"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R.41 </w:t>
            </w:r>
            <w:r w:rsidRPr="00D033CA">
              <w:rPr>
                <w:rFonts w:ascii="Times New Roman" w:eastAsia="Times New Roman" w:hAnsi="Times New Roman" w:cs="Times New Roman"/>
                <w:color w:val="000000"/>
                <w:sz w:val="20"/>
                <w:szCs w:val="20"/>
                <w:lang w:val="en-US"/>
              </w:rPr>
              <w:t>Connecting rural Europe</w:t>
            </w:r>
          </w:p>
        </w:tc>
        <w:tc>
          <w:tcPr>
            <w:tcW w:w="1531" w:type="dxa"/>
            <w:tcBorders>
              <w:top w:val="nil"/>
              <w:left w:val="nil"/>
              <w:bottom w:val="single" w:sz="4" w:space="0" w:color="auto"/>
              <w:right w:val="single" w:sz="4" w:space="0" w:color="auto"/>
            </w:tcBorders>
            <w:shd w:val="clear" w:color="auto" w:fill="auto"/>
            <w:noWrap/>
            <w:vAlign w:val="center"/>
            <w:hideMark/>
          </w:tcPr>
          <w:p w14:paraId="117A8B7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4475B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E65F85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8F577F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C087F2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D0299A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7CDE5D3"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10F6AC0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232D40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2FDB71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40E57241" w14:textId="77777777" w:rsidTr="00C30C44">
        <w:trPr>
          <w:trHeight w:val="768"/>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5802FB1C"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R.42 </w:t>
            </w:r>
            <w:r w:rsidRPr="00D033CA">
              <w:rPr>
                <w:rFonts w:ascii="Times New Roman" w:eastAsia="Times New Roman" w:hAnsi="Times New Roman" w:cs="Times New Roman"/>
                <w:color w:val="000000"/>
                <w:sz w:val="20"/>
                <w:szCs w:val="20"/>
                <w:lang w:val="en-US"/>
              </w:rPr>
              <w:t>Promoting social inclusion</w:t>
            </w:r>
          </w:p>
        </w:tc>
        <w:tc>
          <w:tcPr>
            <w:tcW w:w="1531" w:type="dxa"/>
            <w:tcBorders>
              <w:top w:val="nil"/>
              <w:left w:val="nil"/>
              <w:bottom w:val="single" w:sz="4" w:space="0" w:color="auto"/>
              <w:right w:val="single" w:sz="4" w:space="0" w:color="auto"/>
            </w:tcBorders>
            <w:shd w:val="clear" w:color="auto" w:fill="auto"/>
            <w:noWrap/>
            <w:vAlign w:val="center"/>
            <w:hideMark/>
          </w:tcPr>
          <w:p w14:paraId="0568497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77AC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18EEE2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35231CB"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34D0F5E"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5E533BB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27195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09044FD1"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576A84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2314E5"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396BF98" w14:textId="77777777" w:rsidTr="00C30C44">
        <w:trPr>
          <w:trHeight w:val="42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3D5CF204"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R.43 </w:t>
            </w:r>
            <w:r w:rsidRPr="00D033CA">
              <w:rPr>
                <w:rFonts w:ascii="Times New Roman" w:eastAsia="Times New Roman" w:hAnsi="Times New Roman" w:cs="Times New Roman"/>
                <w:color w:val="000000"/>
                <w:sz w:val="20"/>
                <w:szCs w:val="20"/>
                <w:lang w:val="en-US"/>
              </w:rPr>
              <w:t>Limiting antimicrobial</w:t>
            </w:r>
            <w:r w:rsidRPr="00D033CA">
              <w:rPr>
                <w:rFonts w:ascii="Times New Roman" w:eastAsia="Times New Roman" w:hAnsi="Times New Roman" w:cs="Times New Roman"/>
                <w:b/>
                <w:bCs/>
                <w:color w:val="000000"/>
                <w:sz w:val="20"/>
                <w:szCs w:val="20"/>
                <w:lang w:val="en-US"/>
              </w:rPr>
              <w:t xml:space="preserve"> </w:t>
            </w:r>
            <w:r w:rsidRPr="00D033CA">
              <w:rPr>
                <w:rFonts w:ascii="Times New Roman" w:eastAsia="Times New Roman" w:hAnsi="Times New Roman" w:cs="Times New Roman"/>
                <w:color w:val="000000"/>
                <w:sz w:val="20"/>
                <w:szCs w:val="20"/>
                <w:lang w:val="en-US"/>
              </w:rPr>
              <w:t>use</w:t>
            </w:r>
          </w:p>
        </w:tc>
        <w:tc>
          <w:tcPr>
            <w:tcW w:w="1531" w:type="dxa"/>
            <w:tcBorders>
              <w:top w:val="nil"/>
              <w:left w:val="nil"/>
              <w:bottom w:val="single" w:sz="4" w:space="0" w:color="auto"/>
              <w:right w:val="single" w:sz="4" w:space="0" w:color="auto"/>
            </w:tcBorders>
            <w:shd w:val="clear" w:color="auto" w:fill="auto"/>
            <w:noWrap/>
            <w:vAlign w:val="center"/>
            <w:hideMark/>
          </w:tcPr>
          <w:p w14:paraId="31BD6B7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4AD01F7A"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D54591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7EADC6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15A6AC"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1A7CCC1" w14:textId="77777777" w:rsidR="00D033CA" w:rsidRPr="00D033CA" w:rsidRDefault="00D033CA" w:rsidP="00D033CA">
            <w:pPr>
              <w:spacing w:after="0" w:line="240" w:lineRule="auto"/>
              <w:rPr>
                <w:rFonts w:ascii="Times New Roman" w:eastAsia="Times New Roman" w:hAnsi="Times New Roman" w:cs="Times New Roman"/>
                <w:color w:val="FFC000"/>
                <w:sz w:val="20"/>
                <w:szCs w:val="20"/>
                <w:lang w:val="en-US"/>
              </w:rPr>
            </w:pPr>
            <w:r w:rsidRPr="00D033CA">
              <w:rPr>
                <w:rFonts w:ascii="Times New Roman" w:eastAsia="Times New Roman" w:hAnsi="Times New Roman" w:cs="Times New Roman"/>
                <w:color w:val="FFC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D66F1C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5A40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7D826074"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0DBB401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r w:rsidR="00D033CA" w:rsidRPr="00D033CA" w14:paraId="6F51AF49" w14:textId="77777777" w:rsidTr="00C30C44">
        <w:trPr>
          <w:trHeight w:val="10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2941131F" w14:textId="77777777" w:rsidR="00D033CA" w:rsidRPr="00D033CA" w:rsidRDefault="00D033CA" w:rsidP="00D033CA">
            <w:pPr>
              <w:spacing w:after="0" w:line="240" w:lineRule="auto"/>
              <w:rPr>
                <w:rFonts w:ascii="Times New Roman" w:eastAsia="Times New Roman" w:hAnsi="Times New Roman" w:cs="Times New Roman"/>
                <w:b/>
                <w:bCs/>
                <w:color w:val="000000"/>
                <w:sz w:val="20"/>
                <w:szCs w:val="20"/>
                <w:lang w:val="en-US"/>
              </w:rPr>
            </w:pPr>
            <w:r w:rsidRPr="00D033CA">
              <w:rPr>
                <w:rFonts w:ascii="Times New Roman" w:eastAsia="Times New Roman" w:hAnsi="Times New Roman" w:cs="Times New Roman"/>
                <w:b/>
                <w:bCs/>
                <w:color w:val="000000"/>
                <w:sz w:val="20"/>
                <w:szCs w:val="20"/>
                <w:lang w:val="en-US"/>
              </w:rPr>
              <w:t xml:space="preserve">R.44 </w:t>
            </w:r>
            <w:r w:rsidRPr="00D033CA">
              <w:rPr>
                <w:rFonts w:ascii="Times New Roman" w:eastAsia="Times New Roman" w:hAnsi="Times New Roman" w:cs="Times New Roman"/>
                <w:color w:val="000000"/>
                <w:sz w:val="20"/>
                <w:szCs w:val="20"/>
                <w:lang w:val="en-US"/>
              </w:rPr>
              <w:t>Improving animal welfare</w:t>
            </w:r>
          </w:p>
        </w:tc>
        <w:tc>
          <w:tcPr>
            <w:tcW w:w="1531" w:type="dxa"/>
            <w:tcBorders>
              <w:top w:val="nil"/>
              <w:left w:val="nil"/>
              <w:bottom w:val="single" w:sz="4" w:space="0" w:color="auto"/>
              <w:right w:val="single" w:sz="4" w:space="0" w:color="auto"/>
            </w:tcBorders>
            <w:shd w:val="clear" w:color="auto" w:fill="auto"/>
            <w:noWrap/>
            <w:vAlign w:val="center"/>
            <w:hideMark/>
          </w:tcPr>
          <w:p w14:paraId="40874B20"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159F3A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2E600A7"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CB3C11D"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7044316"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398E7CC2"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54E92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1682673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000000" w:fill="548235"/>
            <w:noWrap/>
            <w:vAlign w:val="center"/>
            <w:hideMark/>
          </w:tcPr>
          <w:p w14:paraId="23BEC38F"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611439" w14:textId="77777777" w:rsidR="00D033CA" w:rsidRPr="00D033CA" w:rsidRDefault="00D033CA" w:rsidP="00D033CA">
            <w:pPr>
              <w:spacing w:after="0" w:line="240" w:lineRule="auto"/>
              <w:rPr>
                <w:rFonts w:ascii="Times New Roman" w:eastAsia="Times New Roman" w:hAnsi="Times New Roman" w:cs="Times New Roman"/>
                <w:color w:val="000000"/>
                <w:sz w:val="20"/>
                <w:szCs w:val="20"/>
                <w:lang w:val="en-US"/>
              </w:rPr>
            </w:pPr>
            <w:r w:rsidRPr="00D033CA">
              <w:rPr>
                <w:rFonts w:ascii="Times New Roman" w:eastAsia="Times New Roman" w:hAnsi="Times New Roman" w:cs="Times New Roman"/>
                <w:color w:val="000000"/>
                <w:sz w:val="20"/>
                <w:szCs w:val="20"/>
                <w:lang w:val="en-US"/>
              </w:rPr>
              <w:t> </w:t>
            </w:r>
          </w:p>
        </w:tc>
      </w:tr>
    </w:tbl>
    <w:p w14:paraId="2BBE88E5" w14:textId="77777777" w:rsidR="00CD4986" w:rsidRDefault="00CD4986" w:rsidP="007407E8">
      <w:pPr>
        <w:spacing w:after="120" w:line="264" w:lineRule="auto"/>
        <w:rPr>
          <w:rFonts w:ascii="Times New Roman" w:hAnsi="Times New Roman" w:cs="Times New Roman"/>
          <w:b/>
        </w:rPr>
      </w:pPr>
    </w:p>
    <w:p w14:paraId="479678F5" w14:textId="77777777" w:rsidR="00012C0B" w:rsidRPr="006F2CA5" w:rsidRDefault="00012C0B" w:rsidP="00A82615">
      <w:pPr>
        <w:spacing w:after="120" w:line="264" w:lineRule="auto"/>
        <w:jc w:val="center"/>
        <w:rPr>
          <w:rFonts w:ascii="Times New Roman" w:hAnsi="Times New Roman" w:cs="Times New Roman"/>
          <w:b/>
        </w:rPr>
      </w:pPr>
    </w:p>
    <w:p w14:paraId="72AB1895" w14:textId="77777777" w:rsidR="000405A7" w:rsidRPr="006F2CA5" w:rsidRDefault="000405A7" w:rsidP="00A82615">
      <w:pPr>
        <w:spacing w:after="120" w:line="264" w:lineRule="auto"/>
        <w:jc w:val="center"/>
        <w:rPr>
          <w:rFonts w:ascii="Times New Roman" w:hAnsi="Times New Roman" w:cs="Times New Roman"/>
          <w:b/>
        </w:rPr>
        <w:sectPr w:rsidR="000405A7" w:rsidRPr="006F2CA5" w:rsidSect="00CD4986">
          <w:pgSz w:w="15840" w:h="12240" w:orient="landscape"/>
          <w:pgMar w:top="1440" w:right="1440" w:bottom="1440" w:left="1440" w:header="708" w:footer="708" w:gutter="0"/>
          <w:cols w:space="708"/>
          <w:docGrid w:linePitch="360"/>
        </w:sectPr>
      </w:pPr>
    </w:p>
    <w:p w14:paraId="28DAF435" w14:textId="037E1E57" w:rsidR="00012C0B" w:rsidRPr="000B58DB" w:rsidRDefault="00012C0B" w:rsidP="000B58DB">
      <w:pPr>
        <w:pStyle w:val="Heading1"/>
        <w:rPr>
          <w:rFonts w:ascii="Times New Roman" w:hAnsi="Times New Roman" w:cs="Times New Roman"/>
          <w:color w:val="C45911" w:themeColor="accent2" w:themeShade="BF"/>
        </w:rPr>
      </w:pPr>
      <w:bookmarkStart w:id="47" w:name="_Toc126762234"/>
      <w:r w:rsidRPr="000B58DB">
        <w:rPr>
          <w:rFonts w:ascii="Times New Roman" w:hAnsi="Times New Roman" w:cs="Times New Roman"/>
          <w:color w:val="C45911" w:themeColor="accent2" w:themeShade="BF"/>
          <w:u w:val="single"/>
        </w:rPr>
        <w:lastRenderedPageBreak/>
        <w:t xml:space="preserve">Annex </w:t>
      </w:r>
      <w:r w:rsidR="00F71BD2">
        <w:rPr>
          <w:rFonts w:ascii="Times New Roman" w:hAnsi="Times New Roman" w:cs="Times New Roman"/>
          <w:color w:val="C45911" w:themeColor="accent2" w:themeShade="BF"/>
          <w:u w:val="single"/>
        </w:rPr>
        <w:t>IX</w:t>
      </w:r>
      <w:r w:rsidR="000B58DB" w:rsidRPr="000B58DB">
        <w:rPr>
          <w:rFonts w:ascii="Times New Roman" w:hAnsi="Times New Roman" w:cs="Times New Roman"/>
          <w:color w:val="C45911" w:themeColor="accent2" w:themeShade="BF"/>
        </w:rPr>
        <w:t xml:space="preserve">: </w:t>
      </w:r>
      <w:r w:rsidRPr="000B58DB">
        <w:rPr>
          <w:rFonts w:ascii="Times New Roman" w:hAnsi="Times New Roman" w:cs="Times New Roman"/>
          <w:color w:val="C45911" w:themeColor="accent2" w:themeShade="BF"/>
        </w:rPr>
        <w:t xml:space="preserve">How to report cumulative values for </w:t>
      </w:r>
      <w:r w:rsidR="003352F6" w:rsidRPr="000B58DB">
        <w:rPr>
          <w:rFonts w:ascii="Times New Roman" w:hAnsi="Times New Roman" w:cs="Times New Roman"/>
          <w:color w:val="C45911" w:themeColor="accent2" w:themeShade="BF"/>
        </w:rPr>
        <w:t>result indicators</w:t>
      </w:r>
      <w:bookmarkEnd w:id="47"/>
    </w:p>
    <w:p w14:paraId="72D75444" w14:textId="77777777" w:rsidR="00012C0B" w:rsidRPr="00012C0B" w:rsidRDefault="00012C0B" w:rsidP="000B58DB">
      <w:pPr>
        <w:spacing w:before="240" w:after="24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b/>
          <w:szCs w:val="20"/>
          <w:u w:val="single"/>
          <w:lang w:eastAsia="en-GB"/>
        </w:rPr>
        <w:t>Example 1</w:t>
      </w:r>
      <w:r w:rsidRPr="00012C0B">
        <w:rPr>
          <w:rFonts w:ascii="Times New Roman" w:eastAsia="Times New Roman" w:hAnsi="Times New Roman" w:cs="Times New Roman"/>
          <w:szCs w:val="20"/>
          <w:lang w:eastAsia="en-GB"/>
        </w:rPr>
        <w:t xml:space="preserve">: </w:t>
      </w:r>
      <w:r w:rsidRPr="00012C0B">
        <w:rPr>
          <w:rFonts w:ascii="Times New Roman" w:eastAsia="Times New Roman" w:hAnsi="Times New Roman" w:cs="Times New Roman"/>
          <w:b/>
          <w:szCs w:val="20"/>
          <w:lang w:eastAsia="en-GB"/>
        </w:rPr>
        <w:t>R.36 Generational renewal</w:t>
      </w:r>
      <w:r w:rsidRPr="00012C0B">
        <w:rPr>
          <w:rFonts w:ascii="Times New Roman" w:eastAsia="Times New Roman" w:hAnsi="Times New Roman" w:cs="Times New Roman"/>
          <w:szCs w:val="20"/>
          <w:lang w:eastAsia="en-GB"/>
        </w:rPr>
        <w:t>: Number of young farmers benefitting from setting up with support from the CAP, including gender breakdown</w:t>
      </w:r>
    </w:p>
    <w:p w14:paraId="49C8ABB0" w14:textId="77777777" w:rsidR="00012C0B" w:rsidRPr="00012C0B" w:rsidRDefault="00012C0B" w:rsidP="00012C0B">
      <w:pPr>
        <w:spacing w:after="12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b/>
          <w:szCs w:val="20"/>
          <w:u w:val="single"/>
          <w:lang w:eastAsia="en-GB"/>
        </w:rPr>
        <w:t>Assumptions</w:t>
      </w:r>
      <w:r w:rsidRPr="00012C0B">
        <w:rPr>
          <w:rFonts w:ascii="Times New Roman" w:eastAsia="Times New Roman" w:hAnsi="Times New Roman" w:cs="Times New Roman"/>
          <w:szCs w:val="20"/>
          <w:lang w:eastAsia="en-GB"/>
        </w:rPr>
        <w:t xml:space="preserve">: </w:t>
      </w:r>
    </w:p>
    <w:p w14:paraId="326F69DC" w14:textId="219C6862" w:rsidR="00012C0B" w:rsidRPr="00012C0B" w:rsidRDefault="00012C0B" w:rsidP="005C5386">
      <w:pPr>
        <w:numPr>
          <w:ilvl w:val="0"/>
          <w:numId w:val="19"/>
        </w:numPr>
        <w:spacing w:after="0" w:line="240" w:lineRule="auto"/>
        <w:contextualSpacing/>
        <w:jc w:val="both"/>
        <w:rPr>
          <w:rFonts w:ascii="Times New Roman" w:eastAsia="Times New Roman" w:hAnsi="Times New Roman" w:cs="Times New Roman"/>
          <w:szCs w:val="24"/>
        </w:rPr>
      </w:pPr>
      <w:r w:rsidRPr="00012C0B">
        <w:rPr>
          <w:rFonts w:ascii="Times New Roman" w:eastAsia="Times New Roman" w:hAnsi="Times New Roman" w:cs="Times New Roman"/>
          <w:szCs w:val="24"/>
        </w:rPr>
        <w:t xml:space="preserve">In this example, MS opted for a complementary income support for </w:t>
      </w:r>
      <w:r w:rsidR="00BE2B2F">
        <w:rPr>
          <w:rFonts w:ascii="Times New Roman" w:eastAsia="Times New Roman" w:hAnsi="Times New Roman" w:cs="Times New Roman"/>
          <w:szCs w:val="24"/>
        </w:rPr>
        <w:t>young farmers</w:t>
      </w:r>
      <w:r w:rsidRPr="00012C0B">
        <w:rPr>
          <w:rFonts w:ascii="Times New Roman" w:eastAsia="Times New Roman" w:hAnsi="Times New Roman" w:cs="Times New Roman"/>
          <w:szCs w:val="24"/>
        </w:rPr>
        <w:t xml:space="preserve"> (CIS-YF) granted for 5 years. For simplification, it is assumed that each year there are 900 </w:t>
      </w:r>
      <w:r w:rsidR="00BE2B2F">
        <w:rPr>
          <w:rFonts w:ascii="Times New Roman" w:eastAsia="Times New Roman" w:hAnsi="Times New Roman" w:cs="Times New Roman"/>
          <w:szCs w:val="24"/>
        </w:rPr>
        <w:t>young farmers (</w:t>
      </w:r>
      <w:r w:rsidRPr="00012C0B">
        <w:rPr>
          <w:rFonts w:ascii="Times New Roman" w:eastAsia="Times New Roman" w:hAnsi="Times New Roman" w:cs="Times New Roman"/>
          <w:szCs w:val="24"/>
        </w:rPr>
        <w:t>YF</w:t>
      </w:r>
      <w:r w:rsidR="00BE2B2F">
        <w:rPr>
          <w:rFonts w:ascii="Times New Roman" w:eastAsia="Times New Roman" w:hAnsi="Times New Roman" w:cs="Times New Roman"/>
          <w:szCs w:val="24"/>
        </w:rPr>
        <w:t>)</w:t>
      </w:r>
      <w:r w:rsidRPr="00012C0B">
        <w:rPr>
          <w:rFonts w:ascii="Times New Roman" w:eastAsia="Times New Roman" w:hAnsi="Times New Roman" w:cs="Times New Roman"/>
          <w:szCs w:val="24"/>
        </w:rPr>
        <w:t xml:space="preserve"> newly granted this complementary aid.</w:t>
      </w:r>
    </w:p>
    <w:p w14:paraId="773CFE7A" w14:textId="5F548B37" w:rsidR="00012C0B" w:rsidRPr="00012C0B" w:rsidRDefault="00012C0B" w:rsidP="005C5386">
      <w:pPr>
        <w:numPr>
          <w:ilvl w:val="0"/>
          <w:numId w:val="19"/>
        </w:numPr>
        <w:spacing w:after="0" w:line="240" w:lineRule="auto"/>
        <w:contextualSpacing/>
        <w:jc w:val="both"/>
        <w:rPr>
          <w:rFonts w:ascii="Times New Roman" w:eastAsia="Times New Roman" w:hAnsi="Times New Roman" w:cs="Times New Roman"/>
          <w:szCs w:val="24"/>
        </w:rPr>
      </w:pPr>
      <w:r w:rsidRPr="00012C0B">
        <w:rPr>
          <w:rFonts w:ascii="Times New Roman" w:eastAsia="Times New Roman" w:hAnsi="Times New Roman" w:cs="Times New Roman"/>
          <w:szCs w:val="24"/>
        </w:rPr>
        <w:t>The R</w:t>
      </w:r>
      <w:r w:rsidR="00BE2B2F">
        <w:rPr>
          <w:rFonts w:ascii="Times New Roman" w:eastAsia="Times New Roman" w:hAnsi="Times New Roman" w:cs="Times New Roman"/>
          <w:szCs w:val="24"/>
        </w:rPr>
        <w:t xml:space="preserve">ural </w:t>
      </w:r>
      <w:r w:rsidRPr="00012C0B">
        <w:rPr>
          <w:rFonts w:ascii="Times New Roman" w:eastAsia="Times New Roman" w:hAnsi="Times New Roman" w:cs="Times New Roman"/>
          <w:szCs w:val="24"/>
        </w:rPr>
        <w:t>D</w:t>
      </w:r>
      <w:r w:rsidR="00BE2B2F">
        <w:rPr>
          <w:rFonts w:ascii="Times New Roman" w:eastAsia="Times New Roman" w:hAnsi="Times New Roman" w:cs="Times New Roman"/>
          <w:szCs w:val="24"/>
        </w:rPr>
        <w:t>evelopment (RD)</w:t>
      </w:r>
      <w:r w:rsidRPr="00012C0B">
        <w:rPr>
          <w:rFonts w:ascii="Times New Roman" w:eastAsia="Times New Roman" w:hAnsi="Times New Roman" w:cs="Times New Roman"/>
          <w:szCs w:val="24"/>
        </w:rPr>
        <w:t xml:space="preserve"> installation support is paid in 3 instalments</w:t>
      </w:r>
    </w:p>
    <w:p w14:paraId="79FB7B30" w14:textId="77777777" w:rsidR="00012C0B" w:rsidRPr="00012C0B" w:rsidRDefault="00012C0B" w:rsidP="005C5386">
      <w:pPr>
        <w:numPr>
          <w:ilvl w:val="0"/>
          <w:numId w:val="19"/>
        </w:numPr>
        <w:spacing w:after="0" w:line="240" w:lineRule="auto"/>
        <w:contextualSpacing/>
        <w:jc w:val="both"/>
        <w:rPr>
          <w:rFonts w:ascii="Times New Roman" w:eastAsia="Times New Roman" w:hAnsi="Times New Roman" w:cs="Times New Roman"/>
          <w:szCs w:val="24"/>
        </w:rPr>
      </w:pPr>
      <w:r w:rsidRPr="00012C0B">
        <w:rPr>
          <w:rFonts w:ascii="Times New Roman" w:eastAsia="Times New Roman" w:hAnsi="Times New Roman" w:cs="Times New Roman"/>
          <w:szCs w:val="24"/>
        </w:rPr>
        <w:t>A YF can receive the first payment for RD installation support, before being actually set up. This is why in a given year, not all YF paid for the first time the RD installation support are eligible to the CIS-YF.</w:t>
      </w:r>
    </w:p>
    <w:p w14:paraId="3FB1DDCB" w14:textId="77777777" w:rsidR="00012C0B" w:rsidRPr="00012C0B" w:rsidRDefault="00012C0B" w:rsidP="005C5386">
      <w:pPr>
        <w:numPr>
          <w:ilvl w:val="0"/>
          <w:numId w:val="19"/>
        </w:numPr>
        <w:spacing w:after="120" w:line="240" w:lineRule="auto"/>
        <w:ind w:left="641" w:hanging="357"/>
        <w:contextualSpacing/>
        <w:jc w:val="both"/>
        <w:rPr>
          <w:rFonts w:ascii="Times New Roman" w:eastAsia="Times New Roman" w:hAnsi="Times New Roman" w:cs="Times New Roman"/>
          <w:szCs w:val="24"/>
        </w:rPr>
      </w:pPr>
      <w:r w:rsidRPr="00012C0B">
        <w:rPr>
          <w:rFonts w:ascii="Times New Roman" w:eastAsia="Times New Roman" w:hAnsi="Times New Roman" w:cs="Times New Roman"/>
          <w:szCs w:val="24"/>
        </w:rPr>
        <w:t>In addition, it is assumed that not all YF eligible to the CIS-YF also claimed the RD installation support.</w:t>
      </w:r>
    </w:p>
    <w:p w14:paraId="25968A3E" w14:textId="77777777" w:rsidR="00AA6838" w:rsidRPr="00012C0B" w:rsidRDefault="00AA6838" w:rsidP="00AA6838">
      <w:pPr>
        <w:spacing w:after="120" w:line="240" w:lineRule="auto"/>
        <w:ind w:left="641"/>
        <w:contextualSpacing/>
        <w:jc w:val="both"/>
        <w:rPr>
          <w:rFonts w:ascii="Times New Roman" w:eastAsia="Times New Roman" w:hAnsi="Times New Roman" w:cs="Times New Roman"/>
          <w:szCs w:val="24"/>
        </w:rPr>
      </w:pPr>
    </w:p>
    <w:tbl>
      <w:tblPr>
        <w:tblStyle w:val="TableGrid2"/>
        <w:tblW w:w="0" w:type="auto"/>
        <w:tblLook w:val="04A0" w:firstRow="1" w:lastRow="0" w:firstColumn="1" w:lastColumn="0" w:noHBand="0" w:noVBand="1"/>
      </w:tblPr>
      <w:tblGrid>
        <w:gridCol w:w="817"/>
        <w:gridCol w:w="1276"/>
        <w:gridCol w:w="1709"/>
        <w:gridCol w:w="1287"/>
        <w:gridCol w:w="1378"/>
        <w:gridCol w:w="1863"/>
        <w:gridCol w:w="958"/>
      </w:tblGrid>
      <w:tr w:rsidR="00012C0B" w:rsidRPr="00012C0B" w14:paraId="649E2BCE" w14:textId="77777777" w:rsidTr="00012C0B">
        <w:tc>
          <w:tcPr>
            <w:tcW w:w="817" w:type="dxa"/>
          </w:tcPr>
          <w:p w14:paraId="1B4229AB" w14:textId="77777777" w:rsidR="00012C0B" w:rsidRPr="00012C0B" w:rsidRDefault="00012C0B" w:rsidP="00012C0B">
            <w:pPr>
              <w:spacing w:after="240" w:line="240" w:lineRule="auto"/>
              <w:jc w:val="center"/>
              <w:rPr>
                <w:sz w:val="18"/>
              </w:rPr>
            </w:pPr>
            <w:r w:rsidRPr="00012C0B">
              <w:rPr>
                <w:sz w:val="18"/>
              </w:rPr>
              <w:t>FY</w:t>
            </w:r>
          </w:p>
        </w:tc>
        <w:tc>
          <w:tcPr>
            <w:tcW w:w="2985" w:type="dxa"/>
            <w:gridSpan w:val="2"/>
          </w:tcPr>
          <w:p w14:paraId="544540FD" w14:textId="77777777" w:rsidR="00012C0B" w:rsidRPr="00012C0B" w:rsidRDefault="00012C0B" w:rsidP="00012C0B">
            <w:pPr>
              <w:spacing w:after="240" w:line="240" w:lineRule="auto"/>
              <w:jc w:val="center"/>
              <w:rPr>
                <w:sz w:val="18"/>
              </w:rPr>
            </w:pPr>
            <w:r w:rsidRPr="00012C0B">
              <w:rPr>
                <w:sz w:val="18"/>
              </w:rPr>
              <w:t>Number of beneficiaries of complementary income support for YF (Art. 27 – CIS-YF)</w:t>
            </w:r>
          </w:p>
        </w:tc>
        <w:tc>
          <w:tcPr>
            <w:tcW w:w="2665" w:type="dxa"/>
            <w:gridSpan w:val="2"/>
          </w:tcPr>
          <w:p w14:paraId="7FDB08C4" w14:textId="77777777" w:rsidR="00012C0B" w:rsidRPr="00012C0B" w:rsidRDefault="00012C0B" w:rsidP="00012C0B">
            <w:pPr>
              <w:spacing w:after="240" w:line="240" w:lineRule="auto"/>
              <w:jc w:val="center"/>
              <w:rPr>
                <w:sz w:val="18"/>
              </w:rPr>
            </w:pPr>
            <w:r w:rsidRPr="00012C0B">
              <w:rPr>
                <w:sz w:val="18"/>
              </w:rPr>
              <w:t>Number of YF setting up paid RD installation support (Art. 69)</w:t>
            </w:r>
          </w:p>
        </w:tc>
        <w:tc>
          <w:tcPr>
            <w:tcW w:w="1863" w:type="dxa"/>
            <w:vMerge w:val="restart"/>
          </w:tcPr>
          <w:p w14:paraId="10EC45C3" w14:textId="77777777" w:rsidR="00012C0B" w:rsidRPr="00012C0B" w:rsidRDefault="00012C0B" w:rsidP="00012C0B">
            <w:pPr>
              <w:spacing w:after="240" w:line="240" w:lineRule="auto"/>
              <w:jc w:val="center"/>
              <w:rPr>
                <w:sz w:val="18"/>
              </w:rPr>
            </w:pPr>
            <w:r w:rsidRPr="00012C0B">
              <w:rPr>
                <w:sz w:val="18"/>
              </w:rPr>
              <w:t>Number of new YF (</w:t>
            </w:r>
            <w:r w:rsidRPr="00012C0B">
              <w:rPr>
                <w:sz w:val="18"/>
                <w:u w:val="single"/>
              </w:rPr>
              <w:t>in a given year</w:t>
            </w:r>
            <w:r w:rsidRPr="00012C0B">
              <w:rPr>
                <w:sz w:val="18"/>
              </w:rPr>
              <w:t>) without double counting between schemes and previous years</w:t>
            </w:r>
          </w:p>
        </w:tc>
        <w:tc>
          <w:tcPr>
            <w:tcW w:w="958" w:type="dxa"/>
            <w:vMerge w:val="restart"/>
          </w:tcPr>
          <w:p w14:paraId="533CF55F" w14:textId="77777777" w:rsidR="00012C0B" w:rsidRPr="00012C0B" w:rsidRDefault="00012C0B" w:rsidP="00012C0B">
            <w:pPr>
              <w:spacing w:after="240" w:line="240" w:lineRule="auto"/>
              <w:jc w:val="center"/>
              <w:rPr>
                <w:sz w:val="18"/>
              </w:rPr>
            </w:pPr>
            <w:r w:rsidRPr="00012C0B">
              <w:rPr>
                <w:sz w:val="18"/>
              </w:rPr>
              <w:t>R.36</w:t>
            </w:r>
          </w:p>
        </w:tc>
      </w:tr>
      <w:tr w:rsidR="00012C0B" w:rsidRPr="00012C0B" w14:paraId="06CCDCBA" w14:textId="77777777" w:rsidTr="00012C0B">
        <w:tc>
          <w:tcPr>
            <w:tcW w:w="817" w:type="dxa"/>
          </w:tcPr>
          <w:p w14:paraId="23036610" w14:textId="77777777" w:rsidR="00012C0B" w:rsidRPr="00012C0B" w:rsidRDefault="00012C0B" w:rsidP="00012C0B">
            <w:pPr>
              <w:spacing w:after="240" w:line="240" w:lineRule="auto"/>
              <w:jc w:val="both"/>
              <w:rPr>
                <w:sz w:val="18"/>
              </w:rPr>
            </w:pPr>
          </w:p>
        </w:tc>
        <w:tc>
          <w:tcPr>
            <w:tcW w:w="1276" w:type="dxa"/>
          </w:tcPr>
          <w:p w14:paraId="546F40B0" w14:textId="77777777" w:rsidR="00012C0B" w:rsidRPr="00012C0B" w:rsidRDefault="00012C0B" w:rsidP="00012C0B">
            <w:pPr>
              <w:spacing w:after="240" w:line="240" w:lineRule="auto"/>
              <w:jc w:val="both"/>
              <w:rPr>
                <w:sz w:val="18"/>
              </w:rPr>
            </w:pPr>
            <w:r w:rsidRPr="00012C0B">
              <w:rPr>
                <w:sz w:val="18"/>
              </w:rPr>
              <w:t>Total</w:t>
            </w:r>
          </w:p>
        </w:tc>
        <w:tc>
          <w:tcPr>
            <w:tcW w:w="1709" w:type="dxa"/>
          </w:tcPr>
          <w:p w14:paraId="4B1187B6" w14:textId="77777777" w:rsidR="00012C0B" w:rsidRPr="00012C0B" w:rsidRDefault="00012C0B" w:rsidP="00012C0B">
            <w:pPr>
              <w:spacing w:after="240" w:line="240" w:lineRule="auto"/>
              <w:jc w:val="both"/>
              <w:rPr>
                <w:sz w:val="18"/>
              </w:rPr>
            </w:pPr>
            <w:r w:rsidRPr="00012C0B">
              <w:rPr>
                <w:sz w:val="18"/>
              </w:rPr>
              <w:t>First payment</w:t>
            </w:r>
          </w:p>
        </w:tc>
        <w:tc>
          <w:tcPr>
            <w:tcW w:w="1287" w:type="dxa"/>
          </w:tcPr>
          <w:p w14:paraId="7A9040E8" w14:textId="77777777" w:rsidR="00012C0B" w:rsidRPr="00012C0B" w:rsidRDefault="00012C0B" w:rsidP="00012C0B">
            <w:pPr>
              <w:spacing w:after="240" w:line="240" w:lineRule="auto"/>
              <w:jc w:val="both"/>
              <w:rPr>
                <w:sz w:val="18"/>
              </w:rPr>
            </w:pPr>
            <w:r w:rsidRPr="00012C0B">
              <w:rPr>
                <w:sz w:val="18"/>
              </w:rPr>
              <w:t>Total</w:t>
            </w:r>
          </w:p>
        </w:tc>
        <w:tc>
          <w:tcPr>
            <w:tcW w:w="1378" w:type="dxa"/>
          </w:tcPr>
          <w:p w14:paraId="0B1704C9" w14:textId="77777777" w:rsidR="00012C0B" w:rsidRPr="00012C0B" w:rsidRDefault="00012C0B" w:rsidP="00012C0B">
            <w:pPr>
              <w:spacing w:after="240" w:line="240" w:lineRule="auto"/>
              <w:jc w:val="both"/>
              <w:rPr>
                <w:sz w:val="18"/>
              </w:rPr>
            </w:pPr>
            <w:r w:rsidRPr="00012C0B">
              <w:rPr>
                <w:sz w:val="18"/>
              </w:rPr>
              <w:t>First instalment</w:t>
            </w:r>
          </w:p>
        </w:tc>
        <w:tc>
          <w:tcPr>
            <w:tcW w:w="1863" w:type="dxa"/>
            <w:vMerge/>
          </w:tcPr>
          <w:p w14:paraId="0D1F5A48" w14:textId="77777777" w:rsidR="00012C0B" w:rsidRPr="00012C0B" w:rsidRDefault="00012C0B" w:rsidP="00012C0B">
            <w:pPr>
              <w:spacing w:after="240" w:line="240" w:lineRule="auto"/>
              <w:jc w:val="both"/>
              <w:rPr>
                <w:sz w:val="18"/>
              </w:rPr>
            </w:pPr>
          </w:p>
        </w:tc>
        <w:tc>
          <w:tcPr>
            <w:tcW w:w="958" w:type="dxa"/>
            <w:vMerge/>
          </w:tcPr>
          <w:p w14:paraId="06D725AC" w14:textId="77777777" w:rsidR="00012C0B" w:rsidRPr="00012C0B" w:rsidRDefault="00012C0B" w:rsidP="00012C0B">
            <w:pPr>
              <w:spacing w:after="240" w:line="240" w:lineRule="auto"/>
              <w:jc w:val="both"/>
              <w:rPr>
                <w:sz w:val="18"/>
              </w:rPr>
            </w:pPr>
          </w:p>
        </w:tc>
      </w:tr>
      <w:tr w:rsidR="00012C0B" w:rsidRPr="00012C0B" w14:paraId="4823D9F5" w14:textId="77777777" w:rsidTr="00012C0B">
        <w:tc>
          <w:tcPr>
            <w:tcW w:w="817" w:type="dxa"/>
          </w:tcPr>
          <w:p w14:paraId="7C3C899C" w14:textId="77777777" w:rsidR="00012C0B" w:rsidRPr="00012C0B" w:rsidRDefault="00012C0B" w:rsidP="00012C0B">
            <w:pPr>
              <w:spacing w:after="240" w:line="240" w:lineRule="auto"/>
              <w:jc w:val="center"/>
              <w:rPr>
                <w:sz w:val="18"/>
              </w:rPr>
            </w:pPr>
            <w:r w:rsidRPr="00012C0B">
              <w:rPr>
                <w:sz w:val="18"/>
              </w:rPr>
              <w:t>2022</w:t>
            </w:r>
          </w:p>
        </w:tc>
        <w:tc>
          <w:tcPr>
            <w:tcW w:w="1276" w:type="dxa"/>
          </w:tcPr>
          <w:p w14:paraId="39780ECC" w14:textId="77777777" w:rsidR="00012C0B" w:rsidRPr="00012C0B" w:rsidRDefault="00012C0B" w:rsidP="00012C0B">
            <w:pPr>
              <w:spacing w:after="240" w:line="240" w:lineRule="auto"/>
              <w:jc w:val="center"/>
              <w:rPr>
                <w:sz w:val="18"/>
              </w:rPr>
            </w:pPr>
            <w:r w:rsidRPr="00012C0B">
              <w:rPr>
                <w:sz w:val="18"/>
              </w:rPr>
              <w:t>4500*</w:t>
            </w:r>
          </w:p>
        </w:tc>
        <w:tc>
          <w:tcPr>
            <w:tcW w:w="1709" w:type="dxa"/>
          </w:tcPr>
          <w:p w14:paraId="4DDC7BF4" w14:textId="77777777" w:rsidR="00012C0B" w:rsidRPr="00012C0B" w:rsidRDefault="00012C0B" w:rsidP="00012C0B">
            <w:pPr>
              <w:spacing w:after="240" w:line="240" w:lineRule="auto"/>
              <w:jc w:val="center"/>
              <w:rPr>
                <w:sz w:val="18"/>
              </w:rPr>
            </w:pPr>
            <w:r w:rsidRPr="00012C0B">
              <w:rPr>
                <w:sz w:val="18"/>
              </w:rPr>
              <w:t>900</w:t>
            </w:r>
          </w:p>
        </w:tc>
        <w:tc>
          <w:tcPr>
            <w:tcW w:w="1287" w:type="dxa"/>
          </w:tcPr>
          <w:p w14:paraId="1E8C234C" w14:textId="77777777" w:rsidR="00012C0B" w:rsidRPr="00012C0B" w:rsidRDefault="00012C0B" w:rsidP="00012C0B">
            <w:pPr>
              <w:spacing w:after="240" w:line="240" w:lineRule="auto"/>
              <w:jc w:val="center"/>
              <w:rPr>
                <w:sz w:val="18"/>
              </w:rPr>
            </w:pPr>
            <w:r w:rsidRPr="00012C0B">
              <w:rPr>
                <w:sz w:val="18"/>
              </w:rPr>
              <w:t>2670*</w:t>
            </w:r>
          </w:p>
        </w:tc>
        <w:tc>
          <w:tcPr>
            <w:tcW w:w="1378" w:type="dxa"/>
          </w:tcPr>
          <w:p w14:paraId="0132E46B" w14:textId="77777777" w:rsidR="00012C0B" w:rsidRPr="00012C0B" w:rsidRDefault="00012C0B" w:rsidP="00012C0B">
            <w:pPr>
              <w:spacing w:after="240" w:line="240" w:lineRule="auto"/>
              <w:jc w:val="center"/>
              <w:rPr>
                <w:sz w:val="18"/>
              </w:rPr>
            </w:pPr>
            <w:r w:rsidRPr="00012C0B">
              <w:rPr>
                <w:sz w:val="18"/>
              </w:rPr>
              <w:t>890</w:t>
            </w:r>
          </w:p>
        </w:tc>
        <w:tc>
          <w:tcPr>
            <w:tcW w:w="1863" w:type="dxa"/>
          </w:tcPr>
          <w:p w14:paraId="18718D21" w14:textId="77777777" w:rsidR="00012C0B" w:rsidRPr="00012C0B" w:rsidRDefault="00012C0B" w:rsidP="00012C0B">
            <w:pPr>
              <w:spacing w:after="240" w:line="240" w:lineRule="auto"/>
              <w:jc w:val="center"/>
              <w:rPr>
                <w:sz w:val="18"/>
              </w:rPr>
            </w:pPr>
            <w:r w:rsidRPr="00012C0B">
              <w:rPr>
                <w:sz w:val="18"/>
              </w:rPr>
              <w:t>1400**</w:t>
            </w:r>
          </w:p>
        </w:tc>
        <w:tc>
          <w:tcPr>
            <w:tcW w:w="958" w:type="dxa"/>
          </w:tcPr>
          <w:p w14:paraId="573FDD91" w14:textId="77777777" w:rsidR="00012C0B" w:rsidRPr="00012C0B" w:rsidRDefault="00012C0B" w:rsidP="00012C0B">
            <w:pPr>
              <w:spacing w:after="240" w:line="240" w:lineRule="auto"/>
              <w:jc w:val="center"/>
              <w:rPr>
                <w:sz w:val="18"/>
              </w:rPr>
            </w:pPr>
            <w:r w:rsidRPr="00012C0B">
              <w:rPr>
                <w:sz w:val="18"/>
              </w:rPr>
              <w:t>1400</w:t>
            </w:r>
          </w:p>
        </w:tc>
      </w:tr>
      <w:tr w:rsidR="00012C0B" w:rsidRPr="00012C0B" w14:paraId="26EC4AC9" w14:textId="77777777" w:rsidTr="00012C0B">
        <w:tc>
          <w:tcPr>
            <w:tcW w:w="817" w:type="dxa"/>
          </w:tcPr>
          <w:p w14:paraId="226D58BC" w14:textId="77777777" w:rsidR="00012C0B" w:rsidRPr="00012C0B" w:rsidRDefault="00012C0B" w:rsidP="00012C0B">
            <w:pPr>
              <w:spacing w:after="240" w:line="240" w:lineRule="auto"/>
              <w:jc w:val="center"/>
              <w:rPr>
                <w:sz w:val="18"/>
              </w:rPr>
            </w:pPr>
            <w:r w:rsidRPr="00012C0B">
              <w:rPr>
                <w:sz w:val="18"/>
              </w:rPr>
              <w:t>2023</w:t>
            </w:r>
          </w:p>
        </w:tc>
        <w:tc>
          <w:tcPr>
            <w:tcW w:w="1276" w:type="dxa"/>
          </w:tcPr>
          <w:p w14:paraId="57F1D7C5" w14:textId="77777777" w:rsidR="00012C0B" w:rsidRPr="00012C0B" w:rsidRDefault="00012C0B" w:rsidP="00012C0B">
            <w:pPr>
              <w:spacing w:after="240" w:line="240" w:lineRule="auto"/>
              <w:jc w:val="center"/>
              <w:rPr>
                <w:sz w:val="18"/>
              </w:rPr>
            </w:pPr>
            <w:r w:rsidRPr="00012C0B">
              <w:rPr>
                <w:sz w:val="18"/>
              </w:rPr>
              <w:t>4500</w:t>
            </w:r>
          </w:p>
        </w:tc>
        <w:tc>
          <w:tcPr>
            <w:tcW w:w="1709" w:type="dxa"/>
          </w:tcPr>
          <w:p w14:paraId="73EF9899" w14:textId="77777777" w:rsidR="00012C0B" w:rsidRPr="00012C0B" w:rsidRDefault="00012C0B" w:rsidP="00012C0B">
            <w:pPr>
              <w:spacing w:after="240" w:line="240" w:lineRule="auto"/>
              <w:jc w:val="center"/>
              <w:rPr>
                <w:sz w:val="18"/>
              </w:rPr>
            </w:pPr>
            <w:r w:rsidRPr="00012C0B">
              <w:rPr>
                <w:sz w:val="18"/>
              </w:rPr>
              <w:t>900***</w:t>
            </w:r>
          </w:p>
        </w:tc>
        <w:tc>
          <w:tcPr>
            <w:tcW w:w="1287" w:type="dxa"/>
          </w:tcPr>
          <w:p w14:paraId="49BE2556" w14:textId="77777777" w:rsidR="00012C0B" w:rsidRPr="00012C0B" w:rsidRDefault="00012C0B" w:rsidP="00012C0B">
            <w:pPr>
              <w:spacing w:after="240" w:line="240" w:lineRule="auto"/>
              <w:jc w:val="center"/>
              <w:rPr>
                <w:sz w:val="18"/>
              </w:rPr>
            </w:pPr>
            <w:r w:rsidRPr="00012C0B">
              <w:rPr>
                <w:sz w:val="18"/>
              </w:rPr>
              <w:t>2670</w:t>
            </w:r>
          </w:p>
        </w:tc>
        <w:tc>
          <w:tcPr>
            <w:tcW w:w="1378" w:type="dxa"/>
          </w:tcPr>
          <w:p w14:paraId="1EAB228B" w14:textId="77777777" w:rsidR="00012C0B" w:rsidRPr="00012C0B" w:rsidRDefault="00012C0B" w:rsidP="00012C0B">
            <w:pPr>
              <w:spacing w:after="240" w:line="240" w:lineRule="auto"/>
              <w:jc w:val="center"/>
              <w:rPr>
                <w:sz w:val="18"/>
              </w:rPr>
            </w:pPr>
            <w:r w:rsidRPr="00012C0B">
              <w:rPr>
                <w:sz w:val="18"/>
              </w:rPr>
              <w:t>890</w:t>
            </w:r>
          </w:p>
        </w:tc>
        <w:tc>
          <w:tcPr>
            <w:tcW w:w="1863" w:type="dxa"/>
          </w:tcPr>
          <w:p w14:paraId="26590138" w14:textId="77777777" w:rsidR="00012C0B" w:rsidRPr="00012C0B" w:rsidRDefault="00012C0B" w:rsidP="00012C0B">
            <w:pPr>
              <w:tabs>
                <w:tab w:val="left" w:pos="625"/>
                <w:tab w:val="center" w:pos="823"/>
              </w:tabs>
              <w:spacing w:after="240" w:line="240" w:lineRule="auto"/>
              <w:jc w:val="center"/>
              <w:rPr>
                <w:sz w:val="18"/>
              </w:rPr>
            </w:pPr>
            <w:r w:rsidRPr="00012C0B">
              <w:rPr>
                <w:sz w:val="18"/>
              </w:rPr>
              <w:t>900****</w:t>
            </w:r>
          </w:p>
        </w:tc>
        <w:tc>
          <w:tcPr>
            <w:tcW w:w="958" w:type="dxa"/>
          </w:tcPr>
          <w:p w14:paraId="3F908933" w14:textId="77777777" w:rsidR="00012C0B" w:rsidRPr="00012C0B" w:rsidRDefault="00012C0B" w:rsidP="00012C0B">
            <w:pPr>
              <w:spacing w:after="240" w:line="240" w:lineRule="auto"/>
              <w:jc w:val="center"/>
              <w:rPr>
                <w:sz w:val="18"/>
              </w:rPr>
            </w:pPr>
            <w:r w:rsidRPr="00012C0B">
              <w:rPr>
                <w:sz w:val="18"/>
              </w:rPr>
              <w:t>2300</w:t>
            </w:r>
          </w:p>
        </w:tc>
      </w:tr>
      <w:tr w:rsidR="00012C0B" w:rsidRPr="00012C0B" w14:paraId="6959BA6A" w14:textId="77777777" w:rsidTr="00012C0B">
        <w:tc>
          <w:tcPr>
            <w:tcW w:w="817" w:type="dxa"/>
          </w:tcPr>
          <w:p w14:paraId="51FDD204" w14:textId="77777777" w:rsidR="00012C0B" w:rsidRPr="00012C0B" w:rsidRDefault="00012C0B" w:rsidP="00012C0B">
            <w:pPr>
              <w:spacing w:after="240" w:line="240" w:lineRule="auto"/>
              <w:jc w:val="center"/>
              <w:rPr>
                <w:sz w:val="18"/>
              </w:rPr>
            </w:pPr>
            <w:r w:rsidRPr="00012C0B">
              <w:rPr>
                <w:sz w:val="18"/>
              </w:rPr>
              <w:t>2024</w:t>
            </w:r>
          </w:p>
        </w:tc>
        <w:tc>
          <w:tcPr>
            <w:tcW w:w="1276" w:type="dxa"/>
          </w:tcPr>
          <w:p w14:paraId="116ECADB" w14:textId="77777777" w:rsidR="00012C0B" w:rsidRPr="00012C0B" w:rsidRDefault="00012C0B" w:rsidP="00012C0B">
            <w:pPr>
              <w:spacing w:after="240" w:line="240" w:lineRule="auto"/>
              <w:jc w:val="center"/>
              <w:rPr>
                <w:sz w:val="18"/>
              </w:rPr>
            </w:pPr>
            <w:r w:rsidRPr="00012C0B">
              <w:rPr>
                <w:sz w:val="18"/>
              </w:rPr>
              <w:t>4500</w:t>
            </w:r>
          </w:p>
        </w:tc>
        <w:tc>
          <w:tcPr>
            <w:tcW w:w="1709" w:type="dxa"/>
          </w:tcPr>
          <w:p w14:paraId="62690082" w14:textId="77777777" w:rsidR="00012C0B" w:rsidRPr="00012C0B" w:rsidRDefault="00012C0B" w:rsidP="00012C0B">
            <w:pPr>
              <w:spacing w:after="240" w:line="240" w:lineRule="auto"/>
              <w:jc w:val="center"/>
              <w:rPr>
                <w:sz w:val="18"/>
              </w:rPr>
            </w:pPr>
            <w:r w:rsidRPr="00012C0B">
              <w:rPr>
                <w:sz w:val="18"/>
              </w:rPr>
              <w:t>900</w:t>
            </w:r>
          </w:p>
        </w:tc>
        <w:tc>
          <w:tcPr>
            <w:tcW w:w="1287" w:type="dxa"/>
          </w:tcPr>
          <w:p w14:paraId="714569F8" w14:textId="77777777" w:rsidR="00012C0B" w:rsidRPr="00012C0B" w:rsidRDefault="00012C0B" w:rsidP="00012C0B">
            <w:pPr>
              <w:spacing w:after="240" w:line="240" w:lineRule="auto"/>
              <w:jc w:val="center"/>
              <w:rPr>
                <w:sz w:val="18"/>
              </w:rPr>
            </w:pPr>
            <w:r w:rsidRPr="00012C0B">
              <w:rPr>
                <w:sz w:val="18"/>
              </w:rPr>
              <w:t>2670</w:t>
            </w:r>
          </w:p>
        </w:tc>
        <w:tc>
          <w:tcPr>
            <w:tcW w:w="1378" w:type="dxa"/>
          </w:tcPr>
          <w:p w14:paraId="0EFF3AC5" w14:textId="77777777" w:rsidR="00012C0B" w:rsidRPr="00012C0B" w:rsidRDefault="00012C0B" w:rsidP="00012C0B">
            <w:pPr>
              <w:spacing w:after="240" w:line="240" w:lineRule="auto"/>
              <w:jc w:val="center"/>
              <w:rPr>
                <w:sz w:val="18"/>
              </w:rPr>
            </w:pPr>
            <w:r w:rsidRPr="00012C0B">
              <w:rPr>
                <w:sz w:val="18"/>
              </w:rPr>
              <w:t>890</w:t>
            </w:r>
          </w:p>
        </w:tc>
        <w:tc>
          <w:tcPr>
            <w:tcW w:w="1863" w:type="dxa"/>
          </w:tcPr>
          <w:p w14:paraId="707E4BCA" w14:textId="77777777" w:rsidR="00012C0B" w:rsidRPr="00012C0B" w:rsidRDefault="00012C0B" w:rsidP="00012C0B">
            <w:pPr>
              <w:spacing w:after="240" w:line="240" w:lineRule="auto"/>
              <w:jc w:val="center"/>
              <w:rPr>
                <w:sz w:val="18"/>
              </w:rPr>
            </w:pPr>
            <w:r w:rsidRPr="00012C0B">
              <w:rPr>
                <w:sz w:val="18"/>
              </w:rPr>
              <w:t>900</w:t>
            </w:r>
          </w:p>
        </w:tc>
        <w:tc>
          <w:tcPr>
            <w:tcW w:w="958" w:type="dxa"/>
          </w:tcPr>
          <w:p w14:paraId="382E7560" w14:textId="77777777" w:rsidR="00012C0B" w:rsidRPr="00012C0B" w:rsidRDefault="00012C0B" w:rsidP="00012C0B">
            <w:pPr>
              <w:spacing w:after="240" w:line="240" w:lineRule="auto"/>
              <w:jc w:val="center"/>
              <w:rPr>
                <w:sz w:val="18"/>
              </w:rPr>
            </w:pPr>
            <w:r w:rsidRPr="00012C0B">
              <w:rPr>
                <w:sz w:val="18"/>
              </w:rPr>
              <w:t>3200</w:t>
            </w:r>
          </w:p>
        </w:tc>
      </w:tr>
      <w:tr w:rsidR="00012C0B" w:rsidRPr="00012C0B" w14:paraId="5534FD69" w14:textId="77777777" w:rsidTr="00012C0B">
        <w:tc>
          <w:tcPr>
            <w:tcW w:w="817" w:type="dxa"/>
          </w:tcPr>
          <w:p w14:paraId="32516CD8" w14:textId="77777777" w:rsidR="00012C0B" w:rsidRPr="00012C0B" w:rsidRDefault="00012C0B" w:rsidP="00012C0B">
            <w:pPr>
              <w:spacing w:after="240" w:line="240" w:lineRule="auto"/>
              <w:jc w:val="center"/>
              <w:rPr>
                <w:sz w:val="18"/>
              </w:rPr>
            </w:pPr>
            <w:r w:rsidRPr="00012C0B">
              <w:rPr>
                <w:sz w:val="18"/>
              </w:rPr>
              <w:t>2025</w:t>
            </w:r>
          </w:p>
        </w:tc>
        <w:tc>
          <w:tcPr>
            <w:tcW w:w="1276" w:type="dxa"/>
          </w:tcPr>
          <w:p w14:paraId="78C9695D" w14:textId="77777777" w:rsidR="00012C0B" w:rsidRPr="00012C0B" w:rsidRDefault="00012C0B" w:rsidP="00012C0B">
            <w:pPr>
              <w:spacing w:after="240" w:line="240" w:lineRule="auto"/>
              <w:jc w:val="center"/>
              <w:rPr>
                <w:sz w:val="18"/>
              </w:rPr>
            </w:pPr>
            <w:r w:rsidRPr="00012C0B">
              <w:rPr>
                <w:sz w:val="18"/>
              </w:rPr>
              <w:t>4500</w:t>
            </w:r>
          </w:p>
        </w:tc>
        <w:tc>
          <w:tcPr>
            <w:tcW w:w="1709" w:type="dxa"/>
          </w:tcPr>
          <w:p w14:paraId="61DC1F40" w14:textId="77777777" w:rsidR="00012C0B" w:rsidRPr="00012C0B" w:rsidRDefault="00012C0B" w:rsidP="00012C0B">
            <w:pPr>
              <w:spacing w:after="240" w:line="240" w:lineRule="auto"/>
              <w:jc w:val="center"/>
              <w:rPr>
                <w:sz w:val="18"/>
              </w:rPr>
            </w:pPr>
            <w:r w:rsidRPr="00012C0B">
              <w:rPr>
                <w:sz w:val="18"/>
              </w:rPr>
              <w:t>900</w:t>
            </w:r>
          </w:p>
        </w:tc>
        <w:tc>
          <w:tcPr>
            <w:tcW w:w="1287" w:type="dxa"/>
          </w:tcPr>
          <w:p w14:paraId="54A7CDDD" w14:textId="77777777" w:rsidR="00012C0B" w:rsidRPr="00012C0B" w:rsidRDefault="00012C0B" w:rsidP="00012C0B">
            <w:pPr>
              <w:spacing w:after="240" w:line="240" w:lineRule="auto"/>
              <w:jc w:val="center"/>
              <w:rPr>
                <w:sz w:val="18"/>
              </w:rPr>
            </w:pPr>
            <w:r w:rsidRPr="00012C0B">
              <w:rPr>
                <w:sz w:val="18"/>
              </w:rPr>
              <w:t>2670</w:t>
            </w:r>
          </w:p>
        </w:tc>
        <w:tc>
          <w:tcPr>
            <w:tcW w:w="1378" w:type="dxa"/>
          </w:tcPr>
          <w:p w14:paraId="44917B8A" w14:textId="77777777" w:rsidR="00012C0B" w:rsidRPr="00012C0B" w:rsidRDefault="00012C0B" w:rsidP="00012C0B">
            <w:pPr>
              <w:spacing w:after="240" w:line="240" w:lineRule="auto"/>
              <w:jc w:val="center"/>
              <w:rPr>
                <w:sz w:val="18"/>
              </w:rPr>
            </w:pPr>
            <w:r w:rsidRPr="00012C0B">
              <w:rPr>
                <w:sz w:val="18"/>
              </w:rPr>
              <w:t>890</w:t>
            </w:r>
          </w:p>
        </w:tc>
        <w:tc>
          <w:tcPr>
            <w:tcW w:w="1863" w:type="dxa"/>
          </w:tcPr>
          <w:p w14:paraId="1C3D3853" w14:textId="77777777" w:rsidR="00012C0B" w:rsidRPr="00012C0B" w:rsidRDefault="00012C0B" w:rsidP="00012C0B">
            <w:pPr>
              <w:spacing w:after="240" w:line="240" w:lineRule="auto"/>
              <w:jc w:val="center"/>
              <w:rPr>
                <w:sz w:val="18"/>
              </w:rPr>
            </w:pPr>
            <w:r w:rsidRPr="00012C0B">
              <w:rPr>
                <w:sz w:val="18"/>
              </w:rPr>
              <w:t>900</w:t>
            </w:r>
          </w:p>
        </w:tc>
        <w:tc>
          <w:tcPr>
            <w:tcW w:w="958" w:type="dxa"/>
          </w:tcPr>
          <w:p w14:paraId="73A67DCC" w14:textId="77777777" w:rsidR="00012C0B" w:rsidRPr="00012C0B" w:rsidRDefault="00012C0B" w:rsidP="00012C0B">
            <w:pPr>
              <w:spacing w:after="240" w:line="240" w:lineRule="auto"/>
              <w:jc w:val="center"/>
              <w:rPr>
                <w:sz w:val="18"/>
              </w:rPr>
            </w:pPr>
            <w:r w:rsidRPr="00012C0B">
              <w:rPr>
                <w:sz w:val="18"/>
              </w:rPr>
              <w:t>4100</w:t>
            </w:r>
          </w:p>
        </w:tc>
      </w:tr>
      <w:tr w:rsidR="00012C0B" w:rsidRPr="00012C0B" w14:paraId="53DE7E2E" w14:textId="77777777" w:rsidTr="00012C0B">
        <w:tc>
          <w:tcPr>
            <w:tcW w:w="817" w:type="dxa"/>
          </w:tcPr>
          <w:p w14:paraId="6CEA7A30" w14:textId="77777777" w:rsidR="00012C0B" w:rsidRPr="00012C0B" w:rsidRDefault="00012C0B" w:rsidP="00012C0B">
            <w:pPr>
              <w:spacing w:after="240" w:line="240" w:lineRule="auto"/>
              <w:jc w:val="center"/>
              <w:rPr>
                <w:sz w:val="18"/>
              </w:rPr>
            </w:pPr>
            <w:r w:rsidRPr="00012C0B">
              <w:rPr>
                <w:sz w:val="18"/>
              </w:rPr>
              <w:t>2026</w:t>
            </w:r>
          </w:p>
        </w:tc>
        <w:tc>
          <w:tcPr>
            <w:tcW w:w="1276" w:type="dxa"/>
          </w:tcPr>
          <w:p w14:paraId="7A5E637E" w14:textId="77777777" w:rsidR="00012C0B" w:rsidRPr="00012C0B" w:rsidRDefault="00012C0B" w:rsidP="00012C0B">
            <w:pPr>
              <w:spacing w:after="240" w:line="240" w:lineRule="auto"/>
              <w:jc w:val="center"/>
              <w:rPr>
                <w:sz w:val="18"/>
              </w:rPr>
            </w:pPr>
            <w:r w:rsidRPr="00012C0B">
              <w:rPr>
                <w:sz w:val="18"/>
              </w:rPr>
              <w:t>4500</w:t>
            </w:r>
          </w:p>
        </w:tc>
        <w:tc>
          <w:tcPr>
            <w:tcW w:w="1709" w:type="dxa"/>
          </w:tcPr>
          <w:p w14:paraId="121BD3E2" w14:textId="77777777" w:rsidR="00012C0B" w:rsidRPr="00012C0B" w:rsidRDefault="00012C0B" w:rsidP="00012C0B">
            <w:pPr>
              <w:spacing w:after="240" w:line="240" w:lineRule="auto"/>
              <w:jc w:val="center"/>
              <w:rPr>
                <w:sz w:val="18"/>
              </w:rPr>
            </w:pPr>
            <w:r w:rsidRPr="00012C0B">
              <w:rPr>
                <w:sz w:val="18"/>
              </w:rPr>
              <w:t>900</w:t>
            </w:r>
          </w:p>
        </w:tc>
        <w:tc>
          <w:tcPr>
            <w:tcW w:w="1287" w:type="dxa"/>
          </w:tcPr>
          <w:p w14:paraId="509C495C" w14:textId="77777777" w:rsidR="00012C0B" w:rsidRPr="00012C0B" w:rsidRDefault="00012C0B" w:rsidP="00012C0B">
            <w:pPr>
              <w:spacing w:after="240" w:line="240" w:lineRule="auto"/>
              <w:jc w:val="center"/>
              <w:rPr>
                <w:sz w:val="18"/>
              </w:rPr>
            </w:pPr>
            <w:r w:rsidRPr="00012C0B">
              <w:rPr>
                <w:sz w:val="18"/>
              </w:rPr>
              <w:t>2670</w:t>
            </w:r>
          </w:p>
        </w:tc>
        <w:tc>
          <w:tcPr>
            <w:tcW w:w="1378" w:type="dxa"/>
          </w:tcPr>
          <w:p w14:paraId="16B73A79" w14:textId="77777777" w:rsidR="00012C0B" w:rsidRPr="00012C0B" w:rsidRDefault="00012C0B" w:rsidP="00012C0B">
            <w:pPr>
              <w:spacing w:after="240" w:line="240" w:lineRule="auto"/>
              <w:jc w:val="center"/>
              <w:rPr>
                <w:sz w:val="18"/>
              </w:rPr>
            </w:pPr>
            <w:r w:rsidRPr="00012C0B">
              <w:rPr>
                <w:sz w:val="18"/>
              </w:rPr>
              <w:t>890</w:t>
            </w:r>
          </w:p>
        </w:tc>
        <w:tc>
          <w:tcPr>
            <w:tcW w:w="1863" w:type="dxa"/>
          </w:tcPr>
          <w:p w14:paraId="0E4AE497" w14:textId="77777777" w:rsidR="00012C0B" w:rsidRPr="00012C0B" w:rsidRDefault="00012C0B" w:rsidP="00012C0B">
            <w:pPr>
              <w:spacing w:after="240" w:line="240" w:lineRule="auto"/>
              <w:jc w:val="center"/>
              <w:rPr>
                <w:sz w:val="18"/>
              </w:rPr>
            </w:pPr>
            <w:r w:rsidRPr="00012C0B">
              <w:rPr>
                <w:sz w:val="18"/>
              </w:rPr>
              <w:t>900</w:t>
            </w:r>
          </w:p>
        </w:tc>
        <w:tc>
          <w:tcPr>
            <w:tcW w:w="958" w:type="dxa"/>
          </w:tcPr>
          <w:p w14:paraId="6A3023E8" w14:textId="77777777" w:rsidR="00012C0B" w:rsidRPr="00012C0B" w:rsidRDefault="00012C0B" w:rsidP="00012C0B">
            <w:pPr>
              <w:spacing w:after="240" w:line="240" w:lineRule="auto"/>
              <w:jc w:val="center"/>
              <w:rPr>
                <w:sz w:val="18"/>
              </w:rPr>
            </w:pPr>
            <w:r w:rsidRPr="00012C0B">
              <w:rPr>
                <w:sz w:val="18"/>
              </w:rPr>
              <w:t>5000</w:t>
            </w:r>
          </w:p>
        </w:tc>
      </w:tr>
    </w:tbl>
    <w:p w14:paraId="199B9111"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These numbers reflect the fact that the CIS-YF and the RD installation support are available in the current CAP too (i.e. not all farmers paid can be considered as setting-up a farm in 2022).</w:t>
      </w:r>
    </w:p>
    <w:p w14:paraId="0018F14D"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1400 = 900 YF newly granted the CIS-YF + 500 newly granted the RD installation support (and not granted yet the CIS-YF)</w:t>
      </w:r>
    </w:p>
    <w:p w14:paraId="57EDCC52" w14:textId="3539B15F"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out of which 500 received RD installation support the previous year already</w:t>
      </w:r>
    </w:p>
    <w:p w14:paraId="7DA8D6F9" w14:textId="3073C431" w:rsidR="007E1ADF"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400 new YF granted the CIS-YF</w:t>
      </w:r>
      <w:r w:rsidRPr="00012C0B" w:rsidDel="00DD5A1E">
        <w:rPr>
          <w:rFonts w:ascii="Times New Roman" w:eastAsia="Times New Roman" w:hAnsi="Times New Roman" w:cs="Times New Roman"/>
          <w:szCs w:val="20"/>
          <w:lang w:eastAsia="en-GB"/>
        </w:rPr>
        <w:t xml:space="preserve"> </w:t>
      </w:r>
      <w:r w:rsidRPr="00012C0B">
        <w:rPr>
          <w:rFonts w:ascii="Times New Roman" w:eastAsia="Times New Roman" w:hAnsi="Times New Roman" w:cs="Times New Roman"/>
          <w:szCs w:val="20"/>
          <w:lang w:eastAsia="en-GB"/>
        </w:rPr>
        <w:t>(out of which 390 received the first payment for RD installation support) + 500 newly granted the RD installation support (and not granted yet the CIS-YF)</w:t>
      </w:r>
    </w:p>
    <w:p w14:paraId="7DACCD11" w14:textId="7FE53C28"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This example at first sight seems very complex, but using the </w:t>
      </w:r>
      <w:r w:rsidRPr="00012C0B">
        <w:rPr>
          <w:rFonts w:ascii="Times New Roman" w:eastAsia="Times New Roman" w:hAnsi="Times New Roman" w:cs="Times New Roman"/>
          <w:b/>
          <w:szCs w:val="20"/>
          <w:lang w:eastAsia="en-GB"/>
        </w:rPr>
        <w:t xml:space="preserve">unique beneficiary identifier </w:t>
      </w:r>
      <w:r w:rsidRPr="00012C0B">
        <w:rPr>
          <w:rFonts w:ascii="Times New Roman" w:eastAsia="Times New Roman" w:hAnsi="Times New Roman" w:cs="Times New Roman"/>
          <w:szCs w:val="20"/>
          <w:lang w:eastAsia="en-GB"/>
        </w:rPr>
        <w:t xml:space="preserve">will simplify significantly the task of MS. This example show that the beneficiary identifier should be </w:t>
      </w:r>
      <w:r w:rsidR="00D5353E">
        <w:rPr>
          <w:rFonts w:ascii="Times New Roman" w:eastAsia="Times New Roman" w:hAnsi="Times New Roman" w:cs="Times New Roman"/>
          <w:szCs w:val="20"/>
          <w:lang w:eastAsia="en-GB"/>
        </w:rPr>
        <w:t xml:space="preserve">unique for all interventions (RD and </w:t>
      </w:r>
      <w:r w:rsidR="00BE2B2F">
        <w:rPr>
          <w:rFonts w:ascii="Times New Roman" w:eastAsia="Times New Roman" w:hAnsi="Times New Roman" w:cs="Times New Roman"/>
          <w:szCs w:val="20"/>
          <w:lang w:eastAsia="en-GB"/>
        </w:rPr>
        <w:t>direct payments</w:t>
      </w:r>
      <w:r w:rsidR="00BE2B2F" w:rsidRPr="00012C0B">
        <w:rPr>
          <w:rFonts w:ascii="Times New Roman" w:eastAsia="Times New Roman" w:hAnsi="Times New Roman" w:cs="Times New Roman"/>
          <w:szCs w:val="20"/>
          <w:lang w:eastAsia="en-GB"/>
        </w:rPr>
        <w:t xml:space="preserve"> </w:t>
      </w:r>
      <w:r w:rsidRPr="00012C0B">
        <w:rPr>
          <w:rFonts w:ascii="Times New Roman" w:eastAsia="Times New Roman" w:hAnsi="Times New Roman" w:cs="Times New Roman"/>
          <w:szCs w:val="20"/>
          <w:lang w:eastAsia="en-GB"/>
        </w:rPr>
        <w:t>and all years.</w:t>
      </w:r>
    </w:p>
    <w:p w14:paraId="69440560" w14:textId="77777777" w:rsidR="00012C0B" w:rsidRPr="00012C0B" w:rsidRDefault="00012C0B" w:rsidP="00012C0B">
      <w:pPr>
        <w:spacing w:after="240" w:line="240" w:lineRule="auto"/>
        <w:jc w:val="both"/>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Gender breakdown</w:t>
      </w:r>
    </w:p>
    <w:p w14:paraId="718F2BFB"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MS </w:t>
      </w:r>
      <w:r w:rsidR="007753EC">
        <w:rPr>
          <w:rFonts w:ascii="Times New Roman" w:eastAsia="Times New Roman" w:hAnsi="Times New Roman" w:cs="Times New Roman"/>
          <w:szCs w:val="20"/>
          <w:lang w:eastAsia="en-GB"/>
        </w:rPr>
        <w:t>should</w:t>
      </w:r>
      <w:r w:rsidRPr="00012C0B">
        <w:rPr>
          <w:rFonts w:ascii="Times New Roman" w:eastAsia="Times New Roman" w:hAnsi="Times New Roman" w:cs="Times New Roman"/>
          <w:szCs w:val="20"/>
          <w:lang w:eastAsia="en-GB"/>
        </w:rPr>
        <w:t xml:space="preserve"> report the number of newly sat up young farmers by gender. </w:t>
      </w:r>
    </w:p>
    <w:p w14:paraId="1C9742E8"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lastRenderedPageBreak/>
        <w:t xml:space="preserve">For direct payments, for the CIS-YF, MS </w:t>
      </w:r>
      <w:r w:rsidR="007753EC">
        <w:rPr>
          <w:rFonts w:ascii="Times New Roman" w:eastAsia="Times New Roman" w:hAnsi="Times New Roman" w:cs="Times New Roman"/>
          <w:szCs w:val="20"/>
          <w:lang w:eastAsia="en-GB"/>
        </w:rPr>
        <w:t>should</w:t>
      </w:r>
      <w:r w:rsidRPr="00012C0B">
        <w:rPr>
          <w:rFonts w:ascii="Times New Roman" w:eastAsia="Times New Roman" w:hAnsi="Times New Roman" w:cs="Times New Roman"/>
          <w:szCs w:val="20"/>
          <w:lang w:eastAsia="en-GB"/>
        </w:rPr>
        <w:t xml:space="preserve"> allocate the payment entitlements to the applicant who enjoys the decision-making power. Thus, there is always only one beneficiary and MS </w:t>
      </w:r>
      <w:r w:rsidR="007753EC">
        <w:rPr>
          <w:rFonts w:ascii="Times New Roman" w:eastAsia="Times New Roman" w:hAnsi="Times New Roman" w:cs="Times New Roman"/>
          <w:szCs w:val="20"/>
          <w:lang w:eastAsia="en-GB"/>
        </w:rPr>
        <w:t>should</w:t>
      </w:r>
      <w:r w:rsidRPr="00012C0B">
        <w:rPr>
          <w:rFonts w:ascii="Times New Roman" w:eastAsia="Times New Roman" w:hAnsi="Times New Roman" w:cs="Times New Roman"/>
          <w:szCs w:val="20"/>
          <w:lang w:eastAsia="en-GB"/>
        </w:rPr>
        <w:t xml:space="preserve"> collect its gender, included for legal entities.</w:t>
      </w:r>
    </w:p>
    <w:p w14:paraId="71EE8888"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For rural development, a group of beneficiaries can be granted the installation grant. For simplification, MS </w:t>
      </w:r>
      <w:r w:rsidR="007753EC">
        <w:rPr>
          <w:rFonts w:ascii="Times New Roman" w:eastAsia="Times New Roman" w:hAnsi="Times New Roman" w:cs="Times New Roman"/>
          <w:szCs w:val="20"/>
          <w:lang w:eastAsia="en-GB"/>
        </w:rPr>
        <w:t>should</w:t>
      </w:r>
      <w:r w:rsidRPr="00012C0B">
        <w:rPr>
          <w:rFonts w:ascii="Times New Roman" w:eastAsia="Times New Roman" w:hAnsi="Times New Roman" w:cs="Times New Roman"/>
          <w:szCs w:val="20"/>
          <w:lang w:eastAsia="en-GB"/>
        </w:rPr>
        <w:t xml:space="preserve"> designate one head of the group (of natural and legal persons) and collect its gender.</w:t>
      </w:r>
    </w:p>
    <w:p w14:paraId="66F8C9D5" w14:textId="77777777" w:rsidR="00012C0B" w:rsidRPr="00012C0B" w:rsidRDefault="00012C0B" w:rsidP="00012C0B">
      <w:pPr>
        <w:spacing w:after="240" w:line="240" w:lineRule="auto"/>
        <w:jc w:val="both"/>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Financial instruments</w:t>
      </w:r>
    </w:p>
    <w:p w14:paraId="7163D71A"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In addition, MS might support YF set-up with financial instruments (FI). More precisely, a YF can receive support in the form of a grant and FI or only FI. In this case also, the use of the unique beneficiary identifier will allow to count YF only once, whatever the kind of support they received.</w:t>
      </w:r>
    </w:p>
    <w:p w14:paraId="1E4001C6" w14:textId="77777777" w:rsidR="00012C0B" w:rsidRPr="00012C0B" w:rsidRDefault="00012C0B" w:rsidP="00012C0B">
      <w:pPr>
        <w:spacing w:after="240" w:line="240" w:lineRule="auto"/>
        <w:jc w:val="both"/>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Link to R.37</w:t>
      </w:r>
      <w:r w:rsidR="003D1BCF" w:rsidRPr="003D1BCF">
        <w:t xml:space="preserve"> </w:t>
      </w:r>
      <w:r w:rsidR="003D1BCF" w:rsidRPr="003D1BCF">
        <w:rPr>
          <w:rFonts w:ascii="Times New Roman" w:eastAsia="Times New Roman" w:hAnsi="Times New Roman" w:cs="Times New Roman"/>
          <w:b/>
          <w:szCs w:val="20"/>
          <w:lang w:eastAsia="en-GB"/>
        </w:rPr>
        <w:t>Growth and jobs in rural areas: New jobs supported in CAP projects</w:t>
      </w:r>
    </w:p>
    <w:p w14:paraId="1890D030"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The support to newly </w:t>
      </w:r>
      <w:r w:rsidR="003048D0">
        <w:rPr>
          <w:rFonts w:ascii="Times New Roman" w:eastAsia="Times New Roman" w:hAnsi="Times New Roman" w:cs="Times New Roman"/>
          <w:szCs w:val="20"/>
          <w:lang w:eastAsia="en-GB"/>
        </w:rPr>
        <w:t>se</w:t>
      </w:r>
      <w:r w:rsidRPr="00012C0B">
        <w:rPr>
          <w:rFonts w:ascii="Times New Roman" w:eastAsia="Times New Roman" w:hAnsi="Times New Roman" w:cs="Times New Roman"/>
          <w:szCs w:val="20"/>
          <w:lang w:eastAsia="en-GB"/>
        </w:rPr>
        <w:t>t up young farmers contribute</w:t>
      </w:r>
      <w:r w:rsidR="00C65352">
        <w:rPr>
          <w:rFonts w:ascii="Times New Roman" w:eastAsia="Times New Roman" w:hAnsi="Times New Roman" w:cs="Times New Roman"/>
          <w:szCs w:val="20"/>
          <w:lang w:eastAsia="en-GB"/>
        </w:rPr>
        <w:t>s</w:t>
      </w:r>
      <w:r w:rsidRPr="00012C0B">
        <w:rPr>
          <w:rFonts w:ascii="Times New Roman" w:eastAsia="Times New Roman" w:hAnsi="Times New Roman" w:cs="Times New Roman"/>
          <w:szCs w:val="20"/>
          <w:lang w:eastAsia="en-GB"/>
        </w:rPr>
        <w:t xml:space="preserve"> to the safeguard and creation of jobs in agriculture, thus it is to be reported under </w:t>
      </w:r>
      <w:r w:rsidRPr="00FF0E47">
        <w:rPr>
          <w:rFonts w:ascii="Times New Roman" w:eastAsia="Times New Roman" w:hAnsi="Times New Roman" w:cs="Times New Roman"/>
          <w:b/>
          <w:szCs w:val="20"/>
          <w:lang w:eastAsia="en-GB"/>
        </w:rPr>
        <w:t>R.3</w:t>
      </w:r>
      <w:r w:rsidR="00EC2E0B" w:rsidRPr="00FF0E47">
        <w:rPr>
          <w:rFonts w:ascii="Times New Roman" w:eastAsia="Times New Roman" w:hAnsi="Times New Roman" w:cs="Times New Roman"/>
          <w:b/>
          <w:szCs w:val="20"/>
          <w:lang w:eastAsia="en-GB"/>
        </w:rPr>
        <w:t>7</w:t>
      </w:r>
      <w:r w:rsidRPr="00012C0B">
        <w:rPr>
          <w:rFonts w:ascii="Times New Roman" w:eastAsia="Times New Roman" w:hAnsi="Times New Roman" w:cs="Times New Roman"/>
          <w:szCs w:val="20"/>
          <w:lang w:eastAsia="en-GB"/>
        </w:rPr>
        <w:t>.</w:t>
      </w:r>
    </w:p>
    <w:p w14:paraId="068F9151"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The other jobs created (through the installation support for other farmers than young, investment support…) is to be collected at the end of the project (last payment), when the information on the number of jobs created will be as close as possible from the actual number of jobs created.</w:t>
      </w:r>
    </w:p>
    <w:p w14:paraId="4CC675AA"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Adding R.36 collected at first instalment and the rest collected at balance payment is not an issue, as the number of newly sat up young farmers is not changing between the first and balance instalments.</w:t>
      </w:r>
    </w:p>
    <w:p w14:paraId="749CDF29" w14:textId="77777777" w:rsidR="00012C0B" w:rsidRPr="00012C0B" w:rsidRDefault="00012C0B" w:rsidP="00012C0B">
      <w:pPr>
        <w:spacing w:after="0" w:line="240" w:lineRule="auto"/>
        <w:rPr>
          <w:rFonts w:ascii="Times New Roman" w:eastAsia="Times New Roman" w:hAnsi="Times New Roman" w:cs="Times New Roman"/>
          <w:b/>
          <w:szCs w:val="20"/>
          <w:u w:val="single"/>
          <w:lang w:eastAsia="en-GB"/>
        </w:rPr>
      </w:pPr>
      <w:r w:rsidRPr="00012C0B">
        <w:rPr>
          <w:rFonts w:ascii="Times New Roman" w:eastAsia="Times New Roman" w:hAnsi="Times New Roman" w:cs="Times New Roman"/>
          <w:b/>
          <w:szCs w:val="20"/>
          <w:u w:val="single"/>
          <w:lang w:eastAsia="en-GB"/>
        </w:rPr>
        <w:br w:type="page"/>
      </w:r>
    </w:p>
    <w:p w14:paraId="412A1105" w14:textId="77777777" w:rsidR="00012C0B" w:rsidRPr="00012C0B" w:rsidRDefault="00012C0B" w:rsidP="00012C0B">
      <w:pPr>
        <w:spacing w:before="240" w:after="24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b/>
          <w:szCs w:val="20"/>
          <w:u w:val="single"/>
          <w:lang w:eastAsia="en-GB"/>
        </w:rPr>
        <w:lastRenderedPageBreak/>
        <w:t>Example 2</w:t>
      </w:r>
      <w:r w:rsidRPr="00012C0B">
        <w:rPr>
          <w:rFonts w:ascii="Times New Roman" w:eastAsia="Times New Roman" w:hAnsi="Times New Roman" w:cs="Times New Roman"/>
          <w:szCs w:val="20"/>
          <w:lang w:eastAsia="en-GB"/>
        </w:rPr>
        <w:t xml:space="preserve">: </w:t>
      </w:r>
      <w:r w:rsidRPr="00012C0B">
        <w:rPr>
          <w:rFonts w:ascii="Times New Roman" w:eastAsia="Times New Roman" w:hAnsi="Times New Roman" w:cs="Times New Roman"/>
          <w:b/>
          <w:szCs w:val="20"/>
          <w:lang w:eastAsia="en-GB"/>
        </w:rPr>
        <w:t>R.9 Farm modernisation</w:t>
      </w:r>
      <w:r w:rsidRPr="00012C0B">
        <w:rPr>
          <w:rFonts w:ascii="Times New Roman" w:eastAsia="Times New Roman" w:hAnsi="Times New Roman" w:cs="Times New Roman"/>
          <w:szCs w:val="20"/>
          <w:lang w:eastAsia="en-GB"/>
        </w:rPr>
        <w:t>: Share of farms receiving investment support to restructure and modernise, including to improve resource efficiency.</w:t>
      </w:r>
    </w:p>
    <w:p w14:paraId="05DBC0AA" w14:textId="5FBE2BFA"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What if the type of intervention concerned is only investments under R</w:t>
      </w:r>
      <w:r w:rsidR="00B45F12">
        <w:rPr>
          <w:rFonts w:ascii="Times New Roman" w:eastAsia="Times New Roman" w:hAnsi="Times New Roman" w:cs="Times New Roman"/>
          <w:szCs w:val="20"/>
          <w:lang w:eastAsia="en-GB"/>
        </w:rPr>
        <w:t xml:space="preserve">ural </w:t>
      </w:r>
      <w:r w:rsidRPr="00012C0B">
        <w:rPr>
          <w:rFonts w:ascii="Times New Roman" w:eastAsia="Times New Roman" w:hAnsi="Times New Roman" w:cs="Times New Roman"/>
          <w:szCs w:val="20"/>
          <w:lang w:eastAsia="en-GB"/>
        </w:rPr>
        <w:t>D</w:t>
      </w:r>
      <w:r w:rsidR="00B45F12">
        <w:rPr>
          <w:rFonts w:ascii="Times New Roman" w:eastAsia="Times New Roman" w:hAnsi="Times New Roman" w:cs="Times New Roman"/>
          <w:szCs w:val="20"/>
          <w:lang w:eastAsia="en-GB"/>
        </w:rPr>
        <w:t>evelopment</w:t>
      </w:r>
      <w:r w:rsidRPr="00012C0B">
        <w:rPr>
          <w:rFonts w:ascii="Times New Roman" w:eastAsia="Times New Roman" w:hAnsi="Times New Roman" w:cs="Times New Roman"/>
          <w:szCs w:val="20"/>
          <w:lang w:eastAsia="en-GB"/>
        </w:rPr>
        <w:t xml:space="preserve"> (Art. </w:t>
      </w:r>
      <w:r w:rsidR="003048D0">
        <w:rPr>
          <w:rFonts w:ascii="Times New Roman" w:eastAsia="Times New Roman" w:hAnsi="Times New Roman" w:cs="Times New Roman"/>
          <w:szCs w:val="20"/>
          <w:lang w:eastAsia="en-GB"/>
        </w:rPr>
        <w:t>73 of the SPR</w:t>
      </w:r>
      <w:r w:rsidRPr="003048D0">
        <w:rPr>
          <w:rFonts w:ascii="Times New Roman" w:eastAsia="Times New Roman" w:hAnsi="Times New Roman" w:cs="Times New Roman"/>
          <w:szCs w:val="20"/>
          <w:lang w:eastAsia="en-GB"/>
        </w:rPr>
        <w:t>)?</w:t>
      </w:r>
    </w:p>
    <w:p w14:paraId="5A7AF70C" w14:textId="5943B4E6" w:rsidR="00012C0B" w:rsidRPr="00012C0B" w:rsidRDefault="00AA6954" w:rsidP="00012C0B">
      <w:pPr>
        <w:spacing w:after="240" w:line="240" w:lineRule="auto"/>
        <w:jc w:val="both"/>
        <w:rPr>
          <w:rFonts w:ascii="Times New Roman" w:eastAsia="Times New Roman" w:hAnsi="Times New Roman" w:cs="Times New Roman"/>
          <w:b/>
          <w:szCs w:val="20"/>
          <w:u w:val="single"/>
          <w:lang w:eastAsia="en-GB"/>
        </w:rPr>
      </w:pPr>
      <w:r w:rsidRPr="00012C0B">
        <w:rPr>
          <w:rFonts w:ascii="Times New Roman" w:eastAsia="Times New Roman" w:hAnsi="Times New Roman" w:cs="Times New Roman"/>
          <w:b/>
          <w:szCs w:val="20"/>
          <w:u w:val="single"/>
          <w:lang w:eastAsia="en-GB"/>
        </w:rPr>
        <w:t>Assumptions</w:t>
      </w:r>
      <w:r w:rsidRPr="00012C0B">
        <w:rPr>
          <w:rFonts w:ascii="Times New Roman" w:eastAsia="Times New Roman" w:hAnsi="Times New Roman" w:cs="Times New Roman"/>
          <w:szCs w:val="20"/>
          <w:lang w:eastAsia="en-GB"/>
        </w:rPr>
        <w:t>:</w:t>
      </w:r>
    </w:p>
    <w:p w14:paraId="3A647787" w14:textId="77777777" w:rsidR="00012C0B" w:rsidRPr="00012C0B" w:rsidRDefault="00012C0B" w:rsidP="00012C0B">
      <w:pPr>
        <w:spacing w:after="12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There are 3 calls addressing restructuration and modernisation</w:t>
      </w:r>
    </w:p>
    <w:p w14:paraId="3B4A4CA9" w14:textId="77777777" w:rsidR="00012C0B" w:rsidRPr="00012C0B" w:rsidRDefault="00012C0B" w:rsidP="005C5386">
      <w:pPr>
        <w:numPr>
          <w:ilvl w:val="1"/>
          <w:numId w:val="20"/>
        </w:num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en-IE" w:eastAsia="en-GB"/>
        </w:rPr>
        <w:t>Call 1, launched in 2022: 5,000 projects selected</w:t>
      </w:r>
    </w:p>
    <w:p w14:paraId="2C6BC856" w14:textId="77777777" w:rsidR="00012C0B" w:rsidRPr="00012C0B" w:rsidRDefault="00012C0B" w:rsidP="005C5386">
      <w:pPr>
        <w:numPr>
          <w:ilvl w:val="1"/>
          <w:numId w:val="20"/>
        </w:num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en-IE" w:eastAsia="en-GB"/>
        </w:rPr>
        <w:t xml:space="preserve">Call 2, launched in 2023: </w:t>
      </w:r>
      <w:r w:rsidRPr="00012C0B">
        <w:rPr>
          <w:rFonts w:ascii="Times New Roman" w:eastAsia="Times New Roman" w:hAnsi="Times New Roman" w:cs="Times New Roman"/>
          <w:szCs w:val="20"/>
          <w:lang w:val="en-US" w:eastAsia="en-GB"/>
        </w:rPr>
        <w:t>6,000 projects selected</w:t>
      </w:r>
    </w:p>
    <w:p w14:paraId="3DF15605" w14:textId="77777777" w:rsidR="00012C0B" w:rsidRPr="00012C0B" w:rsidRDefault="00012C0B" w:rsidP="005C5386">
      <w:pPr>
        <w:numPr>
          <w:ilvl w:val="1"/>
          <w:numId w:val="20"/>
        </w:num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en-US" w:eastAsia="en-GB"/>
        </w:rPr>
        <w:t>Call 3, launched in 2025 (100% national money – “top-up”): 8</w:t>
      </w:r>
      <w:r w:rsidR="00706C7A">
        <w:rPr>
          <w:rFonts w:ascii="Times New Roman" w:eastAsia="Times New Roman" w:hAnsi="Times New Roman" w:cs="Times New Roman"/>
          <w:szCs w:val="20"/>
          <w:lang w:val="en-US" w:eastAsia="en-GB"/>
        </w:rPr>
        <w:t> </w:t>
      </w:r>
      <w:r w:rsidRPr="00012C0B">
        <w:rPr>
          <w:rFonts w:ascii="Times New Roman" w:eastAsia="Times New Roman" w:hAnsi="Times New Roman" w:cs="Times New Roman"/>
          <w:szCs w:val="20"/>
          <w:lang w:val="en-US" w:eastAsia="en-GB"/>
        </w:rPr>
        <w:t>000 projects selected</w:t>
      </w:r>
    </w:p>
    <w:p w14:paraId="6E7DE24B" w14:textId="77777777" w:rsidR="00012C0B" w:rsidRPr="00012C0B" w:rsidRDefault="00012C0B" w:rsidP="005C5386">
      <w:pPr>
        <w:numPr>
          <w:ilvl w:val="1"/>
          <w:numId w:val="20"/>
        </w:num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en-IE" w:eastAsia="en-GB"/>
        </w:rPr>
        <w:t>Different beneficiaries per project</w:t>
      </w:r>
    </w:p>
    <w:p w14:paraId="6E5F4756" w14:textId="77777777" w:rsidR="00012C0B" w:rsidRPr="00012C0B" w:rsidRDefault="00012C0B" w:rsidP="005C5386">
      <w:pPr>
        <w:numPr>
          <w:ilvl w:val="1"/>
          <w:numId w:val="20"/>
        </w:numPr>
        <w:spacing w:after="240" w:line="240" w:lineRule="auto"/>
        <w:ind w:left="1434" w:hanging="357"/>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Denominator = 100 000 farms</w:t>
      </w:r>
    </w:p>
    <w:tbl>
      <w:tblPr>
        <w:tblW w:w="9102" w:type="dxa"/>
        <w:tblCellMar>
          <w:left w:w="0" w:type="dxa"/>
          <w:right w:w="0" w:type="dxa"/>
        </w:tblCellMar>
        <w:tblLook w:val="0600" w:firstRow="0" w:lastRow="0" w:firstColumn="0" w:lastColumn="0" w:noHBand="1" w:noVBand="1"/>
      </w:tblPr>
      <w:tblGrid>
        <w:gridCol w:w="716"/>
        <w:gridCol w:w="1284"/>
        <w:gridCol w:w="1701"/>
        <w:gridCol w:w="1843"/>
        <w:gridCol w:w="1565"/>
        <w:gridCol w:w="1993"/>
      </w:tblGrid>
      <w:tr w:rsidR="00012C0B" w:rsidRPr="00012C0B" w14:paraId="656B8224" w14:textId="77777777" w:rsidTr="00012C0B">
        <w:trPr>
          <w:trHeight w:val="333"/>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840A441"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b/>
                <w:bCs/>
                <w:szCs w:val="20"/>
                <w:lang w:val="fr-BE" w:eastAsia="en-GB"/>
              </w:rPr>
              <w:t>Call 1</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2EA2EC0"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7102" w:type="dxa"/>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D104D20" w14:textId="77777777" w:rsidR="00012C0B" w:rsidRPr="00012C0B" w:rsidRDefault="00012C0B" w:rsidP="00012C0B">
            <w:pPr>
              <w:spacing w:after="0" w:line="240" w:lineRule="auto"/>
              <w:jc w:val="both"/>
              <w:rPr>
                <w:rFonts w:ascii="Times New Roman" w:eastAsia="Times New Roman" w:hAnsi="Times New Roman" w:cs="Times New Roman"/>
                <w:b/>
                <w:bCs/>
                <w:szCs w:val="20"/>
                <w:lang w:val="en-US" w:eastAsia="en-GB"/>
              </w:rPr>
            </w:pPr>
            <w:r w:rsidRPr="00012C0B">
              <w:rPr>
                <w:rFonts w:ascii="Times New Roman" w:eastAsia="Times New Roman" w:hAnsi="Times New Roman" w:cs="Times New Roman"/>
                <w:b/>
                <w:bCs/>
                <w:szCs w:val="20"/>
                <w:lang w:val="en-US" w:eastAsia="en-GB"/>
              </w:rPr>
              <w:t>5.000 selected projects for an average amount per project of 54000 €</w:t>
            </w:r>
          </w:p>
        </w:tc>
      </w:tr>
      <w:tr w:rsidR="00012C0B" w:rsidRPr="00012C0B" w14:paraId="5705913C"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86C7DC9"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FY</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52278A4"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advance (20%)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67ADF48"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1st interim (30%)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2D48D5F"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balance (50%)</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F40428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n° of outputs</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6F45777B" w14:textId="41E901C6" w:rsidR="00012C0B" w:rsidRPr="00012C0B" w:rsidRDefault="00012C0B" w:rsidP="00B45F12">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n° of farms for </w:t>
            </w:r>
            <w:r w:rsidR="00B45F12">
              <w:rPr>
                <w:rFonts w:ascii="Times New Roman" w:eastAsia="Times New Roman" w:hAnsi="Times New Roman" w:cs="Times New Roman"/>
                <w:szCs w:val="20"/>
                <w:lang w:eastAsia="en-GB"/>
              </w:rPr>
              <w:t xml:space="preserve">the </w:t>
            </w:r>
            <w:r w:rsidRPr="00012C0B">
              <w:rPr>
                <w:rFonts w:ascii="Times New Roman" w:eastAsia="Times New Roman" w:hAnsi="Times New Roman" w:cs="Times New Roman"/>
                <w:szCs w:val="20"/>
                <w:lang w:eastAsia="en-GB"/>
              </w:rPr>
              <w:t>numerator</w:t>
            </w:r>
            <w:r w:rsidR="00B45F12">
              <w:rPr>
                <w:rFonts w:ascii="Times New Roman" w:eastAsia="Times New Roman" w:hAnsi="Times New Roman" w:cs="Times New Roman"/>
                <w:szCs w:val="20"/>
                <w:lang w:eastAsia="en-GB"/>
              </w:rPr>
              <w:t xml:space="preserve"> of R.9</w:t>
            </w:r>
          </w:p>
        </w:tc>
      </w:tr>
      <w:tr w:rsidR="00012C0B" w:rsidRPr="00012C0B" w14:paraId="085B4E82"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BA185D7"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2022</w:t>
            </w:r>
          </w:p>
        </w:tc>
        <w:tc>
          <w:tcPr>
            <w:tcW w:w="1284"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bottom"/>
            <w:hideMark/>
          </w:tcPr>
          <w:p w14:paraId="4E9830D1"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54 000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F95A61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B122E07"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37CA2A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4F79A27C"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r>
      <w:tr w:rsidR="00012C0B" w:rsidRPr="00012C0B" w14:paraId="5B9291E9"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1DF9470"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2023</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4E63E7"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F5B7F3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81 000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42D3DB2"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6A4BD4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1.5</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78FEA1D0"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5</w:t>
            </w:r>
          </w:p>
        </w:tc>
      </w:tr>
      <w:tr w:rsidR="00012C0B" w:rsidRPr="00012C0B" w14:paraId="6D88FC3E"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0F48079"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2024</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EF159D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C10ED5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06EFB93"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CB61ABC"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112C5A18"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p>
        </w:tc>
      </w:tr>
      <w:tr w:rsidR="00012C0B" w:rsidRPr="00012C0B" w14:paraId="1806E596" w14:textId="77777777" w:rsidTr="00012C0B">
        <w:trPr>
          <w:trHeight w:val="347"/>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B41D933"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2025</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8364AF9"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5E71D4F"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bottom"/>
            <w:hideMark/>
          </w:tcPr>
          <w:p w14:paraId="0E5C13E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135 000</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D7535B9"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3.5</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149AF71E"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r>
      <w:tr w:rsidR="00012C0B" w:rsidRPr="00012C0B" w14:paraId="0764065B" w14:textId="77777777" w:rsidTr="00012C0B">
        <w:trPr>
          <w:trHeight w:val="446"/>
        </w:trPr>
        <w:tc>
          <w:tcPr>
            <w:tcW w:w="71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BA25AFF"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28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E89C89E"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6E24964"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2263BB3"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56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FCD089B"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993" w:type="dxa"/>
            <w:tcBorders>
              <w:top w:val="single" w:sz="8" w:space="0" w:color="FFFFFF"/>
              <w:left w:val="single" w:sz="8" w:space="0" w:color="FFFFFF"/>
              <w:bottom w:val="single" w:sz="8" w:space="0" w:color="FFFFFF"/>
              <w:right w:val="single" w:sz="8" w:space="0" w:color="FFFFFF"/>
            </w:tcBorders>
          </w:tcPr>
          <w:p w14:paraId="77D0268E"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r>
      <w:tr w:rsidR="00012C0B" w:rsidRPr="00012C0B" w14:paraId="29ED60E1" w14:textId="77777777" w:rsidTr="00012C0B">
        <w:trPr>
          <w:trHeight w:val="247"/>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35492C6"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b/>
                <w:bCs/>
                <w:szCs w:val="20"/>
                <w:lang w:val="fr-BE" w:eastAsia="en-GB"/>
              </w:rPr>
              <w:t>Call 2</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E8F74DE"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7102" w:type="dxa"/>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08358AA" w14:textId="77777777" w:rsidR="00012C0B" w:rsidRPr="00012C0B" w:rsidRDefault="00012C0B" w:rsidP="00012C0B">
            <w:pPr>
              <w:spacing w:after="0" w:line="240" w:lineRule="auto"/>
              <w:jc w:val="both"/>
              <w:rPr>
                <w:rFonts w:ascii="Times New Roman" w:eastAsia="Times New Roman" w:hAnsi="Times New Roman" w:cs="Times New Roman"/>
                <w:b/>
                <w:bCs/>
                <w:szCs w:val="20"/>
                <w:lang w:val="en-US" w:eastAsia="en-GB"/>
              </w:rPr>
            </w:pPr>
            <w:r w:rsidRPr="00012C0B">
              <w:rPr>
                <w:rFonts w:ascii="Times New Roman" w:eastAsia="Times New Roman" w:hAnsi="Times New Roman" w:cs="Times New Roman"/>
                <w:b/>
                <w:bCs/>
                <w:szCs w:val="20"/>
                <w:lang w:val="en-US" w:eastAsia="en-GB"/>
              </w:rPr>
              <w:t>6.000 selected projects for an average amount per project of 52000 €</w:t>
            </w:r>
          </w:p>
        </w:tc>
      </w:tr>
      <w:tr w:rsidR="00012C0B" w:rsidRPr="00012C0B" w14:paraId="179F6E32" w14:textId="77777777" w:rsidTr="00012C0B">
        <w:trPr>
          <w:trHeight w:val="339"/>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2AA5987"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2023</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C3955F4"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EA3372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6888267"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DFF8713"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4EEDE60D"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p>
        </w:tc>
      </w:tr>
      <w:tr w:rsidR="00012C0B" w:rsidRPr="00012C0B" w14:paraId="21000526" w14:textId="77777777" w:rsidTr="00012C0B">
        <w:trPr>
          <w:trHeight w:val="325"/>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A53361A"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2024</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54F574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62 400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FD4958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7998EF"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8ED05C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380488C7"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p>
        </w:tc>
      </w:tr>
      <w:tr w:rsidR="00012C0B" w:rsidRPr="00012C0B" w14:paraId="73E93992" w14:textId="77777777" w:rsidTr="00012C0B">
        <w:trPr>
          <w:trHeight w:val="289"/>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8D247E4"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2025</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61CBB6F"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bottom"/>
            <w:hideMark/>
          </w:tcPr>
          <w:p w14:paraId="274F87B6"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93 600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1162AA8"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A6F4B32"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1.8</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5AA480AC"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6</w:t>
            </w:r>
          </w:p>
        </w:tc>
      </w:tr>
      <w:tr w:rsidR="00012C0B" w:rsidRPr="00012C0B" w14:paraId="59925735" w14:textId="77777777" w:rsidTr="00012C0B">
        <w:trPr>
          <w:trHeight w:val="446"/>
        </w:trPr>
        <w:tc>
          <w:tcPr>
            <w:tcW w:w="71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552963E"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28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C5A9A45"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ADD296D"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18B04B4"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56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D403985"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c>
          <w:tcPr>
            <w:tcW w:w="1993" w:type="dxa"/>
            <w:tcBorders>
              <w:top w:val="single" w:sz="8" w:space="0" w:color="FFFFFF"/>
              <w:left w:val="single" w:sz="8" w:space="0" w:color="FFFFFF"/>
              <w:bottom w:val="single" w:sz="8" w:space="0" w:color="FFFFFF"/>
              <w:right w:val="single" w:sz="8" w:space="0" w:color="FFFFFF"/>
            </w:tcBorders>
          </w:tcPr>
          <w:p w14:paraId="63EB6BC5"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p>
        </w:tc>
      </w:tr>
      <w:tr w:rsidR="00012C0B" w:rsidRPr="00012C0B" w14:paraId="6A2D66BF" w14:textId="77777777" w:rsidTr="00012C0B">
        <w:trPr>
          <w:trHeight w:val="347"/>
        </w:trPr>
        <w:tc>
          <w:tcPr>
            <w:tcW w:w="2000"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E2862A5"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b/>
                <w:bCs/>
                <w:szCs w:val="20"/>
                <w:lang w:val="fr-BE" w:eastAsia="en-GB"/>
              </w:rPr>
              <w:t>Call 3</w:t>
            </w:r>
          </w:p>
        </w:tc>
        <w:tc>
          <w:tcPr>
            <w:tcW w:w="7102" w:type="dxa"/>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E5D3E57" w14:textId="77777777" w:rsidR="00012C0B" w:rsidRPr="00012C0B" w:rsidRDefault="00012C0B" w:rsidP="00012C0B">
            <w:pPr>
              <w:spacing w:after="0" w:line="240" w:lineRule="auto"/>
              <w:jc w:val="both"/>
              <w:rPr>
                <w:rFonts w:ascii="Times New Roman" w:eastAsia="Times New Roman" w:hAnsi="Times New Roman" w:cs="Times New Roman"/>
                <w:b/>
                <w:bCs/>
                <w:szCs w:val="20"/>
                <w:lang w:val="en-US" w:eastAsia="en-GB"/>
              </w:rPr>
            </w:pPr>
            <w:r w:rsidRPr="00012C0B">
              <w:rPr>
                <w:rFonts w:ascii="Times New Roman" w:eastAsia="Times New Roman" w:hAnsi="Times New Roman" w:cs="Times New Roman"/>
                <w:b/>
                <w:bCs/>
                <w:szCs w:val="20"/>
                <w:lang w:val="en-US" w:eastAsia="en-GB"/>
              </w:rPr>
              <w:t>8.000 selected projects for an average amount per project of 49000 €</w:t>
            </w:r>
          </w:p>
        </w:tc>
      </w:tr>
      <w:tr w:rsidR="00012C0B" w:rsidRPr="00012C0B" w14:paraId="06A087E6" w14:textId="77777777" w:rsidTr="00012C0B">
        <w:trPr>
          <w:trHeight w:val="235"/>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ACB90BD"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2025</w:t>
            </w:r>
          </w:p>
        </w:tc>
        <w:tc>
          <w:tcPr>
            <w:tcW w:w="128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E7C9D52"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78 400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DAC139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117 600</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D78D95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0374CC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2.4</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448A3F05"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r w:rsidRPr="00012C0B">
              <w:rPr>
                <w:rFonts w:ascii="Times New Roman" w:eastAsia="Times New Roman" w:hAnsi="Times New Roman" w:cs="Times New Roman"/>
                <w:szCs w:val="20"/>
                <w:lang w:val="fr-BE" w:eastAsia="en-GB"/>
              </w:rPr>
              <w:t>8</w:t>
            </w:r>
          </w:p>
        </w:tc>
      </w:tr>
    </w:tbl>
    <w:p w14:paraId="578A374E"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Values in thousand euros, Output in thousand units, Numerator in thousand farmers</w:t>
      </w:r>
    </w:p>
    <w:p w14:paraId="6C788061"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p>
    <w:p w14:paraId="65E1E94B" w14:textId="66CDE67B" w:rsidR="00012C0B" w:rsidRPr="00012C0B" w:rsidRDefault="00012C0B" w:rsidP="00012C0B">
      <w:pPr>
        <w:spacing w:before="120" w:after="12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 xml:space="preserve">Calculation of the </w:t>
      </w:r>
      <w:r w:rsidR="003048D0">
        <w:rPr>
          <w:rFonts w:ascii="Times New Roman" w:eastAsia="Times New Roman" w:hAnsi="Times New Roman" w:cs="Times New Roman"/>
          <w:szCs w:val="20"/>
          <w:lang w:eastAsia="en-GB"/>
        </w:rPr>
        <w:t>result indi</w:t>
      </w:r>
      <w:r w:rsidR="00B45F12">
        <w:rPr>
          <w:rFonts w:ascii="Times New Roman" w:eastAsia="Times New Roman" w:hAnsi="Times New Roman" w:cs="Times New Roman"/>
          <w:szCs w:val="20"/>
          <w:lang w:eastAsia="en-GB"/>
        </w:rPr>
        <w:t>c</w:t>
      </w:r>
      <w:r w:rsidR="003048D0">
        <w:rPr>
          <w:rFonts w:ascii="Times New Roman" w:eastAsia="Times New Roman" w:hAnsi="Times New Roman" w:cs="Times New Roman"/>
          <w:szCs w:val="20"/>
          <w:lang w:eastAsia="en-GB"/>
        </w:rPr>
        <w:t>ator:</w:t>
      </w:r>
    </w:p>
    <w:tbl>
      <w:tblPr>
        <w:tblW w:w="6040" w:type="dxa"/>
        <w:tblInd w:w="108" w:type="dxa"/>
        <w:tblLook w:val="04A0" w:firstRow="1" w:lastRow="0" w:firstColumn="1" w:lastColumn="0" w:noHBand="0" w:noVBand="1"/>
      </w:tblPr>
      <w:tblGrid>
        <w:gridCol w:w="960"/>
        <w:gridCol w:w="2300"/>
        <w:gridCol w:w="1243"/>
        <w:gridCol w:w="1377"/>
        <w:gridCol w:w="960"/>
      </w:tblGrid>
      <w:tr w:rsidR="00012C0B" w:rsidRPr="00012C0B" w14:paraId="043F3E7F" w14:textId="77777777" w:rsidTr="00012C0B">
        <w:trPr>
          <w:trHeight w:val="300"/>
        </w:trPr>
        <w:tc>
          <w:tcPr>
            <w:tcW w:w="960" w:type="dxa"/>
            <w:tcBorders>
              <w:top w:val="nil"/>
              <w:left w:val="nil"/>
              <w:bottom w:val="nil"/>
              <w:right w:val="nil"/>
            </w:tcBorders>
            <w:shd w:val="clear" w:color="auto" w:fill="auto"/>
            <w:noWrap/>
            <w:vAlign w:val="bottom"/>
            <w:hideMark/>
          </w:tcPr>
          <w:p w14:paraId="26BFDD5B" w14:textId="77777777" w:rsidR="00012C0B" w:rsidRPr="00012C0B" w:rsidRDefault="00012C0B" w:rsidP="00012C0B">
            <w:pPr>
              <w:spacing w:after="0" w:line="240" w:lineRule="auto"/>
              <w:jc w:val="both"/>
              <w:rPr>
                <w:rFonts w:ascii="Times New Roman" w:eastAsia="Times New Roman" w:hAnsi="Times New Roman" w:cs="Times New Roman"/>
                <w:szCs w:val="24"/>
                <w:lang w:eastAsia="en-GB"/>
              </w:rPr>
            </w:pP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BB03F"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Numerator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C51F9A"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Denominator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5A320F"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R.9</w:t>
            </w:r>
          </w:p>
        </w:tc>
      </w:tr>
      <w:tr w:rsidR="00012C0B" w:rsidRPr="00012C0B" w14:paraId="24F19076" w14:textId="77777777" w:rsidTr="00012C0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D47D6" w14:textId="77777777" w:rsidR="00012C0B" w:rsidRPr="00012C0B" w:rsidRDefault="00012C0B" w:rsidP="00012C0B">
            <w:pPr>
              <w:spacing w:after="0" w:line="240" w:lineRule="auto"/>
              <w:jc w:val="both"/>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FY</w:t>
            </w:r>
          </w:p>
        </w:tc>
        <w:tc>
          <w:tcPr>
            <w:tcW w:w="2300" w:type="dxa"/>
            <w:tcBorders>
              <w:top w:val="nil"/>
              <w:left w:val="nil"/>
              <w:bottom w:val="single" w:sz="4" w:space="0" w:color="auto"/>
              <w:right w:val="single" w:sz="4" w:space="0" w:color="auto"/>
            </w:tcBorders>
            <w:shd w:val="clear" w:color="auto" w:fill="auto"/>
            <w:noWrap/>
            <w:vAlign w:val="bottom"/>
            <w:hideMark/>
          </w:tcPr>
          <w:p w14:paraId="74C98AF8"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Annual</w:t>
            </w:r>
          </w:p>
        </w:tc>
        <w:tc>
          <w:tcPr>
            <w:tcW w:w="480" w:type="dxa"/>
            <w:tcBorders>
              <w:top w:val="nil"/>
              <w:left w:val="nil"/>
              <w:bottom w:val="single" w:sz="4" w:space="0" w:color="auto"/>
              <w:right w:val="single" w:sz="4" w:space="0" w:color="auto"/>
            </w:tcBorders>
            <w:shd w:val="clear" w:color="auto" w:fill="auto"/>
            <w:noWrap/>
            <w:vAlign w:val="bottom"/>
            <w:hideMark/>
          </w:tcPr>
          <w:p w14:paraId="72E54F1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Cumulative</w:t>
            </w:r>
          </w:p>
        </w:tc>
        <w:tc>
          <w:tcPr>
            <w:tcW w:w="1340" w:type="dxa"/>
            <w:tcBorders>
              <w:top w:val="nil"/>
              <w:left w:val="nil"/>
              <w:bottom w:val="single" w:sz="4" w:space="0" w:color="auto"/>
              <w:right w:val="single" w:sz="4" w:space="0" w:color="auto"/>
            </w:tcBorders>
            <w:shd w:val="clear" w:color="auto" w:fill="auto"/>
            <w:noWrap/>
            <w:vAlign w:val="bottom"/>
            <w:hideMark/>
          </w:tcPr>
          <w:p w14:paraId="62172C7F"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2DE94" w14:textId="77777777" w:rsidR="00012C0B" w:rsidRPr="00012C0B" w:rsidRDefault="00012C0B" w:rsidP="00012C0B">
            <w:pPr>
              <w:spacing w:after="0" w:line="240" w:lineRule="auto"/>
              <w:jc w:val="both"/>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 </w:t>
            </w:r>
          </w:p>
        </w:tc>
      </w:tr>
      <w:tr w:rsidR="00012C0B" w:rsidRPr="00012C0B" w14:paraId="5379F05F"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FB749"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4167631B"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c>
          <w:tcPr>
            <w:tcW w:w="480" w:type="dxa"/>
            <w:tcBorders>
              <w:top w:val="nil"/>
              <w:left w:val="nil"/>
              <w:bottom w:val="single" w:sz="4" w:space="0" w:color="auto"/>
              <w:right w:val="single" w:sz="4" w:space="0" w:color="auto"/>
            </w:tcBorders>
            <w:shd w:val="clear" w:color="auto" w:fill="auto"/>
            <w:noWrap/>
            <w:vAlign w:val="bottom"/>
            <w:hideMark/>
          </w:tcPr>
          <w:p w14:paraId="3651D8C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7CF524B3"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38DD6E5"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r>
      <w:tr w:rsidR="00012C0B" w:rsidRPr="00012C0B" w14:paraId="6F2AD929"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75CE8"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1D83F57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c>
          <w:tcPr>
            <w:tcW w:w="480" w:type="dxa"/>
            <w:tcBorders>
              <w:top w:val="nil"/>
              <w:left w:val="nil"/>
              <w:bottom w:val="single" w:sz="4" w:space="0" w:color="auto"/>
              <w:right w:val="single" w:sz="4" w:space="0" w:color="auto"/>
            </w:tcBorders>
            <w:shd w:val="clear" w:color="auto" w:fill="auto"/>
            <w:noWrap/>
            <w:vAlign w:val="bottom"/>
            <w:hideMark/>
          </w:tcPr>
          <w:p w14:paraId="6A6BBCA0"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4230386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EF02E3E"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r>
      <w:tr w:rsidR="00012C0B" w:rsidRPr="00012C0B" w14:paraId="42B49798"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9F586"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19AD0ACC"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c>
          <w:tcPr>
            <w:tcW w:w="480" w:type="dxa"/>
            <w:tcBorders>
              <w:top w:val="nil"/>
              <w:left w:val="nil"/>
              <w:bottom w:val="single" w:sz="4" w:space="0" w:color="auto"/>
              <w:right w:val="single" w:sz="4" w:space="0" w:color="auto"/>
            </w:tcBorders>
            <w:shd w:val="clear" w:color="auto" w:fill="auto"/>
            <w:noWrap/>
            <w:vAlign w:val="bottom"/>
            <w:hideMark/>
          </w:tcPr>
          <w:p w14:paraId="1E83E3EA"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44CB5D80"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8CEDB0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r>
      <w:tr w:rsidR="00012C0B" w:rsidRPr="00012C0B" w14:paraId="12E755A1"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8811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1DECB475"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14</w:t>
            </w:r>
          </w:p>
        </w:tc>
        <w:tc>
          <w:tcPr>
            <w:tcW w:w="480" w:type="dxa"/>
            <w:tcBorders>
              <w:top w:val="nil"/>
              <w:left w:val="nil"/>
              <w:bottom w:val="single" w:sz="4" w:space="0" w:color="auto"/>
              <w:right w:val="single" w:sz="4" w:space="0" w:color="auto"/>
            </w:tcBorders>
            <w:shd w:val="clear" w:color="auto" w:fill="auto"/>
            <w:noWrap/>
            <w:vAlign w:val="bottom"/>
            <w:hideMark/>
          </w:tcPr>
          <w:p w14:paraId="1CD3BE5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19</w:t>
            </w:r>
          </w:p>
        </w:tc>
        <w:tc>
          <w:tcPr>
            <w:tcW w:w="1340" w:type="dxa"/>
            <w:tcBorders>
              <w:top w:val="nil"/>
              <w:left w:val="nil"/>
              <w:bottom w:val="single" w:sz="4" w:space="0" w:color="auto"/>
              <w:right w:val="single" w:sz="4" w:space="0" w:color="auto"/>
            </w:tcBorders>
            <w:shd w:val="clear" w:color="auto" w:fill="auto"/>
            <w:noWrap/>
            <w:vAlign w:val="bottom"/>
            <w:hideMark/>
          </w:tcPr>
          <w:p w14:paraId="02395D7C"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DC3FDAA"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19%</w:t>
            </w:r>
          </w:p>
        </w:tc>
      </w:tr>
    </w:tbl>
    <w:p w14:paraId="4FCCB710"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Note: in thousand</w:t>
      </w:r>
    </w:p>
    <w:p w14:paraId="7B97B5C7"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lastRenderedPageBreak/>
        <w:t>What if in addition there are investments addressing restructuration and modernisation under sectoral types of interventions?</w:t>
      </w:r>
    </w:p>
    <w:p w14:paraId="062592C0"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b/>
          <w:szCs w:val="20"/>
          <w:u w:val="single"/>
          <w:lang w:eastAsia="en-GB"/>
        </w:rPr>
        <w:t>Assumptions</w:t>
      </w:r>
      <w:r w:rsidRPr="00012C0B">
        <w:rPr>
          <w:rFonts w:ascii="Times New Roman" w:eastAsia="Times New Roman" w:hAnsi="Times New Roman" w:cs="Times New Roman"/>
          <w:szCs w:val="20"/>
          <w:lang w:eastAsia="en-GB"/>
        </w:rPr>
        <w:t>:</w:t>
      </w:r>
    </w:p>
    <w:p w14:paraId="6A7B822D" w14:textId="77777777" w:rsidR="00012C0B" w:rsidRPr="00012C0B" w:rsidRDefault="00012C0B" w:rsidP="005C5386">
      <w:pPr>
        <w:numPr>
          <w:ilvl w:val="1"/>
          <w:numId w:val="20"/>
        </w:numPr>
        <w:spacing w:after="0" w:line="240" w:lineRule="auto"/>
        <w:jc w:val="both"/>
        <w:rPr>
          <w:rFonts w:ascii="Times New Roman" w:eastAsia="Times New Roman" w:hAnsi="Times New Roman" w:cs="Times New Roman"/>
          <w:szCs w:val="20"/>
          <w:lang w:val="en-IE" w:eastAsia="en-GB"/>
        </w:rPr>
      </w:pPr>
      <w:r w:rsidRPr="00012C0B">
        <w:rPr>
          <w:rFonts w:ascii="Times New Roman" w:eastAsia="Times New Roman" w:hAnsi="Times New Roman" w:cs="Times New Roman"/>
          <w:szCs w:val="20"/>
          <w:lang w:val="en-IE" w:eastAsia="en-GB"/>
        </w:rPr>
        <w:t xml:space="preserve">The MS has also designed an intervention “Investment in renewable energy and energy saving” as an environmental intervention for F&amp;V Producer Organisation under Article 43(1)(l). </w:t>
      </w:r>
    </w:p>
    <w:p w14:paraId="1F3DDB8E" w14:textId="77777777" w:rsidR="00012C0B" w:rsidRPr="00012C0B" w:rsidRDefault="00012C0B" w:rsidP="005C5386">
      <w:pPr>
        <w:numPr>
          <w:ilvl w:val="1"/>
          <w:numId w:val="20"/>
        </w:numPr>
        <w:spacing w:after="120" w:line="240" w:lineRule="auto"/>
        <w:ind w:left="1434" w:hanging="357"/>
        <w:jc w:val="both"/>
        <w:rPr>
          <w:rFonts w:ascii="Times New Roman" w:eastAsia="Times New Roman" w:hAnsi="Times New Roman" w:cs="Times New Roman"/>
          <w:szCs w:val="20"/>
          <w:lang w:val="en-IE" w:eastAsia="en-GB"/>
        </w:rPr>
      </w:pPr>
      <w:r w:rsidRPr="00012C0B">
        <w:rPr>
          <w:rFonts w:ascii="Times New Roman" w:eastAsia="Times New Roman" w:hAnsi="Times New Roman" w:cs="Times New Roman"/>
          <w:szCs w:val="20"/>
          <w:lang w:val="en-IE" w:eastAsia="en-GB"/>
        </w:rPr>
        <w:t>The investment can be realised by the PO or by farmers members of the PO</w:t>
      </w:r>
    </w:p>
    <w:tbl>
      <w:tblPr>
        <w:tblW w:w="8260" w:type="dxa"/>
        <w:tblCellMar>
          <w:left w:w="0" w:type="dxa"/>
          <w:right w:w="0" w:type="dxa"/>
        </w:tblCellMar>
        <w:tblLook w:val="0600" w:firstRow="0" w:lastRow="0" w:firstColumn="0" w:lastColumn="0" w:noHBand="1" w:noVBand="1"/>
      </w:tblPr>
      <w:tblGrid>
        <w:gridCol w:w="716"/>
        <w:gridCol w:w="1565"/>
        <w:gridCol w:w="1993"/>
        <w:gridCol w:w="1993"/>
        <w:gridCol w:w="1993"/>
      </w:tblGrid>
      <w:tr w:rsidR="00012C0B" w:rsidRPr="00012C0B" w14:paraId="7FB5623D"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31C9CF2" w14:textId="77777777" w:rsidR="00012C0B" w:rsidRPr="00012C0B" w:rsidRDefault="00012C0B" w:rsidP="00012C0B">
            <w:pPr>
              <w:spacing w:after="0" w:line="240" w:lineRule="auto"/>
              <w:jc w:val="both"/>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val="fr-BE" w:eastAsia="en-GB"/>
              </w:rPr>
              <w:t>FY</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BBDB8E6" w14:textId="77777777" w:rsidR="00012C0B" w:rsidRPr="00012C0B" w:rsidRDefault="00012C0B" w:rsidP="00012C0B">
            <w:pPr>
              <w:spacing w:after="0" w:line="240" w:lineRule="auto"/>
              <w:jc w:val="center"/>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n° of projects for which a first payment was made in FY concerned</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586AFFE2" w14:textId="77777777" w:rsidR="00012C0B" w:rsidRPr="00012C0B" w:rsidRDefault="00012C0B" w:rsidP="00012C0B">
            <w:pPr>
              <w:spacing w:after="0" w:line="240" w:lineRule="auto"/>
              <w:jc w:val="center"/>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Out of which realised by POs</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1BE76103" w14:textId="77777777" w:rsidR="00012C0B" w:rsidRPr="00012C0B" w:rsidRDefault="00012C0B" w:rsidP="00012C0B">
            <w:pPr>
              <w:spacing w:after="0" w:line="240" w:lineRule="auto"/>
              <w:jc w:val="center"/>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Out of which realised by farmers</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168176C0" w14:textId="77777777" w:rsidR="00012C0B" w:rsidRPr="00012C0B" w:rsidRDefault="00012C0B" w:rsidP="00012C0B">
            <w:pPr>
              <w:spacing w:after="0" w:line="240" w:lineRule="auto"/>
              <w:jc w:val="center"/>
              <w:rPr>
                <w:rFonts w:ascii="Times New Roman" w:eastAsia="Times New Roman" w:hAnsi="Times New Roman" w:cs="Times New Roman"/>
                <w:b/>
                <w:szCs w:val="20"/>
                <w:lang w:eastAsia="en-GB"/>
              </w:rPr>
            </w:pPr>
            <w:r w:rsidRPr="00012C0B">
              <w:rPr>
                <w:rFonts w:ascii="Times New Roman" w:eastAsia="Times New Roman" w:hAnsi="Times New Roman" w:cs="Times New Roman"/>
                <w:b/>
                <w:szCs w:val="20"/>
                <w:lang w:eastAsia="en-GB"/>
              </w:rPr>
              <w:t>Out of which farmers not receiving RD support</w:t>
            </w:r>
          </w:p>
        </w:tc>
      </w:tr>
      <w:tr w:rsidR="00012C0B" w:rsidRPr="00012C0B" w14:paraId="3B61422E"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C86AABB"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2022</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550A96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02802D7D"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0A5DD00F"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4C03730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p>
        </w:tc>
      </w:tr>
      <w:tr w:rsidR="00012C0B" w:rsidRPr="00012C0B" w14:paraId="3D7F5875"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D34BD6C"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2023</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B53A27E"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400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28D6F7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250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6FA5B89"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150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6D9663CB"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140</w:t>
            </w:r>
          </w:p>
        </w:tc>
      </w:tr>
      <w:tr w:rsidR="00012C0B" w:rsidRPr="00012C0B" w14:paraId="213BB927" w14:textId="77777777" w:rsidTr="00012C0B">
        <w:trPr>
          <w:trHeight w:val="300"/>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9716821"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2024</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EB49BD8"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val="fr-BE" w:eastAsia="en-GB"/>
              </w:rPr>
              <w:t>380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1CB8FDA"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r w:rsidRPr="00012C0B">
              <w:rPr>
                <w:rFonts w:ascii="Times New Roman" w:eastAsia="Times New Roman" w:hAnsi="Times New Roman" w:cs="Times New Roman"/>
                <w:szCs w:val="20"/>
                <w:lang w:val="fr-BE" w:eastAsia="en-GB"/>
              </w:rPr>
              <w:t>200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195A64B5"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r w:rsidRPr="00012C0B">
              <w:rPr>
                <w:rFonts w:ascii="Times New Roman" w:eastAsia="Times New Roman" w:hAnsi="Times New Roman" w:cs="Times New Roman"/>
                <w:szCs w:val="20"/>
                <w:lang w:val="fr-BE" w:eastAsia="en-GB"/>
              </w:rPr>
              <w:t>180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3BD6244F" w14:textId="77777777" w:rsidR="00012C0B" w:rsidRPr="00012C0B" w:rsidRDefault="00012C0B" w:rsidP="00012C0B">
            <w:pPr>
              <w:spacing w:after="0" w:line="240" w:lineRule="auto"/>
              <w:jc w:val="center"/>
              <w:rPr>
                <w:rFonts w:ascii="Times New Roman" w:eastAsia="Times New Roman" w:hAnsi="Times New Roman" w:cs="Times New Roman"/>
                <w:szCs w:val="20"/>
                <w:lang w:val="fr-BE" w:eastAsia="en-GB"/>
              </w:rPr>
            </w:pPr>
            <w:r w:rsidRPr="00012C0B">
              <w:rPr>
                <w:rFonts w:ascii="Times New Roman" w:eastAsia="Times New Roman" w:hAnsi="Times New Roman" w:cs="Times New Roman"/>
                <w:szCs w:val="20"/>
                <w:lang w:val="fr-BE" w:eastAsia="en-GB"/>
              </w:rPr>
              <w:t>170</w:t>
            </w:r>
          </w:p>
        </w:tc>
      </w:tr>
      <w:tr w:rsidR="00012C0B" w:rsidRPr="00012C0B" w14:paraId="79B9423E" w14:textId="77777777" w:rsidTr="00012C0B">
        <w:trPr>
          <w:trHeight w:val="347"/>
        </w:trPr>
        <w:tc>
          <w:tcPr>
            <w:tcW w:w="7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B3AC777" w14:textId="77777777" w:rsidR="00012C0B" w:rsidRPr="00012C0B" w:rsidRDefault="00012C0B" w:rsidP="00012C0B">
            <w:pPr>
              <w:spacing w:after="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2025</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902DFD8"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420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E52437A"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300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4F36947"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120</w:t>
            </w:r>
          </w:p>
        </w:tc>
        <w:tc>
          <w:tcPr>
            <w:tcW w:w="1993" w:type="dxa"/>
            <w:tcBorders>
              <w:top w:val="single" w:sz="8" w:space="0" w:color="FFFFFF"/>
              <w:left w:val="single" w:sz="8" w:space="0" w:color="FFFFFF"/>
              <w:bottom w:val="single" w:sz="8" w:space="0" w:color="FFFFFF"/>
              <w:right w:val="single" w:sz="8" w:space="0" w:color="FFFFFF"/>
            </w:tcBorders>
            <w:shd w:val="clear" w:color="auto" w:fill="EAEFF7"/>
          </w:tcPr>
          <w:p w14:paraId="291A86FC" w14:textId="77777777" w:rsidR="00012C0B" w:rsidRPr="00012C0B" w:rsidRDefault="00012C0B" w:rsidP="00012C0B">
            <w:pPr>
              <w:spacing w:after="0" w:line="240" w:lineRule="auto"/>
              <w:jc w:val="center"/>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120</w:t>
            </w:r>
          </w:p>
        </w:tc>
      </w:tr>
    </w:tbl>
    <w:p w14:paraId="532F366A" w14:textId="77777777" w:rsidR="00012C0B" w:rsidRPr="00012C0B" w:rsidRDefault="00012C0B" w:rsidP="00012C0B">
      <w:pPr>
        <w:spacing w:before="120" w:after="12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Calculation of the RI</w:t>
      </w:r>
    </w:p>
    <w:tbl>
      <w:tblPr>
        <w:tblW w:w="7045" w:type="dxa"/>
        <w:tblInd w:w="108" w:type="dxa"/>
        <w:tblLook w:val="04A0" w:firstRow="1" w:lastRow="0" w:firstColumn="1" w:lastColumn="0" w:noHBand="0" w:noVBand="1"/>
      </w:tblPr>
      <w:tblGrid>
        <w:gridCol w:w="960"/>
        <w:gridCol w:w="2300"/>
        <w:gridCol w:w="1560"/>
        <w:gridCol w:w="1377"/>
        <w:gridCol w:w="960"/>
      </w:tblGrid>
      <w:tr w:rsidR="00012C0B" w:rsidRPr="00012C0B" w14:paraId="02B74213" w14:textId="77777777" w:rsidTr="00012C0B">
        <w:trPr>
          <w:trHeight w:val="300"/>
        </w:trPr>
        <w:tc>
          <w:tcPr>
            <w:tcW w:w="960" w:type="dxa"/>
            <w:tcBorders>
              <w:top w:val="nil"/>
              <w:left w:val="nil"/>
              <w:bottom w:val="nil"/>
              <w:right w:val="nil"/>
            </w:tcBorders>
            <w:shd w:val="clear" w:color="auto" w:fill="auto"/>
            <w:noWrap/>
            <w:vAlign w:val="bottom"/>
            <w:hideMark/>
          </w:tcPr>
          <w:p w14:paraId="55475DF1" w14:textId="77777777" w:rsidR="00012C0B" w:rsidRPr="00012C0B" w:rsidRDefault="00012C0B" w:rsidP="00012C0B">
            <w:pPr>
              <w:spacing w:after="0" w:line="240" w:lineRule="auto"/>
              <w:jc w:val="both"/>
              <w:rPr>
                <w:rFonts w:ascii="Times New Roman" w:eastAsia="Times New Roman" w:hAnsi="Times New Roman" w:cs="Times New Roman"/>
                <w:szCs w:val="24"/>
                <w:lang w:eastAsia="en-GB"/>
              </w:rPr>
            </w:pPr>
          </w:p>
        </w:tc>
        <w:tc>
          <w:tcPr>
            <w:tcW w:w="3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D3CC"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Numerator</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4B290C8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Denominator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D19113"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R.9</w:t>
            </w:r>
          </w:p>
        </w:tc>
      </w:tr>
      <w:tr w:rsidR="00012C0B" w:rsidRPr="00012C0B" w14:paraId="75B5A1A0" w14:textId="77777777" w:rsidTr="00012C0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E80E9" w14:textId="77777777" w:rsidR="00012C0B" w:rsidRPr="00012C0B" w:rsidRDefault="00012C0B" w:rsidP="00012C0B">
            <w:pPr>
              <w:spacing w:after="0" w:line="240" w:lineRule="auto"/>
              <w:jc w:val="both"/>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FY</w:t>
            </w:r>
          </w:p>
        </w:tc>
        <w:tc>
          <w:tcPr>
            <w:tcW w:w="2300" w:type="dxa"/>
            <w:tcBorders>
              <w:top w:val="nil"/>
              <w:left w:val="nil"/>
              <w:bottom w:val="single" w:sz="4" w:space="0" w:color="auto"/>
              <w:right w:val="single" w:sz="4" w:space="0" w:color="auto"/>
            </w:tcBorders>
            <w:shd w:val="clear" w:color="auto" w:fill="auto"/>
            <w:noWrap/>
            <w:vAlign w:val="bottom"/>
            <w:hideMark/>
          </w:tcPr>
          <w:p w14:paraId="69543DD9"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Cumulative F&amp;V</w:t>
            </w:r>
          </w:p>
        </w:tc>
        <w:tc>
          <w:tcPr>
            <w:tcW w:w="1560" w:type="dxa"/>
            <w:tcBorders>
              <w:top w:val="nil"/>
              <w:left w:val="nil"/>
              <w:bottom w:val="single" w:sz="4" w:space="0" w:color="auto"/>
              <w:right w:val="single" w:sz="4" w:space="0" w:color="auto"/>
            </w:tcBorders>
            <w:shd w:val="clear" w:color="auto" w:fill="auto"/>
            <w:noWrap/>
            <w:vAlign w:val="bottom"/>
            <w:hideMark/>
          </w:tcPr>
          <w:p w14:paraId="5FD59F32"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Cumulative RD</w:t>
            </w:r>
          </w:p>
        </w:tc>
        <w:tc>
          <w:tcPr>
            <w:tcW w:w="1265" w:type="dxa"/>
            <w:tcBorders>
              <w:top w:val="nil"/>
              <w:left w:val="nil"/>
              <w:bottom w:val="single" w:sz="4" w:space="0" w:color="auto"/>
              <w:right w:val="single" w:sz="4" w:space="0" w:color="auto"/>
            </w:tcBorders>
            <w:shd w:val="clear" w:color="auto" w:fill="auto"/>
            <w:noWrap/>
            <w:vAlign w:val="bottom"/>
            <w:hideMark/>
          </w:tcPr>
          <w:p w14:paraId="21493A8D"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57F098" w14:textId="77777777" w:rsidR="00012C0B" w:rsidRPr="00012C0B" w:rsidRDefault="00012C0B" w:rsidP="00012C0B">
            <w:pPr>
              <w:spacing w:after="0" w:line="240" w:lineRule="auto"/>
              <w:jc w:val="both"/>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 </w:t>
            </w:r>
          </w:p>
        </w:tc>
      </w:tr>
      <w:tr w:rsidR="00012C0B" w:rsidRPr="00012C0B" w14:paraId="258D5876"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66FFC"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2022</w:t>
            </w:r>
          </w:p>
        </w:tc>
        <w:tc>
          <w:tcPr>
            <w:tcW w:w="2300" w:type="dxa"/>
            <w:tcBorders>
              <w:top w:val="nil"/>
              <w:left w:val="nil"/>
              <w:bottom w:val="single" w:sz="4" w:space="0" w:color="auto"/>
              <w:right w:val="single" w:sz="4" w:space="0" w:color="auto"/>
            </w:tcBorders>
            <w:shd w:val="clear" w:color="auto" w:fill="auto"/>
            <w:noWrap/>
            <w:vAlign w:val="bottom"/>
            <w:hideMark/>
          </w:tcPr>
          <w:p w14:paraId="1602EFF0"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c>
          <w:tcPr>
            <w:tcW w:w="1560" w:type="dxa"/>
            <w:tcBorders>
              <w:top w:val="nil"/>
              <w:left w:val="nil"/>
              <w:bottom w:val="single" w:sz="4" w:space="0" w:color="auto"/>
              <w:right w:val="single" w:sz="4" w:space="0" w:color="auto"/>
            </w:tcBorders>
            <w:shd w:val="clear" w:color="auto" w:fill="auto"/>
            <w:noWrap/>
            <w:vAlign w:val="bottom"/>
            <w:hideMark/>
          </w:tcPr>
          <w:p w14:paraId="09BB986B"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c>
          <w:tcPr>
            <w:tcW w:w="1265" w:type="dxa"/>
            <w:tcBorders>
              <w:top w:val="nil"/>
              <w:left w:val="nil"/>
              <w:bottom w:val="single" w:sz="4" w:space="0" w:color="auto"/>
              <w:right w:val="single" w:sz="4" w:space="0" w:color="auto"/>
            </w:tcBorders>
            <w:shd w:val="clear" w:color="auto" w:fill="auto"/>
            <w:noWrap/>
            <w:vAlign w:val="bottom"/>
            <w:hideMark/>
          </w:tcPr>
          <w:p w14:paraId="7CD2E642"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1D86451"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w:t>
            </w:r>
          </w:p>
        </w:tc>
      </w:tr>
      <w:tr w:rsidR="00012C0B" w:rsidRPr="00012C0B" w14:paraId="38C346B7"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8762F6"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2023</w:t>
            </w:r>
          </w:p>
        </w:tc>
        <w:tc>
          <w:tcPr>
            <w:tcW w:w="2300" w:type="dxa"/>
            <w:tcBorders>
              <w:top w:val="nil"/>
              <w:left w:val="nil"/>
              <w:bottom w:val="single" w:sz="4" w:space="0" w:color="auto"/>
              <w:right w:val="single" w:sz="4" w:space="0" w:color="auto"/>
            </w:tcBorders>
            <w:shd w:val="clear" w:color="auto" w:fill="auto"/>
            <w:noWrap/>
            <w:vAlign w:val="bottom"/>
            <w:hideMark/>
          </w:tcPr>
          <w:p w14:paraId="76EC44C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0.14</w:t>
            </w:r>
          </w:p>
        </w:tc>
        <w:tc>
          <w:tcPr>
            <w:tcW w:w="1560" w:type="dxa"/>
            <w:tcBorders>
              <w:top w:val="nil"/>
              <w:left w:val="nil"/>
              <w:bottom w:val="single" w:sz="4" w:space="0" w:color="auto"/>
              <w:right w:val="single" w:sz="4" w:space="0" w:color="auto"/>
            </w:tcBorders>
            <w:shd w:val="clear" w:color="auto" w:fill="auto"/>
            <w:noWrap/>
            <w:vAlign w:val="bottom"/>
            <w:hideMark/>
          </w:tcPr>
          <w:p w14:paraId="6117056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c>
          <w:tcPr>
            <w:tcW w:w="1265" w:type="dxa"/>
            <w:tcBorders>
              <w:top w:val="nil"/>
              <w:left w:val="nil"/>
              <w:bottom w:val="single" w:sz="4" w:space="0" w:color="auto"/>
              <w:right w:val="single" w:sz="4" w:space="0" w:color="auto"/>
            </w:tcBorders>
            <w:shd w:val="clear" w:color="auto" w:fill="auto"/>
            <w:noWrap/>
            <w:vAlign w:val="bottom"/>
            <w:hideMark/>
          </w:tcPr>
          <w:p w14:paraId="4B36C6A3"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F6F37FB"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5.14%</w:t>
            </w:r>
          </w:p>
        </w:tc>
      </w:tr>
      <w:tr w:rsidR="00012C0B" w:rsidRPr="00012C0B" w14:paraId="23D51181"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CAC9A"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2024</w:t>
            </w:r>
          </w:p>
        </w:tc>
        <w:tc>
          <w:tcPr>
            <w:tcW w:w="2300" w:type="dxa"/>
            <w:tcBorders>
              <w:top w:val="nil"/>
              <w:left w:val="nil"/>
              <w:bottom w:val="single" w:sz="4" w:space="0" w:color="auto"/>
              <w:right w:val="single" w:sz="4" w:space="0" w:color="auto"/>
            </w:tcBorders>
            <w:shd w:val="clear" w:color="auto" w:fill="auto"/>
            <w:noWrap/>
            <w:vAlign w:val="bottom"/>
            <w:hideMark/>
          </w:tcPr>
          <w:p w14:paraId="67F66CC8"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0.31</w:t>
            </w:r>
          </w:p>
        </w:tc>
        <w:tc>
          <w:tcPr>
            <w:tcW w:w="1560" w:type="dxa"/>
            <w:tcBorders>
              <w:top w:val="nil"/>
              <w:left w:val="nil"/>
              <w:bottom w:val="single" w:sz="4" w:space="0" w:color="auto"/>
              <w:right w:val="single" w:sz="4" w:space="0" w:color="auto"/>
            </w:tcBorders>
            <w:shd w:val="clear" w:color="auto" w:fill="auto"/>
            <w:noWrap/>
            <w:vAlign w:val="bottom"/>
            <w:hideMark/>
          </w:tcPr>
          <w:p w14:paraId="73B81084"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w:t>
            </w:r>
          </w:p>
        </w:tc>
        <w:tc>
          <w:tcPr>
            <w:tcW w:w="1265" w:type="dxa"/>
            <w:tcBorders>
              <w:top w:val="nil"/>
              <w:left w:val="nil"/>
              <w:bottom w:val="single" w:sz="4" w:space="0" w:color="auto"/>
              <w:right w:val="single" w:sz="4" w:space="0" w:color="auto"/>
            </w:tcBorders>
            <w:shd w:val="clear" w:color="auto" w:fill="auto"/>
            <w:noWrap/>
            <w:vAlign w:val="bottom"/>
            <w:hideMark/>
          </w:tcPr>
          <w:p w14:paraId="775E8C50"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139DCB7"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5.31%</w:t>
            </w:r>
          </w:p>
        </w:tc>
      </w:tr>
      <w:tr w:rsidR="00012C0B" w:rsidRPr="00012C0B" w14:paraId="06B819D9" w14:textId="77777777" w:rsidTr="00012C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D3E1B"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2025</w:t>
            </w:r>
          </w:p>
        </w:tc>
        <w:tc>
          <w:tcPr>
            <w:tcW w:w="2300" w:type="dxa"/>
            <w:tcBorders>
              <w:top w:val="nil"/>
              <w:left w:val="nil"/>
              <w:bottom w:val="single" w:sz="4" w:space="0" w:color="auto"/>
              <w:right w:val="single" w:sz="4" w:space="0" w:color="auto"/>
            </w:tcBorders>
            <w:shd w:val="clear" w:color="auto" w:fill="auto"/>
            <w:noWrap/>
            <w:vAlign w:val="bottom"/>
            <w:hideMark/>
          </w:tcPr>
          <w:p w14:paraId="571478A6"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0.43</w:t>
            </w:r>
          </w:p>
        </w:tc>
        <w:tc>
          <w:tcPr>
            <w:tcW w:w="1560" w:type="dxa"/>
            <w:tcBorders>
              <w:top w:val="nil"/>
              <w:left w:val="nil"/>
              <w:bottom w:val="single" w:sz="4" w:space="0" w:color="auto"/>
              <w:right w:val="single" w:sz="4" w:space="0" w:color="auto"/>
            </w:tcBorders>
            <w:shd w:val="clear" w:color="auto" w:fill="auto"/>
            <w:noWrap/>
            <w:vAlign w:val="bottom"/>
            <w:hideMark/>
          </w:tcPr>
          <w:p w14:paraId="47654A93"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19</w:t>
            </w:r>
          </w:p>
        </w:tc>
        <w:tc>
          <w:tcPr>
            <w:tcW w:w="1265" w:type="dxa"/>
            <w:tcBorders>
              <w:top w:val="nil"/>
              <w:left w:val="nil"/>
              <w:bottom w:val="single" w:sz="4" w:space="0" w:color="auto"/>
              <w:right w:val="single" w:sz="4" w:space="0" w:color="auto"/>
            </w:tcBorders>
            <w:shd w:val="clear" w:color="auto" w:fill="auto"/>
            <w:noWrap/>
            <w:vAlign w:val="bottom"/>
            <w:hideMark/>
          </w:tcPr>
          <w:p w14:paraId="13EAD42E"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2DA95F8" w14:textId="77777777" w:rsidR="00012C0B" w:rsidRPr="00012C0B" w:rsidRDefault="00012C0B" w:rsidP="00012C0B">
            <w:pPr>
              <w:spacing w:after="0" w:line="240" w:lineRule="auto"/>
              <w:jc w:val="center"/>
              <w:rPr>
                <w:rFonts w:ascii="Times New Roman" w:eastAsia="Times New Roman" w:hAnsi="Times New Roman" w:cs="Times New Roman"/>
                <w:color w:val="000000"/>
                <w:szCs w:val="24"/>
                <w:lang w:eastAsia="en-GB"/>
              </w:rPr>
            </w:pPr>
            <w:r w:rsidRPr="00012C0B">
              <w:rPr>
                <w:rFonts w:ascii="Times New Roman" w:eastAsia="Times New Roman" w:hAnsi="Times New Roman" w:cs="Times New Roman"/>
                <w:color w:val="000000"/>
                <w:szCs w:val="24"/>
                <w:lang w:eastAsia="en-GB"/>
              </w:rPr>
              <w:t>19.43%</w:t>
            </w:r>
          </w:p>
        </w:tc>
      </w:tr>
    </w:tbl>
    <w:p w14:paraId="5FC449A2" w14:textId="77777777" w:rsidR="00012C0B" w:rsidRPr="00012C0B" w:rsidRDefault="00012C0B" w:rsidP="00012C0B">
      <w:pPr>
        <w:spacing w:after="240" w:line="240" w:lineRule="auto"/>
        <w:jc w:val="both"/>
        <w:rPr>
          <w:rFonts w:ascii="Times New Roman" w:eastAsia="Times New Roman" w:hAnsi="Times New Roman" w:cs="Times New Roman"/>
          <w:szCs w:val="20"/>
          <w:lang w:eastAsia="en-GB"/>
        </w:rPr>
      </w:pPr>
      <w:r w:rsidRPr="00012C0B">
        <w:rPr>
          <w:rFonts w:ascii="Times New Roman" w:eastAsia="Times New Roman" w:hAnsi="Times New Roman" w:cs="Times New Roman"/>
          <w:szCs w:val="20"/>
          <w:lang w:eastAsia="en-GB"/>
        </w:rPr>
        <w:t>Note: in thousand</w:t>
      </w:r>
    </w:p>
    <w:p w14:paraId="0849C7B6" w14:textId="77777777" w:rsidR="00F13E9D" w:rsidRDefault="00F13E9D" w:rsidP="00A82615">
      <w:pPr>
        <w:spacing w:after="120" w:line="264" w:lineRule="auto"/>
        <w:jc w:val="center"/>
        <w:rPr>
          <w:rFonts w:ascii="Times New Roman" w:hAnsi="Times New Roman" w:cs="Times New Roman"/>
          <w:b/>
        </w:rPr>
      </w:pPr>
    </w:p>
    <w:p w14:paraId="117F4E43" w14:textId="77777777" w:rsidR="00012C0B" w:rsidRDefault="00012C0B" w:rsidP="00A82615">
      <w:pPr>
        <w:spacing w:after="120" w:line="264" w:lineRule="auto"/>
        <w:jc w:val="center"/>
        <w:rPr>
          <w:rFonts w:ascii="Times New Roman" w:hAnsi="Times New Roman" w:cs="Times New Roman"/>
          <w:b/>
        </w:rPr>
      </w:pPr>
    </w:p>
    <w:p w14:paraId="5BEA1C35" w14:textId="77777777" w:rsidR="00F13E9D" w:rsidRDefault="00F13E9D" w:rsidP="00A82615">
      <w:pPr>
        <w:spacing w:after="120" w:line="264" w:lineRule="auto"/>
        <w:jc w:val="center"/>
        <w:rPr>
          <w:rFonts w:ascii="Times New Roman" w:hAnsi="Times New Roman" w:cs="Times New Roman"/>
          <w:b/>
        </w:rPr>
      </w:pPr>
    </w:p>
    <w:p w14:paraId="3F48FC1D" w14:textId="77777777" w:rsidR="00F13E9D" w:rsidRDefault="00F13E9D" w:rsidP="00A82615">
      <w:pPr>
        <w:spacing w:after="120" w:line="264" w:lineRule="auto"/>
        <w:jc w:val="center"/>
        <w:rPr>
          <w:rFonts w:ascii="Times New Roman" w:hAnsi="Times New Roman" w:cs="Times New Roman"/>
          <w:b/>
        </w:rPr>
        <w:sectPr w:rsidR="00F13E9D">
          <w:pgSz w:w="12240" w:h="15840"/>
          <w:pgMar w:top="1440" w:right="1440" w:bottom="1440" w:left="1440" w:header="708" w:footer="708" w:gutter="0"/>
          <w:cols w:space="708"/>
          <w:docGrid w:linePitch="360"/>
        </w:sectPr>
      </w:pPr>
    </w:p>
    <w:p w14:paraId="6DFCBCB9" w14:textId="0647150F" w:rsidR="00012C0B" w:rsidRPr="000B58DB" w:rsidRDefault="00243EB7" w:rsidP="000B58DB">
      <w:pPr>
        <w:pStyle w:val="Heading1"/>
        <w:rPr>
          <w:rFonts w:ascii="Times New Roman" w:hAnsi="Times New Roman" w:cs="Times New Roman"/>
          <w:color w:val="C45911" w:themeColor="accent2" w:themeShade="BF"/>
        </w:rPr>
      </w:pPr>
      <w:bookmarkStart w:id="48" w:name="_Toc126762235"/>
      <w:r w:rsidRPr="000B58DB">
        <w:rPr>
          <w:rFonts w:ascii="Times New Roman" w:hAnsi="Times New Roman" w:cs="Times New Roman"/>
          <w:color w:val="C45911" w:themeColor="accent2" w:themeShade="BF"/>
          <w:u w:val="single"/>
        </w:rPr>
        <w:lastRenderedPageBreak/>
        <w:t xml:space="preserve">Annex </w:t>
      </w:r>
      <w:r w:rsidR="00012C0B" w:rsidRPr="000B58DB">
        <w:rPr>
          <w:rFonts w:ascii="Times New Roman" w:hAnsi="Times New Roman" w:cs="Times New Roman"/>
          <w:color w:val="C45911" w:themeColor="accent2" w:themeShade="BF"/>
          <w:u w:val="single"/>
        </w:rPr>
        <w:t>X</w:t>
      </w:r>
      <w:r w:rsidR="000B58DB" w:rsidRPr="000B58DB">
        <w:rPr>
          <w:rFonts w:ascii="Times New Roman" w:hAnsi="Times New Roman" w:cs="Times New Roman"/>
          <w:color w:val="C45911" w:themeColor="accent2" w:themeShade="BF"/>
        </w:rPr>
        <w:t xml:space="preserve">: </w:t>
      </w:r>
      <w:r w:rsidR="00012C0B" w:rsidRPr="000B58DB">
        <w:rPr>
          <w:rFonts w:ascii="Times New Roman" w:hAnsi="Times New Roman" w:cs="Times New Roman"/>
          <w:color w:val="C45911" w:themeColor="accent2" w:themeShade="BF"/>
        </w:rPr>
        <w:t>How to calculate R.6</w:t>
      </w:r>
      <w:r w:rsidR="002248C8" w:rsidRPr="000B58DB">
        <w:rPr>
          <w:rFonts w:ascii="Times New Roman" w:hAnsi="Times New Roman" w:cs="Times New Roman"/>
          <w:color w:val="C45911" w:themeColor="accent2" w:themeShade="BF"/>
        </w:rPr>
        <w:t xml:space="preserve">, </w:t>
      </w:r>
      <w:r w:rsidR="00012C0B" w:rsidRPr="000B58DB">
        <w:rPr>
          <w:rFonts w:ascii="Times New Roman" w:hAnsi="Times New Roman" w:cs="Times New Roman"/>
          <w:color w:val="C45911" w:themeColor="accent2" w:themeShade="BF"/>
        </w:rPr>
        <w:t>R.7</w:t>
      </w:r>
      <w:r w:rsidR="00347FCC" w:rsidRPr="000B58DB">
        <w:rPr>
          <w:rFonts w:ascii="Times New Roman" w:hAnsi="Times New Roman" w:cs="Times New Roman"/>
          <w:color w:val="C45911" w:themeColor="accent2" w:themeShade="BF"/>
        </w:rPr>
        <w:t xml:space="preserve"> and R.43</w:t>
      </w:r>
      <w:bookmarkEnd w:id="48"/>
    </w:p>
    <w:p w14:paraId="13E0FD65" w14:textId="77777777" w:rsidR="00012C0B" w:rsidRPr="000B58DB" w:rsidRDefault="00012C0B" w:rsidP="00012C0B">
      <w:pPr>
        <w:spacing w:before="120" w:after="120" w:line="240" w:lineRule="auto"/>
        <w:jc w:val="center"/>
        <w:rPr>
          <w:rFonts w:ascii="Times New Roman" w:eastAsia="Times New Roman" w:hAnsi="Times New Roman" w:cs="Times New Roman"/>
          <w:b/>
          <w:sz w:val="10"/>
          <w:szCs w:val="20"/>
          <w:lang w:eastAsia="en-GB"/>
        </w:rPr>
      </w:pPr>
    </w:p>
    <w:p w14:paraId="3965CCA8" w14:textId="77777777" w:rsidR="00012C0B" w:rsidRPr="0081538F" w:rsidRDefault="00012C0B" w:rsidP="00012C0B">
      <w:pPr>
        <w:spacing w:after="240" w:line="240" w:lineRule="auto"/>
        <w:jc w:val="center"/>
        <w:rPr>
          <w:rFonts w:ascii="Times New Roman" w:eastAsia="Times New Roman" w:hAnsi="Times New Roman" w:cs="Times New Roman"/>
          <w:szCs w:val="20"/>
          <w:lang w:eastAsia="en-GB"/>
        </w:rPr>
      </w:pPr>
      <w:r w:rsidRPr="0081538F">
        <w:rPr>
          <w:rFonts w:ascii="Times New Roman" w:eastAsia="Times New Roman" w:hAnsi="Times New Roman" w:cs="Times New Roman"/>
          <w:b/>
          <w:szCs w:val="20"/>
          <w:u w:val="single"/>
          <w:lang w:eastAsia="en-GB"/>
        </w:rPr>
        <w:t>Example 1:</w:t>
      </w:r>
      <w:r w:rsidRPr="0081538F">
        <w:rPr>
          <w:rFonts w:ascii="Times New Roman" w:eastAsia="Times New Roman" w:hAnsi="Times New Roman" w:cs="Times New Roman"/>
          <w:szCs w:val="20"/>
          <w:lang w:eastAsia="en-GB"/>
        </w:rPr>
        <w:t xml:space="preserve"> </w:t>
      </w:r>
      <w:r w:rsidRPr="0081538F">
        <w:rPr>
          <w:rFonts w:ascii="Times New Roman" w:eastAsia="Times New Roman" w:hAnsi="Times New Roman" w:cs="Times New Roman"/>
          <w:b/>
          <w:szCs w:val="20"/>
          <w:lang w:eastAsia="en-GB"/>
        </w:rPr>
        <w:t>R.6 Redistribution to smaller farms</w:t>
      </w:r>
      <w:r w:rsidRPr="0081538F">
        <w:rPr>
          <w:rFonts w:ascii="Times New Roman" w:eastAsia="Times New Roman" w:hAnsi="Times New Roman" w:cs="Times New Roman"/>
          <w:szCs w:val="20"/>
          <w:lang w:eastAsia="en-GB"/>
        </w:rPr>
        <w:t>: Percentage additional direct payments per hectare for eligible farms below average farm size (compared to average).</w:t>
      </w:r>
    </w:p>
    <w:p w14:paraId="11690F04" w14:textId="77777777" w:rsidR="00012C0B" w:rsidRPr="0081538F" w:rsidRDefault="00012C0B" w:rsidP="00012C0B">
      <w:pPr>
        <w:spacing w:after="240" w:line="240" w:lineRule="auto"/>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Assumptions regarding the direct payments concerned:</w:t>
      </w:r>
    </w:p>
    <w:p w14:paraId="0671D8F5"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Basic Income support for sustainability (BISS): 160 EUR/ha</w:t>
      </w:r>
    </w:p>
    <w:p w14:paraId="589CF3F0"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Complementary redistributive income support for sustainability (CRISS): 40 EUR/</w:t>
      </w:r>
      <w:r w:rsidR="00674DAD">
        <w:rPr>
          <w:rFonts w:ascii="Times New Roman" w:eastAsia="Times New Roman" w:hAnsi="Times New Roman" w:cs="Times New Roman"/>
          <w:color w:val="000000"/>
        </w:rPr>
        <w:t>hectare</w:t>
      </w:r>
      <w:r w:rsidRPr="0081538F">
        <w:rPr>
          <w:rFonts w:ascii="Times New Roman" w:eastAsia="Times New Roman" w:hAnsi="Times New Roman" w:cs="Times New Roman"/>
          <w:color w:val="000000"/>
        </w:rPr>
        <w:t xml:space="preserve"> on the first 20 ha</w:t>
      </w:r>
    </w:p>
    <w:p w14:paraId="18471C3A"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Round sum payment for small farmers: 900 EUR/beneficiary</w:t>
      </w:r>
    </w:p>
    <w:p w14:paraId="7B128EF8"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Complementary income support for young farmers (CIS-YF): 30 EUR/</w:t>
      </w:r>
      <w:r w:rsidR="00674DAD">
        <w:rPr>
          <w:rFonts w:ascii="Times New Roman" w:eastAsia="Times New Roman" w:hAnsi="Times New Roman" w:cs="Times New Roman"/>
          <w:color w:val="000000"/>
        </w:rPr>
        <w:t>hectare</w:t>
      </w:r>
    </w:p>
    <w:p w14:paraId="1203BF40"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Eco-scheme: 30 EUR/</w:t>
      </w:r>
      <w:r w:rsidR="00674DAD">
        <w:rPr>
          <w:rFonts w:ascii="Times New Roman" w:eastAsia="Times New Roman" w:hAnsi="Times New Roman" w:cs="Times New Roman"/>
          <w:color w:val="000000"/>
        </w:rPr>
        <w:t>hectare</w:t>
      </w:r>
      <w:r w:rsidRPr="0081538F">
        <w:rPr>
          <w:rFonts w:ascii="Times New Roman" w:eastAsia="Times New Roman" w:hAnsi="Times New Roman" w:cs="Times New Roman"/>
          <w:color w:val="000000"/>
        </w:rPr>
        <w:t xml:space="preserve"> on average</w:t>
      </w:r>
    </w:p>
    <w:p w14:paraId="34CCB72B"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sz w:val="24"/>
          <w:szCs w:val="24"/>
        </w:rPr>
      </w:pPr>
      <w:r w:rsidRPr="0081538F">
        <w:rPr>
          <w:rFonts w:ascii="Times New Roman" w:eastAsia="Times New Roman" w:hAnsi="Times New Roman" w:cs="Times New Roman"/>
          <w:color w:val="000000"/>
        </w:rPr>
        <w:t>Some coupled payments</w:t>
      </w:r>
    </w:p>
    <w:p w14:paraId="2C9BB9F3" w14:textId="77777777" w:rsidR="00012C0B" w:rsidRPr="0081538F" w:rsidRDefault="00012C0B" w:rsidP="00012C0B">
      <w:pPr>
        <w:spacing w:after="240" w:line="240" w:lineRule="auto"/>
        <w:jc w:val="center"/>
        <w:rPr>
          <w:rFonts w:ascii="Times New Roman" w:eastAsia="Times New Roman" w:hAnsi="Times New Roman" w:cs="Times New Roman"/>
          <w:szCs w:val="20"/>
          <w:lang w:eastAsia="en-GB"/>
        </w:rPr>
      </w:pPr>
    </w:p>
    <w:p w14:paraId="6D396422" w14:textId="77777777" w:rsidR="00012C0B" w:rsidRPr="0081538F" w:rsidRDefault="00012C0B" w:rsidP="00012C0B">
      <w:pPr>
        <w:spacing w:after="240" w:line="240" w:lineRule="auto"/>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Total determined area (BISS before entitlements (incl. payments to small farmers)) and amounts received by farmers in the FY concerned</w:t>
      </w:r>
    </w:p>
    <w:p w14:paraId="4DC369C8" w14:textId="77777777" w:rsidR="00012C0B" w:rsidRPr="00012C0B" w:rsidRDefault="00012C0B" w:rsidP="00012C0B">
      <w:pPr>
        <w:spacing w:after="240" w:line="240" w:lineRule="auto"/>
        <w:jc w:val="both"/>
        <w:rPr>
          <w:rFonts w:ascii="Times New Roman" w:eastAsia="Times New Roman" w:hAnsi="Times New Roman" w:cs="Times New Roman"/>
          <w:sz w:val="24"/>
          <w:szCs w:val="20"/>
          <w:lang w:eastAsia="en-GB"/>
        </w:rPr>
      </w:pPr>
      <w:r w:rsidRPr="00012C0B">
        <w:rPr>
          <w:rFonts w:ascii="Times New Roman" w:eastAsia="Times New Roman" w:hAnsi="Times New Roman" w:cs="Times New Roman"/>
          <w:noProof/>
          <w:sz w:val="24"/>
          <w:szCs w:val="20"/>
          <w:lang w:val="en-US"/>
        </w:rPr>
        <w:drawing>
          <wp:inline distT="0" distB="0" distL="0" distR="0" wp14:anchorId="095DD9B2" wp14:editId="70752ACC">
            <wp:extent cx="5471795" cy="2884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1795" cy="2884585"/>
                    </a:xfrm>
                    <a:prstGeom prst="rect">
                      <a:avLst/>
                    </a:prstGeom>
                    <a:noFill/>
                    <a:ln>
                      <a:noFill/>
                    </a:ln>
                  </pic:spPr>
                </pic:pic>
              </a:graphicData>
            </a:graphic>
          </wp:inline>
        </w:drawing>
      </w:r>
    </w:p>
    <w:p w14:paraId="5CBDFA31" w14:textId="77777777" w:rsidR="00012C0B" w:rsidRPr="0081538F" w:rsidRDefault="00012C0B" w:rsidP="00012C0B">
      <w:pPr>
        <w:spacing w:after="24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u w:val="single"/>
          <w:lang w:val="en-IE" w:eastAsia="en-GB"/>
        </w:rPr>
        <w:t>Step 1: Identify the population of “farms below average farm size”.</w:t>
      </w:r>
    </w:p>
    <w:p w14:paraId="7F341026" w14:textId="77777777" w:rsidR="00012C0B" w:rsidRPr="0081538F" w:rsidRDefault="00012C0B" w:rsidP="005C5386">
      <w:pPr>
        <w:numPr>
          <w:ilvl w:val="0"/>
          <w:numId w:val="17"/>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Determine t</w:t>
      </w:r>
      <w:r w:rsidR="00D5353E">
        <w:rPr>
          <w:rFonts w:ascii="Times New Roman" w:eastAsia="Times New Roman" w:hAnsi="Times New Roman" w:cs="Times New Roman"/>
          <w:szCs w:val="24"/>
          <w:lang w:val="en-IE"/>
        </w:rPr>
        <w:t>he average farm size of direct p</w:t>
      </w:r>
      <w:r w:rsidRPr="0081538F">
        <w:rPr>
          <w:rFonts w:ascii="Times New Roman" w:eastAsia="Times New Roman" w:hAnsi="Times New Roman" w:cs="Times New Roman"/>
          <w:szCs w:val="24"/>
          <w:lang w:val="en-IE"/>
        </w:rPr>
        <w:t>ayments beneficiaries that year = 45 ha/farm (national average based on a broader set of beneficiaries)</w:t>
      </w:r>
    </w:p>
    <w:p w14:paraId="0B5C86A8" w14:textId="77777777" w:rsidR="00012C0B" w:rsidRPr="0081538F" w:rsidRDefault="00012C0B" w:rsidP="00012C0B">
      <w:pPr>
        <w:spacing w:after="0" w:line="240" w:lineRule="auto"/>
        <w:ind w:left="720"/>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Total of area (BISS before entitlements+ Payments to small farmers) / Total number of beneficiaries.</w:t>
      </w:r>
    </w:p>
    <w:p w14:paraId="77A69074" w14:textId="77777777" w:rsidR="00012C0B" w:rsidRPr="0081538F" w:rsidRDefault="00012C0B" w:rsidP="00012C0B">
      <w:pPr>
        <w:spacing w:after="0" w:line="240" w:lineRule="auto"/>
        <w:ind w:left="720"/>
        <w:contextualSpacing/>
        <w:jc w:val="both"/>
        <w:rPr>
          <w:rFonts w:ascii="Times New Roman" w:eastAsia="Times New Roman" w:hAnsi="Times New Roman" w:cs="Times New Roman"/>
          <w:szCs w:val="24"/>
          <w:lang w:val="en-IE"/>
        </w:rPr>
      </w:pPr>
    </w:p>
    <w:p w14:paraId="4C009F89" w14:textId="77777777" w:rsidR="00012C0B" w:rsidRPr="0081538F" w:rsidRDefault="00012C0B" w:rsidP="005C5386">
      <w:pPr>
        <w:numPr>
          <w:ilvl w:val="0"/>
          <w:numId w:val="17"/>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 xml:space="preserve">Determine the population of farms eligible for </w:t>
      </w:r>
      <w:r w:rsidR="00D5353E">
        <w:rPr>
          <w:rFonts w:ascii="Times New Roman" w:eastAsia="Times New Roman" w:hAnsi="Times New Roman" w:cs="Times New Roman"/>
          <w:szCs w:val="24"/>
          <w:lang w:val="en-IE"/>
        </w:rPr>
        <w:t>direct payments</w:t>
      </w:r>
      <w:r w:rsidRPr="0081538F">
        <w:rPr>
          <w:rFonts w:ascii="Times New Roman" w:eastAsia="Times New Roman" w:hAnsi="Times New Roman" w:cs="Times New Roman"/>
          <w:szCs w:val="24"/>
          <w:lang w:val="en-IE"/>
        </w:rPr>
        <w:t xml:space="preserve"> with an area below the average farm size: in pink in the table. Here beneficiary 16 with 0 BISS area is not classified into the group of farmers below average size. It is considered that it is not the type of farmer that is targeted by the redistribution objective (e.g. CRISS does not reach these farmers).</w:t>
      </w:r>
    </w:p>
    <w:p w14:paraId="4EF52C1A" w14:textId="77777777" w:rsidR="00012C0B" w:rsidRPr="0081538F" w:rsidRDefault="00012C0B" w:rsidP="00012C0B">
      <w:pPr>
        <w:spacing w:after="240" w:line="240" w:lineRule="auto"/>
        <w:jc w:val="both"/>
        <w:rPr>
          <w:rFonts w:ascii="Times New Roman" w:eastAsia="Times New Roman" w:hAnsi="Times New Roman" w:cs="Times New Roman"/>
          <w:szCs w:val="20"/>
          <w:lang w:val="en-IE" w:eastAsia="en-GB"/>
        </w:rPr>
      </w:pPr>
      <w:r w:rsidRPr="0081538F">
        <w:rPr>
          <w:rFonts w:ascii="Times New Roman" w:eastAsia="Times New Roman" w:hAnsi="Times New Roman" w:cs="Times New Roman"/>
          <w:szCs w:val="20"/>
          <w:u w:val="single"/>
          <w:lang w:val="en-IE" w:eastAsia="en-GB"/>
        </w:rPr>
        <w:lastRenderedPageBreak/>
        <w:t>Step 2: Calculate the average amount of direct payments per hectare for each group</w:t>
      </w:r>
      <w:r w:rsidRPr="0081538F">
        <w:rPr>
          <w:rFonts w:ascii="Times New Roman" w:eastAsia="Times New Roman" w:hAnsi="Times New Roman" w:cs="Times New Roman"/>
          <w:szCs w:val="20"/>
          <w:lang w:val="en-IE" w:eastAsia="en-GB"/>
        </w:rPr>
        <w:t>:</w:t>
      </w:r>
    </w:p>
    <w:p w14:paraId="2EA9B96A"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Numerator</w:t>
      </w:r>
      <w:r w:rsidRPr="0081538F">
        <w:rPr>
          <w:rFonts w:ascii="Times New Roman" w:eastAsia="Times New Roman" w:hAnsi="Times New Roman" w:cs="Times New Roman"/>
          <w:szCs w:val="24"/>
          <w:lang w:val="en-IE"/>
        </w:rPr>
        <w:t>: the total amount of direct payments paid to beneficiaries of direct payments during financial year N, after reduction but before penalties:</w:t>
      </w:r>
    </w:p>
    <w:p w14:paraId="403AD46D"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232 200 EUR for the whole population of DP beneficiaries</w:t>
      </w:r>
    </w:p>
    <w:p w14:paraId="2BF426ED"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32 100 EUR for the beneficiaries below farm size</w:t>
      </w:r>
    </w:p>
    <w:p w14:paraId="508616F5"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Denominator</w:t>
      </w:r>
      <w:r w:rsidRPr="0081538F">
        <w:rPr>
          <w:rFonts w:ascii="Times New Roman" w:eastAsia="Times New Roman" w:hAnsi="Times New Roman" w:cs="Times New Roman"/>
          <w:szCs w:val="24"/>
          <w:lang w:val="en-IE"/>
        </w:rPr>
        <w:t xml:space="preserve">: the total area determined for BISS before entitlements, including the round sum payment for small farmers. </w:t>
      </w:r>
    </w:p>
    <w:p w14:paraId="432B8C12"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 xml:space="preserve">938 </w:t>
      </w:r>
      <w:r w:rsidR="00674DAD">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whole population</w:t>
      </w:r>
    </w:p>
    <w:p w14:paraId="78A96AEC"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 xml:space="preserve">128 </w:t>
      </w:r>
      <w:r w:rsidR="00674DAD">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farms below farm size</w:t>
      </w:r>
    </w:p>
    <w:p w14:paraId="1677DE84"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Average amount = Numerator / Denominator</w:t>
      </w:r>
    </w:p>
    <w:p w14:paraId="0FA02E52"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238 EUR/</w:t>
      </w:r>
      <w:r w:rsidR="00674DAD">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whole population</w:t>
      </w:r>
    </w:p>
    <w:p w14:paraId="0F1DB464" w14:textId="77777777" w:rsidR="00012C0B" w:rsidRPr="0081538F" w:rsidRDefault="00012C0B" w:rsidP="00AA6954">
      <w:pPr>
        <w:numPr>
          <w:ilvl w:val="1"/>
          <w:numId w:val="18"/>
        </w:numPr>
        <w:spacing w:after="240" w:line="240" w:lineRule="auto"/>
        <w:ind w:left="1434" w:hanging="357"/>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251.8 EUR/</w:t>
      </w:r>
      <w:r w:rsidR="00674DAD">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farms below farm size</w:t>
      </w:r>
    </w:p>
    <w:p w14:paraId="2B5BB5A0" w14:textId="711ADD78" w:rsidR="00012C0B" w:rsidRPr="0081538F" w:rsidRDefault="00012C0B" w:rsidP="00012C0B">
      <w:pPr>
        <w:spacing w:after="24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u w:val="single"/>
          <w:lang w:val="en-IE" w:eastAsia="en-GB"/>
        </w:rPr>
        <w:t>Step 3: Calculate the indicator</w:t>
      </w:r>
    </w:p>
    <w:p w14:paraId="78538EF8" w14:textId="77777777" w:rsidR="00012C0B" w:rsidRPr="0081538F" w:rsidRDefault="00012C0B" w:rsidP="00012C0B">
      <w:pPr>
        <w:spacing w:after="0" w:line="240" w:lineRule="auto"/>
        <w:jc w:val="center"/>
        <w:rPr>
          <w:rFonts w:ascii="Times New Roman" w:eastAsia="Times New Roman" w:hAnsi="Times New Roman" w:cs="Times New Roman"/>
          <w:sz w:val="18"/>
          <w:szCs w:val="20"/>
          <w:u w:val="single"/>
          <w:lang w:val="en-IE" w:eastAsia="en-GB"/>
        </w:rPr>
      </w:pPr>
      <w:r w:rsidRPr="0081538F">
        <w:rPr>
          <w:rFonts w:ascii="Times New Roman" w:eastAsia="Times New Roman" w:hAnsi="Times New Roman" w:cs="Times New Roman"/>
          <w:szCs w:val="20"/>
          <w:lang w:val="en-IE" w:eastAsia="en-GB"/>
        </w:rPr>
        <w:t>R.6 =</w:t>
      </w:r>
      <w:r w:rsidRPr="0081538F">
        <w:rPr>
          <w:rFonts w:ascii="Times New Roman" w:eastAsia="Times New Roman" w:hAnsi="Times New Roman" w:cs="Times New Roman"/>
          <w:szCs w:val="20"/>
          <w:u w:val="single"/>
          <w:lang w:val="en-IE" w:eastAsia="en-GB"/>
        </w:rPr>
        <w:t xml:space="preserve"> Average DP/</w:t>
      </w:r>
      <w:r w:rsidR="00674DAD">
        <w:rPr>
          <w:rFonts w:ascii="Times New Roman" w:eastAsia="Times New Roman" w:hAnsi="Times New Roman" w:cs="Times New Roman"/>
          <w:szCs w:val="20"/>
          <w:u w:val="single"/>
          <w:lang w:val="en-IE" w:eastAsia="en-GB"/>
        </w:rPr>
        <w:t>hectare</w:t>
      </w:r>
      <w:r w:rsidRPr="0081538F">
        <w:rPr>
          <w:rFonts w:ascii="Times New Roman" w:eastAsia="Times New Roman" w:hAnsi="Times New Roman" w:cs="Times New Roman"/>
          <w:szCs w:val="20"/>
          <w:u w:val="single"/>
          <w:lang w:val="en-IE" w:eastAsia="en-GB"/>
        </w:rPr>
        <w:t xml:space="preserve"> paid to farmers below average farm size </w:t>
      </w:r>
      <w:r w:rsidRPr="0081538F">
        <w:rPr>
          <w:rFonts w:ascii="Times New Roman" w:eastAsia="Times New Roman" w:hAnsi="Times New Roman" w:cs="Times New Roman"/>
          <w:szCs w:val="20"/>
          <w:lang w:val="en-IE" w:eastAsia="en-GB"/>
        </w:rPr>
        <w:t xml:space="preserve">* 100 </w:t>
      </w:r>
    </w:p>
    <w:p w14:paraId="38A0AF40" w14:textId="77777777" w:rsidR="00012C0B" w:rsidRPr="0081538F" w:rsidRDefault="00012C0B" w:rsidP="00AA6954">
      <w:pPr>
        <w:spacing w:after="0" w:line="240" w:lineRule="auto"/>
        <w:ind w:left="2835"/>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Average DP/</w:t>
      </w:r>
      <w:r w:rsidR="00674DAD">
        <w:rPr>
          <w:rFonts w:ascii="Times New Roman" w:eastAsia="Times New Roman" w:hAnsi="Times New Roman" w:cs="Times New Roman"/>
          <w:szCs w:val="20"/>
          <w:lang w:eastAsia="en-GB"/>
        </w:rPr>
        <w:t>hectare</w:t>
      </w:r>
      <w:r w:rsidRPr="0081538F">
        <w:rPr>
          <w:rFonts w:ascii="Times New Roman" w:eastAsia="Times New Roman" w:hAnsi="Times New Roman" w:cs="Times New Roman"/>
          <w:szCs w:val="20"/>
          <w:lang w:eastAsia="en-GB"/>
        </w:rPr>
        <w:t xml:space="preserve"> paid to all farmers</w:t>
      </w:r>
    </w:p>
    <w:p w14:paraId="077002BE" w14:textId="77777777" w:rsidR="00012C0B" w:rsidRPr="00AA6954" w:rsidRDefault="00012C0B" w:rsidP="00012C0B">
      <w:pPr>
        <w:spacing w:after="240" w:line="240" w:lineRule="auto"/>
        <w:jc w:val="center"/>
        <w:rPr>
          <w:rFonts w:ascii="Times New Roman" w:eastAsia="Times New Roman" w:hAnsi="Times New Roman" w:cs="Times New Roman"/>
          <w:sz w:val="2"/>
          <w:szCs w:val="20"/>
          <w:lang w:eastAsia="en-GB"/>
        </w:rPr>
      </w:pPr>
    </w:p>
    <w:p w14:paraId="6F25FA5A" w14:textId="77777777" w:rsidR="00012C0B" w:rsidRPr="0081538F" w:rsidRDefault="00012C0B" w:rsidP="00012C0B">
      <w:pPr>
        <w:spacing w:after="240" w:line="240" w:lineRule="auto"/>
        <w:jc w:val="center"/>
        <w:rPr>
          <w:rFonts w:ascii="Times New Roman" w:eastAsia="Times New Roman" w:hAnsi="Times New Roman" w:cs="Times New Roman"/>
          <w:b/>
          <w:sz w:val="18"/>
          <w:szCs w:val="20"/>
          <w:u w:val="single"/>
          <w:lang w:val="en-IE" w:eastAsia="en-GB"/>
        </w:rPr>
      </w:pPr>
      <w:r w:rsidRPr="0081538F">
        <w:rPr>
          <w:rFonts w:ascii="Times New Roman" w:eastAsia="Times New Roman" w:hAnsi="Times New Roman" w:cs="Times New Roman"/>
          <w:b/>
          <w:szCs w:val="20"/>
          <w:lang w:val="en-IE" w:eastAsia="en-GB"/>
        </w:rPr>
        <w:t>R.6 = 251.8 / 238 * 100 = 106%</w:t>
      </w:r>
    </w:p>
    <w:p w14:paraId="1F024BE7" w14:textId="77777777" w:rsidR="00012C0B" w:rsidRPr="0081538F" w:rsidRDefault="00012C0B" w:rsidP="00012C0B">
      <w:pPr>
        <w:spacing w:after="240" w:line="240" w:lineRule="auto"/>
        <w:jc w:val="center"/>
        <w:rPr>
          <w:rFonts w:ascii="Times New Roman" w:eastAsia="Times New Roman" w:hAnsi="Times New Roman" w:cs="Times New Roman"/>
          <w:szCs w:val="20"/>
          <w:lang w:eastAsia="en-GB"/>
        </w:rPr>
      </w:pPr>
    </w:p>
    <w:p w14:paraId="3626A47A" w14:textId="77777777" w:rsidR="00012C0B" w:rsidRPr="0081538F" w:rsidRDefault="00012C0B" w:rsidP="00012C0B">
      <w:pPr>
        <w:ind w:left="720"/>
        <w:contextualSpacing/>
        <w:jc w:val="both"/>
        <w:rPr>
          <w:rFonts w:ascii="Times New Roman" w:eastAsia="Times New Roman" w:hAnsi="Times New Roman" w:cs="Times New Roman"/>
          <w:szCs w:val="24"/>
        </w:rPr>
      </w:pPr>
    </w:p>
    <w:p w14:paraId="0380A1B5" w14:textId="77777777" w:rsidR="00012C0B" w:rsidRPr="00012C0B" w:rsidRDefault="00012C0B" w:rsidP="00012C0B">
      <w:pPr>
        <w:spacing w:after="240" w:line="240" w:lineRule="auto"/>
        <w:jc w:val="both"/>
        <w:rPr>
          <w:rFonts w:ascii="Times New Roman" w:eastAsia="Times New Roman" w:hAnsi="Times New Roman" w:cs="Times New Roman"/>
          <w:sz w:val="24"/>
          <w:szCs w:val="20"/>
          <w:lang w:eastAsia="en-GB"/>
        </w:rPr>
      </w:pPr>
      <w:r w:rsidRPr="00012C0B">
        <w:rPr>
          <w:rFonts w:ascii="Times New Roman" w:eastAsia="Times New Roman" w:hAnsi="Times New Roman" w:cs="Times New Roman"/>
          <w:sz w:val="24"/>
          <w:szCs w:val="20"/>
          <w:lang w:eastAsia="en-GB"/>
        </w:rPr>
        <w:br w:type="page"/>
      </w:r>
    </w:p>
    <w:p w14:paraId="78C857DF" w14:textId="77777777" w:rsidR="00012C0B" w:rsidRPr="0081538F" w:rsidRDefault="00012C0B" w:rsidP="00012C0B">
      <w:pPr>
        <w:spacing w:before="240" w:after="240" w:line="240" w:lineRule="auto"/>
        <w:jc w:val="center"/>
        <w:rPr>
          <w:rFonts w:ascii="Times New Roman" w:eastAsia="Times New Roman" w:hAnsi="Times New Roman" w:cs="Times New Roman"/>
          <w:szCs w:val="20"/>
          <w:lang w:eastAsia="en-GB"/>
        </w:rPr>
      </w:pPr>
      <w:r w:rsidRPr="0081538F">
        <w:rPr>
          <w:rFonts w:ascii="Times New Roman" w:eastAsia="Times New Roman" w:hAnsi="Times New Roman" w:cs="Times New Roman"/>
          <w:b/>
          <w:szCs w:val="20"/>
          <w:u w:val="single"/>
          <w:lang w:eastAsia="en-GB"/>
        </w:rPr>
        <w:lastRenderedPageBreak/>
        <w:t>Example 2</w:t>
      </w:r>
      <w:r w:rsidRPr="0081538F">
        <w:rPr>
          <w:rFonts w:ascii="Times New Roman" w:eastAsia="Times New Roman" w:hAnsi="Times New Roman" w:cs="Times New Roman"/>
          <w:szCs w:val="20"/>
          <w:lang w:eastAsia="en-GB"/>
        </w:rPr>
        <w:t xml:space="preserve">: </w:t>
      </w:r>
      <w:r w:rsidRPr="0081538F">
        <w:rPr>
          <w:rFonts w:ascii="Times New Roman" w:eastAsia="Times New Roman" w:hAnsi="Times New Roman" w:cs="Times New Roman"/>
          <w:b/>
          <w:szCs w:val="20"/>
          <w:lang w:eastAsia="en-GB"/>
        </w:rPr>
        <w:t>R.7 Enhancing support to farms in areas with specific needs</w:t>
      </w:r>
      <w:r w:rsidRPr="0081538F">
        <w:rPr>
          <w:rFonts w:ascii="Times New Roman" w:eastAsia="Times New Roman" w:hAnsi="Times New Roman" w:cs="Times New Roman"/>
          <w:szCs w:val="20"/>
          <w:lang w:eastAsia="en-GB"/>
        </w:rPr>
        <w:t>: Percentage additional support per hectare in areas with higher needs (compared to average).</w:t>
      </w:r>
    </w:p>
    <w:p w14:paraId="38DFEBEA" w14:textId="77777777" w:rsidR="00012C0B" w:rsidRPr="00AA6954" w:rsidRDefault="00012C0B" w:rsidP="00012C0B">
      <w:pPr>
        <w:spacing w:after="240" w:line="240" w:lineRule="auto"/>
        <w:jc w:val="center"/>
        <w:rPr>
          <w:rFonts w:ascii="Times New Roman" w:eastAsia="Times New Roman" w:hAnsi="Times New Roman" w:cs="Times New Roman"/>
          <w:sz w:val="4"/>
          <w:szCs w:val="20"/>
          <w:lang w:eastAsia="en-GB"/>
        </w:rPr>
      </w:pPr>
    </w:p>
    <w:p w14:paraId="016A4B0D" w14:textId="77777777" w:rsidR="00012C0B" w:rsidRPr="0081538F" w:rsidRDefault="00012C0B" w:rsidP="00012C0B">
      <w:pPr>
        <w:spacing w:after="240" w:line="240" w:lineRule="auto"/>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Assumptions regarding income support:</w:t>
      </w:r>
    </w:p>
    <w:p w14:paraId="65CDD96F"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 xml:space="preserve">Basic Income support for sustainability (BISS): </w:t>
      </w:r>
    </w:p>
    <w:p w14:paraId="251B5B82" w14:textId="77777777" w:rsidR="00012C0B" w:rsidRPr="0081538F" w:rsidRDefault="00012C0B" w:rsidP="005C5386">
      <w:pPr>
        <w:numPr>
          <w:ilvl w:val="1"/>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Territory A with higher needs: 100 EUR/ha</w:t>
      </w:r>
    </w:p>
    <w:p w14:paraId="2592438C" w14:textId="77777777" w:rsidR="00012C0B" w:rsidRPr="0081538F" w:rsidRDefault="00012C0B" w:rsidP="005C5386">
      <w:pPr>
        <w:numPr>
          <w:ilvl w:val="1"/>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Territory B: 25 EUR/ha</w:t>
      </w:r>
    </w:p>
    <w:p w14:paraId="773629F9"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Complementary redistributive income support for sustainability (CRISS): 40 EUR/ha on the first 20 ha</w:t>
      </w:r>
    </w:p>
    <w:p w14:paraId="73F526AC"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Round sum payment for small farmers: 900 EUR/beneficiary</w:t>
      </w:r>
    </w:p>
    <w:p w14:paraId="1ED98002"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Complementary income support for young farmers (CIS-YF): 30 EUR/ha</w:t>
      </w:r>
    </w:p>
    <w:p w14:paraId="19109962"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color w:val="000000"/>
        </w:rPr>
      </w:pPr>
      <w:r w:rsidRPr="0081538F">
        <w:rPr>
          <w:rFonts w:ascii="Times New Roman" w:eastAsia="Times New Roman" w:hAnsi="Times New Roman" w:cs="Times New Roman"/>
          <w:color w:val="000000"/>
        </w:rPr>
        <w:t>Eco-scheme, on average 30 EUR/ha</w:t>
      </w:r>
    </w:p>
    <w:p w14:paraId="2CD8F11C" w14:textId="77777777" w:rsidR="00012C0B" w:rsidRPr="0081538F" w:rsidRDefault="00012C0B" w:rsidP="005C5386">
      <w:pPr>
        <w:numPr>
          <w:ilvl w:val="0"/>
          <w:numId w:val="16"/>
        </w:numPr>
        <w:spacing w:after="0" w:line="240" w:lineRule="auto"/>
        <w:contextualSpacing/>
        <w:jc w:val="both"/>
        <w:rPr>
          <w:rFonts w:ascii="Times New Roman" w:eastAsia="Times New Roman" w:hAnsi="Times New Roman" w:cs="Times New Roman"/>
          <w:sz w:val="24"/>
          <w:szCs w:val="24"/>
        </w:rPr>
      </w:pPr>
      <w:r w:rsidRPr="0081538F">
        <w:rPr>
          <w:rFonts w:ascii="Times New Roman" w:eastAsia="Times New Roman" w:hAnsi="Times New Roman" w:cs="Times New Roman"/>
          <w:color w:val="000000"/>
        </w:rPr>
        <w:t>Some coupled payments</w:t>
      </w:r>
    </w:p>
    <w:p w14:paraId="19A694F8" w14:textId="77777777" w:rsidR="00012C0B" w:rsidRPr="0081538F" w:rsidRDefault="00012C0B" w:rsidP="005C5386">
      <w:pPr>
        <w:numPr>
          <w:ilvl w:val="0"/>
          <w:numId w:val="16"/>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Payment for natural or other area-specific constraints (ANC): for simplification, only one category applies in the example: 40 EUR/ha</w:t>
      </w:r>
    </w:p>
    <w:p w14:paraId="26ADA0BF" w14:textId="77777777" w:rsidR="00012C0B" w:rsidRPr="0081538F" w:rsidRDefault="00012C0B" w:rsidP="005C5386">
      <w:pPr>
        <w:numPr>
          <w:ilvl w:val="0"/>
          <w:numId w:val="16"/>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Payment for area-specific disadvantages – Natura 2000 and Water framework directive: for simplification, only the payment to Natura 2000 applies in the example: 30 EUR/ha in agricultural areas and 50 EUR/ha in Forest</w:t>
      </w:r>
    </w:p>
    <w:p w14:paraId="6DFC9122" w14:textId="77777777" w:rsidR="00012C0B" w:rsidRPr="0081538F" w:rsidRDefault="00012C0B" w:rsidP="00012C0B">
      <w:pPr>
        <w:spacing w:after="240" w:line="240" w:lineRule="auto"/>
        <w:jc w:val="center"/>
        <w:rPr>
          <w:rFonts w:ascii="Times New Roman" w:eastAsia="Times New Roman" w:hAnsi="Times New Roman" w:cs="Times New Roman"/>
          <w:szCs w:val="20"/>
          <w:lang w:eastAsia="en-GB"/>
        </w:rPr>
      </w:pPr>
    </w:p>
    <w:p w14:paraId="0D58A5B6" w14:textId="77777777" w:rsidR="00012C0B" w:rsidRPr="0081538F" w:rsidRDefault="00012C0B" w:rsidP="00012C0B">
      <w:pPr>
        <w:spacing w:after="120" w:line="240" w:lineRule="auto"/>
        <w:ind w:left="-567"/>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Total determined area and amounts received by farmers in the FY concerned</w:t>
      </w:r>
    </w:p>
    <w:p w14:paraId="1CDA0160" w14:textId="77777777" w:rsidR="00012C0B" w:rsidRPr="00012C0B" w:rsidRDefault="00012C0B" w:rsidP="00012C0B">
      <w:pPr>
        <w:spacing w:after="120" w:line="240" w:lineRule="auto"/>
        <w:ind w:left="-567"/>
        <w:jc w:val="both"/>
        <w:rPr>
          <w:rFonts w:ascii="Times New Roman" w:eastAsia="Times New Roman" w:hAnsi="Times New Roman" w:cs="Times New Roman"/>
          <w:sz w:val="24"/>
          <w:szCs w:val="20"/>
          <w:lang w:eastAsia="en-GB"/>
        </w:rPr>
      </w:pPr>
    </w:p>
    <w:p w14:paraId="72737393" w14:textId="77777777" w:rsidR="00012C0B" w:rsidRPr="00012C0B" w:rsidRDefault="00012C0B" w:rsidP="00012C0B">
      <w:pPr>
        <w:ind w:left="-567"/>
        <w:jc w:val="center"/>
        <w:rPr>
          <w:rFonts w:ascii="Times New Roman" w:eastAsia="Times New Roman" w:hAnsi="Times New Roman" w:cs="Times New Roman"/>
          <w:sz w:val="24"/>
          <w:szCs w:val="20"/>
          <w:lang w:eastAsia="en-GB"/>
        </w:rPr>
      </w:pPr>
      <w:r w:rsidRPr="00012C0B">
        <w:rPr>
          <w:rFonts w:ascii="Times New Roman" w:eastAsia="Times New Roman" w:hAnsi="Times New Roman" w:cs="Times New Roman"/>
          <w:noProof/>
          <w:sz w:val="24"/>
          <w:szCs w:val="20"/>
          <w:lang w:val="en-US"/>
        </w:rPr>
        <w:drawing>
          <wp:inline distT="0" distB="0" distL="0" distR="0" wp14:anchorId="59F7C998" wp14:editId="11FDC53B">
            <wp:extent cx="6147303" cy="21659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6006" cy="2172575"/>
                    </a:xfrm>
                    <a:prstGeom prst="rect">
                      <a:avLst/>
                    </a:prstGeom>
                    <a:noFill/>
                    <a:ln>
                      <a:noFill/>
                    </a:ln>
                  </pic:spPr>
                </pic:pic>
              </a:graphicData>
            </a:graphic>
          </wp:inline>
        </w:drawing>
      </w:r>
      <w:r w:rsidRPr="00012C0B" w:rsidDel="00B76689">
        <w:rPr>
          <w:rFonts w:ascii="Times New Roman" w:eastAsia="Times New Roman" w:hAnsi="Times New Roman" w:cs="Times New Roman"/>
          <w:noProof/>
          <w:sz w:val="24"/>
          <w:szCs w:val="20"/>
          <w:lang w:val="en-IE" w:eastAsia="en-IE"/>
        </w:rPr>
        <w:t xml:space="preserve"> </w:t>
      </w:r>
    </w:p>
    <w:p w14:paraId="5225B4FA" w14:textId="77777777" w:rsidR="00012C0B" w:rsidRPr="00012C0B" w:rsidRDefault="00012C0B" w:rsidP="00012C0B">
      <w:pPr>
        <w:spacing w:after="0" w:line="240" w:lineRule="auto"/>
        <w:rPr>
          <w:rFonts w:ascii="Times New Roman" w:eastAsia="Times New Roman" w:hAnsi="Times New Roman" w:cs="Times New Roman"/>
          <w:sz w:val="24"/>
          <w:szCs w:val="20"/>
          <w:u w:val="single"/>
          <w:lang w:val="en-IE" w:eastAsia="en-GB"/>
        </w:rPr>
      </w:pPr>
      <w:r w:rsidRPr="00012C0B">
        <w:rPr>
          <w:rFonts w:ascii="Times New Roman" w:eastAsia="Times New Roman" w:hAnsi="Times New Roman" w:cs="Times New Roman"/>
          <w:sz w:val="24"/>
          <w:szCs w:val="20"/>
          <w:u w:val="single"/>
          <w:lang w:val="en-IE" w:eastAsia="en-GB"/>
        </w:rPr>
        <w:br w:type="page"/>
      </w:r>
    </w:p>
    <w:p w14:paraId="0B9CCE4A" w14:textId="77777777" w:rsidR="00012C0B" w:rsidRPr="0081538F" w:rsidRDefault="00012C0B" w:rsidP="00012C0B">
      <w:pPr>
        <w:spacing w:after="12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u w:val="single"/>
          <w:lang w:val="en-IE" w:eastAsia="en-GB"/>
        </w:rPr>
        <w:lastRenderedPageBreak/>
        <w:t>Preliminary step: Define the area with specific needs relevant for the MS strategy/needs assessment.</w:t>
      </w:r>
    </w:p>
    <w:p w14:paraId="19A29CD7" w14:textId="77777777" w:rsidR="00012C0B" w:rsidRPr="0081538F" w:rsidRDefault="00012C0B" w:rsidP="00012C0B">
      <w:pPr>
        <w:spacing w:after="240" w:line="240" w:lineRule="auto"/>
        <w:jc w:val="both"/>
        <w:rPr>
          <w:rFonts w:ascii="Times New Roman" w:eastAsia="Times New Roman" w:hAnsi="Times New Roman" w:cs="Times New Roman"/>
          <w:szCs w:val="20"/>
          <w:lang w:val="en-IE" w:eastAsia="en-GB"/>
        </w:rPr>
      </w:pPr>
      <w:r w:rsidRPr="0081538F">
        <w:rPr>
          <w:rFonts w:ascii="Times New Roman" w:eastAsia="Times New Roman" w:hAnsi="Times New Roman" w:cs="Times New Roman"/>
          <w:szCs w:val="20"/>
          <w:lang w:val="en-IE" w:eastAsia="en-GB"/>
        </w:rPr>
        <w:t xml:space="preserve">The area with specific needs is to be defined based on Article 66 (areas with natural or other area-specific constraints), and/or Article 67 (areas with specific disadvantages resulting from certain mandatory requirements) and/or BISS groups of territory with higher income support (art. 18(2)) (differentiation of the Basic income support due to difference in income needs). </w:t>
      </w:r>
    </w:p>
    <w:p w14:paraId="0E67A12D" w14:textId="77777777" w:rsidR="00012C0B" w:rsidRPr="0081538F" w:rsidRDefault="00012C0B" w:rsidP="00012C0B">
      <w:pPr>
        <w:spacing w:after="24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lang w:val="en-IE" w:eastAsia="en-GB"/>
        </w:rPr>
        <w:t>In the example, ANC areas, Natura 2000 areas and BISS territory A are defined as area with specific needs.</w:t>
      </w:r>
    </w:p>
    <w:p w14:paraId="389EF03F" w14:textId="77777777" w:rsidR="00012C0B" w:rsidRPr="0081538F" w:rsidRDefault="00012C0B" w:rsidP="00012C0B">
      <w:pPr>
        <w:spacing w:after="12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u w:val="single"/>
          <w:lang w:val="en-IE" w:eastAsia="en-GB"/>
        </w:rPr>
        <w:t>Step 1: Identify the population of “farms in areas with specific needs”.</w:t>
      </w:r>
    </w:p>
    <w:p w14:paraId="447383DE" w14:textId="77777777" w:rsidR="00012C0B" w:rsidRPr="0081538F" w:rsidRDefault="00012C0B" w:rsidP="00012C0B">
      <w:pPr>
        <w:spacing w:after="0" w:line="240" w:lineRule="auto"/>
        <w:ind w:left="720"/>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Identify beneficiaries, receiving in the Financial Year concerned support under:</w:t>
      </w:r>
    </w:p>
    <w:p w14:paraId="1E96B377" w14:textId="77777777" w:rsidR="00012C0B" w:rsidRPr="0081538F" w:rsidRDefault="00012C0B" w:rsidP="00012C0B">
      <w:pPr>
        <w:ind w:left="1440"/>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ANC (column h in the table) and/or area-specific disadvantages (column i and j) and/or BISS for territories in higher needs (column a)</w:t>
      </w:r>
    </w:p>
    <w:p w14:paraId="166FB194" w14:textId="77777777" w:rsidR="00012C0B" w:rsidRPr="0081538F" w:rsidRDefault="00012C0B" w:rsidP="00012C0B">
      <w:pPr>
        <w:ind w:left="1440"/>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Beneficiaries in pink in the table</w:t>
      </w:r>
    </w:p>
    <w:p w14:paraId="55FC29F8" w14:textId="77777777" w:rsidR="00012C0B" w:rsidRPr="0081538F" w:rsidRDefault="00012C0B" w:rsidP="00012C0B">
      <w:pPr>
        <w:spacing w:after="120" w:line="240" w:lineRule="auto"/>
        <w:jc w:val="both"/>
        <w:rPr>
          <w:rFonts w:ascii="Times New Roman" w:eastAsia="Times New Roman" w:hAnsi="Times New Roman" w:cs="Times New Roman"/>
          <w:szCs w:val="20"/>
          <w:lang w:val="en-IE" w:eastAsia="en-GB"/>
        </w:rPr>
      </w:pPr>
      <w:r w:rsidRPr="0081538F">
        <w:rPr>
          <w:rFonts w:ascii="Times New Roman" w:eastAsia="Times New Roman" w:hAnsi="Times New Roman" w:cs="Times New Roman"/>
          <w:szCs w:val="20"/>
          <w:u w:val="single"/>
          <w:lang w:val="en-IE" w:eastAsia="en-GB"/>
        </w:rPr>
        <w:t>Step 2: Calculate the average amount of direct payments per hectare for each group</w:t>
      </w:r>
      <w:r w:rsidRPr="0081538F">
        <w:rPr>
          <w:rFonts w:ascii="Times New Roman" w:eastAsia="Times New Roman" w:hAnsi="Times New Roman" w:cs="Times New Roman"/>
          <w:szCs w:val="20"/>
          <w:lang w:val="en-IE" w:eastAsia="en-GB"/>
        </w:rPr>
        <w:t>:</w:t>
      </w:r>
    </w:p>
    <w:p w14:paraId="45E2F991"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Numerator</w:t>
      </w:r>
      <w:r w:rsidRPr="0081538F">
        <w:rPr>
          <w:rFonts w:ascii="Times New Roman" w:eastAsia="Times New Roman" w:hAnsi="Times New Roman" w:cs="Times New Roman"/>
          <w:szCs w:val="24"/>
          <w:lang w:val="en-IE"/>
        </w:rPr>
        <w:t>: the total amount of income support paid to beneficiaries of direct payments, ANC and Article 67 during financial year N, after reduction of Direct Payments but before corrections:</w:t>
      </w:r>
    </w:p>
    <w:p w14:paraId="2F8D0DC9"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50 650EUR for the whole population of income support beneficiaries</w:t>
      </w:r>
    </w:p>
    <w:p w14:paraId="5156B741"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41 100 EUR for the farms in areas with specific needs</w:t>
      </w:r>
    </w:p>
    <w:p w14:paraId="06C10D49"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Denominator</w:t>
      </w:r>
      <w:r w:rsidRPr="0081538F">
        <w:rPr>
          <w:rFonts w:ascii="Times New Roman" w:eastAsia="Times New Roman" w:hAnsi="Times New Roman" w:cs="Times New Roman"/>
          <w:szCs w:val="24"/>
          <w:lang w:val="en-IE"/>
        </w:rPr>
        <w:t xml:space="preserve">: the total area determined for BISS, including for small farmers + hectares paid for Article 66 and 67 outside BISS area. </w:t>
      </w:r>
    </w:p>
    <w:p w14:paraId="372766BD"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 xml:space="preserve">278 </w:t>
      </w:r>
      <w:r w:rsidR="009F713C">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whole population </w:t>
      </w:r>
    </w:p>
    <w:p w14:paraId="7D9D237E"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 xml:space="preserve">205 </w:t>
      </w:r>
      <w:r w:rsidR="009F713C">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farms in areas with specific needs</w:t>
      </w:r>
    </w:p>
    <w:p w14:paraId="106799E1" w14:textId="77777777" w:rsidR="00012C0B" w:rsidRPr="0081538F" w:rsidRDefault="00012C0B" w:rsidP="005C5386">
      <w:pPr>
        <w:numPr>
          <w:ilvl w:val="0"/>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b/>
          <w:szCs w:val="24"/>
          <w:lang w:val="en-IE"/>
        </w:rPr>
        <w:t>Average amount = Numerator / Denominator</w:t>
      </w:r>
    </w:p>
    <w:p w14:paraId="7186FF03" w14:textId="77777777" w:rsidR="00012C0B" w:rsidRPr="0081538F" w:rsidRDefault="00012C0B" w:rsidP="005C5386">
      <w:pPr>
        <w:numPr>
          <w:ilvl w:val="1"/>
          <w:numId w:val="18"/>
        </w:numPr>
        <w:spacing w:after="240" w:line="240" w:lineRule="auto"/>
        <w:contextualSpacing/>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182 EUR/</w:t>
      </w:r>
      <w:r w:rsidR="009F713C">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whole population</w:t>
      </w:r>
    </w:p>
    <w:p w14:paraId="62F211B8" w14:textId="77777777" w:rsidR="00012C0B" w:rsidRPr="0081538F" w:rsidRDefault="00012C0B" w:rsidP="00AA6954">
      <w:pPr>
        <w:numPr>
          <w:ilvl w:val="1"/>
          <w:numId w:val="18"/>
        </w:numPr>
        <w:spacing w:after="240" w:line="240" w:lineRule="auto"/>
        <w:ind w:left="1434" w:hanging="357"/>
        <w:jc w:val="both"/>
        <w:rPr>
          <w:rFonts w:ascii="Times New Roman" w:eastAsia="Times New Roman" w:hAnsi="Times New Roman" w:cs="Times New Roman"/>
          <w:szCs w:val="24"/>
          <w:lang w:val="en-IE"/>
        </w:rPr>
      </w:pPr>
      <w:r w:rsidRPr="0081538F">
        <w:rPr>
          <w:rFonts w:ascii="Times New Roman" w:eastAsia="Times New Roman" w:hAnsi="Times New Roman" w:cs="Times New Roman"/>
          <w:szCs w:val="24"/>
          <w:lang w:val="en-IE"/>
        </w:rPr>
        <w:t>200 EUR/</w:t>
      </w:r>
      <w:r w:rsidR="009F713C">
        <w:rPr>
          <w:rFonts w:ascii="Times New Roman" w:eastAsia="Times New Roman" w:hAnsi="Times New Roman" w:cs="Times New Roman"/>
          <w:szCs w:val="24"/>
          <w:lang w:val="en-IE"/>
        </w:rPr>
        <w:t>hectare</w:t>
      </w:r>
      <w:r w:rsidRPr="0081538F">
        <w:rPr>
          <w:rFonts w:ascii="Times New Roman" w:eastAsia="Times New Roman" w:hAnsi="Times New Roman" w:cs="Times New Roman"/>
          <w:szCs w:val="24"/>
          <w:lang w:val="en-IE"/>
        </w:rPr>
        <w:t xml:space="preserve"> for the farms in areas with specific needs</w:t>
      </w:r>
    </w:p>
    <w:p w14:paraId="7B9EB4F4" w14:textId="77777777" w:rsidR="00012C0B" w:rsidRPr="0081538F" w:rsidRDefault="00012C0B" w:rsidP="00012C0B">
      <w:pPr>
        <w:spacing w:after="120" w:line="240" w:lineRule="auto"/>
        <w:jc w:val="both"/>
        <w:rPr>
          <w:rFonts w:ascii="Times New Roman" w:eastAsia="Times New Roman" w:hAnsi="Times New Roman" w:cs="Times New Roman"/>
          <w:szCs w:val="20"/>
          <w:u w:val="single"/>
          <w:lang w:val="en-IE" w:eastAsia="en-GB"/>
        </w:rPr>
      </w:pPr>
      <w:r w:rsidRPr="0081538F">
        <w:rPr>
          <w:rFonts w:ascii="Times New Roman" w:eastAsia="Times New Roman" w:hAnsi="Times New Roman" w:cs="Times New Roman"/>
          <w:szCs w:val="20"/>
          <w:u w:val="single"/>
          <w:lang w:val="en-IE" w:eastAsia="en-GB"/>
        </w:rPr>
        <w:t>Step 3: Calculate the indicator</w:t>
      </w:r>
    </w:p>
    <w:p w14:paraId="1290F12D" w14:textId="77777777" w:rsidR="00012C0B" w:rsidRPr="0081538F" w:rsidRDefault="00012C0B" w:rsidP="00012C0B">
      <w:pPr>
        <w:spacing w:after="0" w:line="240" w:lineRule="auto"/>
        <w:jc w:val="center"/>
        <w:rPr>
          <w:rFonts w:ascii="Times New Roman" w:eastAsia="Times New Roman" w:hAnsi="Times New Roman" w:cs="Times New Roman"/>
          <w:sz w:val="18"/>
          <w:szCs w:val="20"/>
          <w:u w:val="single"/>
          <w:lang w:val="en-IE" w:eastAsia="en-GB"/>
        </w:rPr>
      </w:pPr>
      <w:r w:rsidRPr="0081538F">
        <w:rPr>
          <w:rFonts w:ascii="Times New Roman" w:eastAsia="Times New Roman" w:hAnsi="Times New Roman" w:cs="Times New Roman"/>
          <w:szCs w:val="20"/>
          <w:lang w:val="en-IE" w:eastAsia="en-GB"/>
        </w:rPr>
        <w:t>R.7 =</w:t>
      </w:r>
      <w:r w:rsidRPr="0081538F">
        <w:rPr>
          <w:rFonts w:ascii="Times New Roman" w:eastAsia="Times New Roman" w:hAnsi="Times New Roman" w:cs="Times New Roman"/>
          <w:szCs w:val="20"/>
          <w:u w:val="single"/>
          <w:lang w:val="en-IE" w:eastAsia="en-GB"/>
        </w:rPr>
        <w:t xml:space="preserve"> Average DP</w:t>
      </w:r>
      <w:r w:rsidR="009F713C">
        <w:rPr>
          <w:rFonts w:ascii="Times New Roman" w:eastAsia="Times New Roman" w:hAnsi="Times New Roman" w:cs="Times New Roman"/>
          <w:szCs w:val="20"/>
          <w:u w:val="single"/>
          <w:lang w:val="en-IE" w:eastAsia="en-GB"/>
        </w:rPr>
        <w:t xml:space="preserve"> / hectare</w:t>
      </w:r>
      <w:r w:rsidRPr="0081538F">
        <w:rPr>
          <w:rFonts w:ascii="Times New Roman" w:eastAsia="Times New Roman" w:hAnsi="Times New Roman" w:cs="Times New Roman"/>
          <w:szCs w:val="20"/>
          <w:u w:val="single"/>
          <w:lang w:val="en-IE" w:eastAsia="en-GB"/>
        </w:rPr>
        <w:t xml:space="preserve"> paid to farms in areas with specific needs </w:t>
      </w:r>
      <w:r w:rsidRPr="0081538F">
        <w:rPr>
          <w:rFonts w:ascii="Times New Roman" w:eastAsia="Times New Roman" w:hAnsi="Times New Roman" w:cs="Times New Roman"/>
          <w:szCs w:val="20"/>
          <w:lang w:val="en-IE" w:eastAsia="en-GB"/>
        </w:rPr>
        <w:t xml:space="preserve">* 100 </w:t>
      </w:r>
    </w:p>
    <w:p w14:paraId="5D80FAA0" w14:textId="77777777" w:rsidR="00012C0B" w:rsidRPr="0081538F" w:rsidRDefault="00012C0B" w:rsidP="00AA6954">
      <w:pPr>
        <w:spacing w:after="480" w:line="240" w:lineRule="auto"/>
        <w:ind w:left="2835"/>
        <w:jc w:val="both"/>
        <w:rPr>
          <w:rFonts w:ascii="Times New Roman" w:eastAsia="Times New Roman" w:hAnsi="Times New Roman" w:cs="Times New Roman"/>
          <w:szCs w:val="20"/>
          <w:lang w:eastAsia="en-GB"/>
        </w:rPr>
      </w:pPr>
      <w:r w:rsidRPr="0081538F">
        <w:rPr>
          <w:rFonts w:ascii="Times New Roman" w:eastAsia="Times New Roman" w:hAnsi="Times New Roman" w:cs="Times New Roman"/>
          <w:szCs w:val="20"/>
          <w:lang w:eastAsia="en-GB"/>
        </w:rPr>
        <w:t>Average DP</w:t>
      </w:r>
      <w:r w:rsidR="009F713C">
        <w:rPr>
          <w:rFonts w:ascii="Times New Roman" w:eastAsia="Times New Roman" w:hAnsi="Times New Roman" w:cs="Times New Roman"/>
          <w:szCs w:val="20"/>
          <w:lang w:eastAsia="en-GB"/>
        </w:rPr>
        <w:t xml:space="preserve"> </w:t>
      </w:r>
      <w:r w:rsidRPr="0081538F">
        <w:rPr>
          <w:rFonts w:ascii="Times New Roman" w:eastAsia="Times New Roman" w:hAnsi="Times New Roman" w:cs="Times New Roman"/>
          <w:szCs w:val="20"/>
          <w:lang w:eastAsia="en-GB"/>
        </w:rPr>
        <w:t>/</w:t>
      </w:r>
      <w:r w:rsidR="009F713C">
        <w:rPr>
          <w:rFonts w:ascii="Times New Roman" w:eastAsia="Times New Roman" w:hAnsi="Times New Roman" w:cs="Times New Roman"/>
          <w:szCs w:val="20"/>
          <w:lang w:eastAsia="en-GB"/>
        </w:rPr>
        <w:t xml:space="preserve"> hectare</w:t>
      </w:r>
      <w:r w:rsidRPr="0081538F">
        <w:rPr>
          <w:rFonts w:ascii="Times New Roman" w:eastAsia="Times New Roman" w:hAnsi="Times New Roman" w:cs="Times New Roman"/>
          <w:szCs w:val="20"/>
          <w:lang w:eastAsia="en-GB"/>
        </w:rPr>
        <w:t xml:space="preserve"> paid to all farmers</w:t>
      </w:r>
    </w:p>
    <w:p w14:paraId="381BBD91" w14:textId="77777777" w:rsidR="00012C0B" w:rsidRPr="0081538F" w:rsidRDefault="00012C0B" w:rsidP="00012C0B">
      <w:pPr>
        <w:spacing w:after="240" w:line="240" w:lineRule="auto"/>
        <w:jc w:val="center"/>
        <w:rPr>
          <w:rFonts w:ascii="Times New Roman" w:eastAsia="Times New Roman" w:hAnsi="Times New Roman" w:cs="Times New Roman"/>
          <w:b/>
          <w:szCs w:val="20"/>
          <w:lang w:val="en-IE" w:eastAsia="en-GB"/>
        </w:rPr>
      </w:pPr>
      <w:r w:rsidRPr="0081538F">
        <w:rPr>
          <w:rFonts w:ascii="Times New Roman" w:eastAsia="Times New Roman" w:hAnsi="Times New Roman" w:cs="Times New Roman"/>
          <w:b/>
          <w:szCs w:val="20"/>
          <w:lang w:val="en-IE" w:eastAsia="en-GB"/>
        </w:rPr>
        <w:t>R.7 = 200 / 182 * 100 = 110%</w:t>
      </w:r>
    </w:p>
    <w:p w14:paraId="1B443DAB" w14:textId="77777777" w:rsidR="00012C0B" w:rsidRPr="0081538F" w:rsidRDefault="00012C0B" w:rsidP="00012C0B">
      <w:pPr>
        <w:spacing w:after="0" w:line="240" w:lineRule="auto"/>
        <w:rPr>
          <w:rFonts w:ascii="Times New Roman" w:eastAsia="Times New Roman" w:hAnsi="Times New Roman" w:cs="Times New Roman"/>
          <w:b/>
          <w:szCs w:val="20"/>
          <w:u w:val="single"/>
          <w:lang w:eastAsia="en-GB"/>
        </w:rPr>
      </w:pPr>
      <w:r w:rsidRPr="0081538F">
        <w:rPr>
          <w:rFonts w:ascii="Times New Roman" w:eastAsia="Times New Roman" w:hAnsi="Times New Roman" w:cs="Times New Roman"/>
          <w:b/>
          <w:szCs w:val="20"/>
          <w:u w:val="single"/>
          <w:lang w:eastAsia="en-GB"/>
        </w:rPr>
        <w:br w:type="page"/>
      </w:r>
    </w:p>
    <w:p w14:paraId="23FE825E" w14:textId="77777777" w:rsidR="003F5D90" w:rsidRDefault="002248C8">
      <w:pPr>
        <w:spacing w:after="160" w:line="259" w:lineRule="auto"/>
        <w:rPr>
          <w:rFonts w:ascii="Times New Roman" w:hAnsi="Times New Roman" w:cs="Times New Roman"/>
          <w:b/>
        </w:rPr>
      </w:pPr>
      <w:r w:rsidRPr="00347FCC">
        <w:rPr>
          <w:rFonts w:ascii="Times New Roman" w:hAnsi="Times New Roman" w:cs="Times New Roman"/>
          <w:b/>
          <w:u w:val="single"/>
        </w:rPr>
        <w:lastRenderedPageBreak/>
        <w:t>Example 3</w:t>
      </w:r>
      <w:r>
        <w:rPr>
          <w:rFonts w:ascii="Times New Roman" w:hAnsi="Times New Roman" w:cs="Times New Roman"/>
          <w:b/>
        </w:rPr>
        <w:t xml:space="preserve">: R.43 </w:t>
      </w:r>
      <w:r w:rsidRPr="002248C8">
        <w:rPr>
          <w:rFonts w:ascii="Times New Roman" w:hAnsi="Times New Roman" w:cs="Times New Roman"/>
          <w:b/>
        </w:rPr>
        <w:t xml:space="preserve">Limiting antimicrobial use: </w:t>
      </w:r>
      <w:r w:rsidRPr="002248C8">
        <w:rPr>
          <w:rFonts w:ascii="Times New Roman" w:hAnsi="Times New Roman" w:cs="Times New Roman"/>
        </w:rPr>
        <w:t>Share of livestock units (LU) concerned by supported actions to limit the use of antimicrobials (prevention/reduction)</w:t>
      </w:r>
    </w:p>
    <w:p w14:paraId="75DC214B" w14:textId="77777777" w:rsidR="00F95C0C" w:rsidRPr="002E0EF7" w:rsidRDefault="00F95C0C" w:rsidP="00F95C0C">
      <w:pPr>
        <w:spacing w:after="240" w:line="240" w:lineRule="auto"/>
        <w:jc w:val="both"/>
        <w:rPr>
          <w:rFonts w:ascii="Times New Roman" w:eastAsia="Times New Roman" w:hAnsi="Times New Roman" w:cs="Times New Roman"/>
          <w:b/>
          <w:szCs w:val="20"/>
          <w:lang w:eastAsia="en-GB"/>
        </w:rPr>
      </w:pPr>
      <w:r w:rsidRPr="002E0EF7">
        <w:rPr>
          <w:rFonts w:ascii="Times New Roman" w:eastAsia="Times New Roman" w:hAnsi="Times New Roman" w:cs="Times New Roman"/>
          <w:b/>
          <w:szCs w:val="20"/>
          <w:lang w:eastAsia="en-GB"/>
        </w:rPr>
        <w:t>Assumptions regarding interventions supporting animal welfare:</w:t>
      </w:r>
    </w:p>
    <w:p w14:paraId="18F62F96" w14:textId="77777777" w:rsidR="00F95C0C" w:rsidRPr="0094746A" w:rsidRDefault="00F95C0C" w:rsidP="0094746A">
      <w:pPr>
        <w:pStyle w:val="ListParagraph"/>
        <w:numPr>
          <w:ilvl w:val="0"/>
          <w:numId w:val="25"/>
        </w:numPr>
        <w:spacing w:after="0" w:line="259" w:lineRule="auto"/>
        <w:ind w:left="714" w:hanging="357"/>
        <w:contextualSpacing w:val="0"/>
        <w:rPr>
          <w:rFonts w:ascii="Times New Roman" w:hAnsi="Times New Roman" w:cs="Times New Roman"/>
        </w:rPr>
      </w:pPr>
      <w:r w:rsidRPr="0094746A">
        <w:rPr>
          <w:rFonts w:ascii="Times New Roman" w:hAnsi="Times New Roman" w:cs="Times New Roman"/>
        </w:rPr>
        <w:t xml:space="preserve">Support to organic farming maintenance (AECMC): </w:t>
      </w:r>
      <w:r w:rsidR="00531AB7" w:rsidRPr="0094746A">
        <w:rPr>
          <w:rFonts w:ascii="Times New Roman" w:hAnsi="Times New Roman" w:cs="Times New Roman"/>
        </w:rPr>
        <w:t>paid in</w:t>
      </w:r>
      <w:r w:rsidRPr="0094746A">
        <w:rPr>
          <w:rFonts w:ascii="Times New Roman" w:hAnsi="Times New Roman" w:cs="Times New Roman"/>
        </w:rPr>
        <w:t xml:space="preserve"> EUR/ha</w:t>
      </w:r>
      <w:r w:rsidR="00531AB7" w:rsidRPr="0094746A">
        <w:rPr>
          <w:rFonts w:ascii="Times New Roman" w:hAnsi="Times New Roman" w:cs="Times New Roman"/>
        </w:rPr>
        <w:t xml:space="preserve">, </w:t>
      </w:r>
    </w:p>
    <w:p w14:paraId="378C525A" w14:textId="77777777" w:rsidR="006C7381" w:rsidRPr="00531AB7" w:rsidRDefault="006C7381" w:rsidP="0094746A">
      <w:pPr>
        <w:numPr>
          <w:ilvl w:val="1"/>
          <w:numId w:val="25"/>
        </w:numPr>
        <w:spacing w:after="0" w:line="259" w:lineRule="auto"/>
        <w:ind w:left="1434" w:hanging="357"/>
        <w:rPr>
          <w:rFonts w:ascii="Times New Roman" w:hAnsi="Times New Roman" w:cs="Times New Roman"/>
        </w:rPr>
      </w:pPr>
      <w:r w:rsidRPr="00531AB7">
        <w:rPr>
          <w:rFonts w:ascii="Times New Roman" w:hAnsi="Times New Roman" w:cs="Times New Roman"/>
          <w:lang w:val="en-US"/>
        </w:rPr>
        <w:t xml:space="preserve">Livestock needs to be matched with area: If the stocking rate is below 0.5 LU/ha, livestock payment is only paid for the amount of hectare which would result in a stocking rate of 0.5 LU/ha </w:t>
      </w:r>
    </w:p>
    <w:p w14:paraId="1D401DC4" w14:textId="77777777" w:rsidR="00531AB7" w:rsidRPr="0094746A" w:rsidRDefault="00531AB7" w:rsidP="0094746A">
      <w:pPr>
        <w:pStyle w:val="ListParagraph"/>
        <w:numPr>
          <w:ilvl w:val="0"/>
          <w:numId w:val="25"/>
        </w:numPr>
        <w:spacing w:after="160" w:line="259" w:lineRule="auto"/>
        <w:rPr>
          <w:rFonts w:ascii="Times New Roman" w:hAnsi="Times New Roman" w:cs="Times New Roman"/>
        </w:rPr>
      </w:pPr>
      <w:r w:rsidRPr="0094746A">
        <w:rPr>
          <w:rFonts w:ascii="Times New Roman" w:hAnsi="Times New Roman" w:cs="Times New Roman"/>
        </w:rPr>
        <w:t>Animal welfare commitment, for ewes, paid in EUR/LU per ewe</w:t>
      </w:r>
    </w:p>
    <w:p w14:paraId="3FC29E3A" w14:textId="77777777" w:rsidR="00F95C0C" w:rsidRPr="0094746A" w:rsidRDefault="00F95C0C" w:rsidP="0094746A">
      <w:pPr>
        <w:pStyle w:val="ListParagraph"/>
        <w:numPr>
          <w:ilvl w:val="0"/>
          <w:numId w:val="25"/>
        </w:numPr>
        <w:spacing w:after="160" w:line="259" w:lineRule="auto"/>
        <w:rPr>
          <w:rFonts w:ascii="Times New Roman" w:hAnsi="Times New Roman" w:cs="Times New Roman"/>
        </w:rPr>
      </w:pPr>
      <w:r w:rsidRPr="0094746A">
        <w:rPr>
          <w:rFonts w:ascii="Times New Roman" w:hAnsi="Times New Roman" w:cs="Times New Roman"/>
        </w:rPr>
        <w:t xml:space="preserve">Investment support for animal welfare: average unit amount </w:t>
      </w:r>
      <w:r w:rsidR="00531AB7" w:rsidRPr="0094746A">
        <w:rPr>
          <w:rFonts w:ascii="Times New Roman" w:hAnsi="Times New Roman" w:cs="Times New Roman"/>
        </w:rPr>
        <w:t>in</w:t>
      </w:r>
      <w:r w:rsidRPr="0094746A">
        <w:rPr>
          <w:rFonts w:ascii="Times New Roman" w:hAnsi="Times New Roman" w:cs="Times New Roman"/>
        </w:rPr>
        <w:t xml:space="preserve"> EUR/operation</w:t>
      </w:r>
    </w:p>
    <w:p w14:paraId="283CEF7D" w14:textId="77777777" w:rsidR="00F95C0C" w:rsidRPr="0094746A" w:rsidRDefault="00F95C0C" w:rsidP="0094746A">
      <w:pPr>
        <w:pStyle w:val="ListParagraph"/>
        <w:numPr>
          <w:ilvl w:val="0"/>
          <w:numId w:val="25"/>
        </w:numPr>
        <w:spacing w:after="160" w:line="259" w:lineRule="auto"/>
        <w:rPr>
          <w:rFonts w:ascii="Times New Roman" w:hAnsi="Times New Roman" w:cs="Times New Roman"/>
        </w:rPr>
      </w:pPr>
      <w:r w:rsidRPr="0094746A">
        <w:rPr>
          <w:rFonts w:ascii="Times New Roman" w:hAnsi="Times New Roman" w:cs="Times New Roman"/>
        </w:rPr>
        <w:t xml:space="preserve">Eco-scheme – animal welfare for </w:t>
      </w:r>
      <w:r w:rsidR="00872D82">
        <w:rPr>
          <w:rFonts w:ascii="Times New Roman" w:hAnsi="Times New Roman" w:cs="Times New Roman"/>
        </w:rPr>
        <w:t>dairy she-goats in stables</w:t>
      </w:r>
      <w:r w:rsidRPr="0094746A">
        <w:rPr>
          <w:rFonts w:ascii="Times New Roman" w:hAnsi="Times New Roman" w:cs="Times New Roman"/>
        </w:rPr>
        <w:t xml:space="preserve">: </w:t>
      </w:r>
      <w:r w:rsidR="00531AB7" w:rsidRPr="0094746A">
        <w:rPr>
          <w:rFonts w:ascii="Times New Roman" w:hAnsi="Times New Roman" w:cs="Times New Roman"/>
        </w:rPr>
        <w:t>paid in EUR/</w:t>
      </w:r>
      <w:r w:rsidRPr="0094746A">
        <w:rPr>
          <w:rFonts w:ascii="Times New Roman" w:hAnsi="Times New Roman" w:cs="Times New Roman"/>
        </w:rPr>
        <w:t xml:space="preserve">LU </w:t>
      </w:r>
    </w:p>
    <w:p w14:paraId="44BC4EC6" w14:textId="77777777" w:rsidR="00F95C0C" w:rsidRPr="002E0EF7" w:rsidRDefault="002E0EF7" w:rsidP="002E0EF7">
      <w:pPr>
        <w:spacing w:before="240" w:after="160" w:line="259" w:lineRule="auto"/>
        <w:rPr>
          <w:rFonts w:ascii="Times New Roman" w:hAnsi="Times New Roman" w:cs="Times New Roman"/>
          <w:b/>
        </w:rPr>
      </w:pPr>
      <w:r w:rsidRPr="002E0EF7">
        <w:rPr>
          <w:rFonts w:ascii="Times New Roman" w:hAnsi="Times New Roman" w:cs="Times New Roman"/>
          <w:b/>
        </w:rPr>
        <w:t>Farm examples</w:t>
      </w:r>
    </w:p>
    <w:p w14:paraId="0726DCE5" w14:textId="77777777" w:rsidR="003F5D90" w:rsidRDefault="00F95C0C">
      <w:pPr>
        <w:spacing w:after="160" w:line="259" w:lineRule="auto"/>
        <w:rPr>
          <w:rFonts w:ascii="Times New Roman" w:hAnsi="Times New Roman" w:cs="Times New Roman"/>
        </w:rPr>
      </w:pPr>
      <w:r>
        <w:rPr>
          <w:rFonts w:ascii="Times New Roman" w:hAnsi="Times New Roman" w:cs="Times New Roman"/>
        </w:rPr>
        <w:t xml:space="preserve">Farm A: Organic farm, with 100 </w:t>
      </w:r>
      <w:r w:rsidR="0094746A">
        <w:rPr>
          <w:rFonts w:ascii="Times New Roman" w:hAnsi="Times New Roman" w:cs="Times New Roman"/>
        </w:rPr>
        <w:t>dairy</w:t>
      </w:r>
      <w:r>
        <w:rPr>
          <w:rFonts w:ascii="Times New Roman" w:hAnsi="Times New Roman" w:cs="Times New Roman"/>
        </w:rPr>
        <w:t xml:space="preserve"> cows</w:t>
      </w:r>
      <w:r w:rsidR="0094746A">
        <w:rPr>
          <w:rFonts w:ascii="Times New Roman" w:hAnsi="Times New Roman" w:cs="Times New Roman"/>
        </w:rPr>
        <w:t xml:space="preserve"> and 200 ha =&gt; 100 LU paid; from FY202</w:t>
      </w:r>
      <w:r w:rsidR="00AD25D9">
        <w:rPr>
          <w:rFonts w:ascii="Times New Roman" w:hAnsi="Times New Roman" w:cs="Times New Roman"/>
        </w:rPr>
        <w:t>4</w:t>
      </w:r>
      <w:r w:rsidR="0094746A">
        <w:rPr>
          <w:rFonts w:ascii="Times New Roman" w:hAnsi="Times New Roman" w:cs="Times New Roman"/>
        </w:rPr>
        <w:t xml:space="preserve"> and then every year</w:t>
      </w:r>
    </w:p>
    <w:p w14:paraId="78F5044C" w14:textId="77777777" w:rsidR="00F95C0C" w:rsidRDefault="00F95C0C">
      <w:pPr>
        <w:spacing w:after="160" w:line="259" w:lineRule="auto"/>
        <w:rPr>
          <w:rFonts w:ascii="Times New Roman" w:hAnsi="Times New Roman" w:cs="Times New Roman"/>
        </w:rPr>
      </w:pPr>
      <w:r>
        <w:rPr>
          <w:rFonts w:ascii="Times New Roman" w:hAnsi="Times New Roman" w:cs="Times New Roman"/>
        </w:rPr>
        <w:t>Farm B: 350 ewes, under Animal welfare commitment</w:t>
      </w:r>
      <w:r w:rsidR="0094746A">
        <w:rPr>
          <w:rFonts w:ascii="Times New Roman" w:hAnsi="Times New Roman" w:cs="Times New Roman"/>
        </w:rPr>
        <w:t xml:space="preserve"> =&gt; 350 heads * 0.</w:t>
      </w:r>
      <w:r w:rsidR="00872D82">
        <w:rPr>
          <w:rFonts w:ascii="Times New Roman" w:hAnsi="Times New Roman" w:cs="Times New Roman"/>
        </w:rPr>
        <w:t>10</w:t>
      </w:r>
      <w:r w:rsidR="0094746A">
        <w:rPr>
          <w:rFonts w:ascii="Times New Roman" w:hAnsi="Times New Roman" w:cs="Times New Roman"/>
        </w:rPr>
        <w:t xml:space="preserve"> LU </w:t>
      </w:r>
      <w:r w:rsidR="00872D82">
        <w:rPr>
          <w:rFonts w:ascii="Times New Roman" w:hAnsi="Times New Roman" w:cs="Times New Roman"/>
        </w:rPr>
        <w:t>= 3</w:t>
      </w:r>
      <w:r w:rsidR="0094746A">
        <w:rPr>
          <w:rFonts w:ascii="Times New Roman" w:hAnsi="Times New Roman" w:cs="Times New Roman"/>
        </w:rPr>
        <w:t>5 LU from FY2026 for 5 years</w:t>
      </w:r>
    </w:p>
    <w:p w14:paraId="6AB2BFE8" w14:textId="77777777" w:rsidR="0094746A" w:rsidRDefault="00872D82">
      <w:pPr>
        <w:spacing w:after="160" w:line="259" w:lineRule="auto"/>
        <w:rPr>
          <w:rFonts w:ascii="Times New Roman" w:hAnsi="Times New Roman" w:cs="Times New Roman"/>
        </w:rPr>
      </w:pPr>
      <w:r>
        <w:rPr>
          <w:rFonts w:ascii="Times New Roman" w:hAnsi="Times New Roman" w:cs="Times New Roman"/>
        </w:rPr>
        <w:t xml:space="preserve">Farm C: Eco-scheme, stable with 200 dairy she-goats at the moment of the claim =&gt; 200 heads * 0.1 LU = 20 LU in </w:t>
      </w:r>
      <w:r w:rsidR="009407AB">
        <w:rPr>
          <w:rFonts w:ascii="Times New Roman" w:hAnsi="Times New Roman" w:cs="Times New Roman"/>
        </w:rPr>
        <w:t xml:space="preserve">FY2025 and </w:t>
      </w:r>
      <w:r>
        <w:rPr>
          <w:rFonts w:ascii="Times New Roman" w:hAnsi="Times New Roman" w:cs="Times New Roman"/>
        </w:rPr>
        <w:t>FY2026</w:t>
      </w:r>
    </w:p>
    <w:p w14:paraId="6679217D" w14:textId="77777777" w:rsidR="00F95C0C" w:rsidRDefault="00872D82">
      <w:pPr>
        <w:spacing w:after="160" w:line="259" w:lineRule="auto"/>
        <w:rPr>
          <w:rFonts w:ascii="Times New Roman" w:hAnsi="Times New Roman" w:cs="Times New Roman"/>
        </w:rPr>
      </w:pPr>
      <w:r>
        <w:rPr>
          <w:rFonts w:ascii="Times New Roman" w:hAnsi="Times New Roman" w:cs="Times New Roman"/>
        </w:rPr>
        <w:t>Farm D</w:t>
      </w:r>
      <w:r w:rsidR="00F95C0C">
        <w:rPr>
          <w:rFonts w:ascii="Times New Roman" w:hAnsi="Times New Roman" w:cs="Times New Roman"/>
        </w:rPr>
        <w:t xml:space="preserve">: Investment </w:t>
      </w:r>
      <w:r w:rsidR="00531AB7">
        <w:rPr>
          <w:rFonts w:ascii="Times New Roman" w:hAnsi="Times New Roman" w:cs="Times New Roman"/>
        </w:rPr>
        <w:t>in a stable for pigs for fattening with 300 places</w:t>
      </w:r>
      <w:r>
        <w:rPr>
          <w:rFonts w:ascii="Times New Roman" w:hAnsi="Times New Roman" w:cs="Times New Roman"/>
        </w:rPr>
        <w:t xml:space="preserve"> =&gt; 300 places * 0.3 = 90 LU, </w:t>
      </w:r>
      <w:r w:rsidR="0094746A">
        <w:rPr>
          <w:rFonts w:ascii="Times New Roman" w:hAnsi="Times New Roman" w:cs="Times New Roman"/>
        </w:rPr>
        <w:t>first payment</w:t>
      </w:r>
      <w:r>
        <w:rPr>
          <w:rFonts w:ascii="Times New Roman" w:hAnsi="Times New Roman" w:cs="Times New Roman"/>
        </w:rPr>
        <w:t xml:space="preserve"> in FY</w:t>
      </w:r>
      <w:r w:rsidR="0094746A">
        <w:rPr>
          <w:rFonts w:ascii="Times New Roman" w:hAnsi="Times New Roman" w:cs="Times New Roman"/>
        </w:rPr>
        <w:t>2025</w:t>
      </w:r>
    </w:p>
    <w:p w14:paraId="50069C10" w14:textId="77777777" w:rsidR="00872D82" w:rsidRDefault="00347FCC">
      <w:pPr>
        <w:spacing w:after="160" w:line="259" w:lineRule="auto"/>
        <w:rPr>
          <w:rFonts w:ascii="Times New Roman" w:hAnsi="Times New Roman" w:cs="Times New Roman"/>
        </w:rPr>
      </w:pPr>
      <w:r>
        <w:rPr>
          <w:rFonts w:ascii="Times New Roman" w:hAnsi="Times New Roman" w:cs="Times New Roman"/>
        </w:rPr>
        <w:t>(Use of Eurostat livestock unit</w:t>
      </w:r>
      <w:r w:rsidR="00872D82">
        <w:rPr>
          <w:rFonts w:ascii="Times New Roman" w:hAnsi="Times New Roman" w:cs="Times New Roman"/>
        </w:rPr>
        <w:t xml:space="preserve"> coefficients)</w:t>
      </w:r>
    </w:p>
    <w:p w14:paraId="289E01FB" w14:textId="77777777" w:rsidR="00872D82" w:rsidRPr="002E0EF7" w:rsidRDefault="00AD25D9" w:rsidP="002E0EF7">
      <w:pPr>
        <w:spacing w:before="240" w:after="160" w:line="259" w:lineRule="auto"/>
        <w:rPr>
          <w:rFonts w:ascii="Times New Roman" w:hAnsi="Times New Roman" w:cs="Times New Roman"/>
          <w:b/>
        </w:rPr>
      </w:pPr>
      <w:r w:rsidRPr="002E0EF7">
        <w:rPr>
          <w:rFonts w:ascii="Times New Roman" w:hAnsi="Times New Roman" w:cs="Times New Roman"/>
          <w:b/>
        </w:rPr>
        <w:t xml:space="preserve">Reporting of the outputs </w:t>
      </w:r>
      <w:r w:rsidR="004732CB" w:rsidRPr="002E0EF7">
        <w:rPr>
          <w:rFonts w:ascii="Times New Roman" w:hAnsi="Times New Roman" w:cs="Times New Roman"/>
          <w:b/>
        </w:rPr>
        <w:t xml:space="preserve">generated </w:t>
      </w:r>
      <w:r w:rsidRPr="002E0EF7">
        <w:rPr>
          <w:rFonts w:ascii="Times New Roman" w:hAnsi="Times New Roman" w:cs="Times New Roman"/>
          <w:b/>
        </w:rPr>
        <w:t>for the</w:t>
      </w:r>
      <w:r w:rsidR="009407AB" w:rsidRPr="002E0EF7">
        <w:rPr>
          <w:rFonts w:ascii="Times New Roman" w:hAnsi="Times New Roman" w:cs="Times New Roman"/>
          <w:b/>
        </w:rPr>
        <w:t xml:space="preserve"> numerator of the Resul</w:t>
      </w:r>
      <w:r w:rsidR="004732CB" w:rsidRPr="002E0EF7">
        <w:rPr>
          <w:rFonts w:ascii="Times New Roman" w:hAnsi="Times New Roman" w:cs="Times New Roman"/>
          <w:b/>
        </w:rPr>
        <w:t>t Indicator</w:t>
      </w:r>
      <w:r w:rsidR="009407AB" w:rsidRPr="002E0EF7">
        <w:rPr>
          <w:rFonts w:ascii="Times New Roman" w:hAnsi="Times New Roman" w:cs="Times New Roman"/>
          <w:b/>
        </w:rPr>
        <w:t>:</w:t>
      </w:r>
    </w:p>
    <w:p w14:paraId="50BED0CD" w14:textId="77777777" w:rsidR="009407AB" w:rsidRPr="009407AB" w:rsidRDefault="009407AB" w:rsidP="009407AB">
      <w:pPr>
        <w:pStyle w:val="ListParagraph"/>
        <w:numPr>
          <w:ilvl w:val="0"/>
          <w:numId w:val="26"/>
        </w:numPr>
        <w:spacing w:after="160" w:line="259" w:lineRule="auto"/>
        <w:rPr>
          <w:rFonts w:ascii="Times New Roman" w:hAnsi="Times New Roman" w:cs="Times New Roman"/>
        </w:rPr>
      </w:pPr>
      <w:r w:rsidRPr="009407AB">
        <w:rPr>
          <w:rFonts w:ascii="Times New Roman" w:hAnsi="Times New Roman" w:cs="Times New Roman"/>
        </w:rPr>
        <w:t>Commitments are accounted annually</w:t>
      </w:r>
    </w:p>
    <w:p w14:paraId="435D216A" w14:textId="77777777" w:rsidR="009407AB" w:rsidRDefault="009407AB" w:rsidP="009407AB">
      <w:pPr>
        <w:pStyle w:val="ListParagraph"/>
        <w:numPr>
          <w:ilvl w:val="0"/>
          <w:numId w:val="26"/>
        </w:numPr>
        <w:spacing w:after="160" w:line="259" w:lineRule="auto"/>
        <w:rPr>
          <w:rFonts w:ascii="Times New Roman" w:hAnsi="Times New Roman" w:cs="Times New Roman"/>
        </w:rPr>
      </w:pPr>
      <w:r w:rsidRPr="009407AB">
        <w:rPr>
          <w:rFonts w:ascii="Times New Roman" w:hAnsi="Times New Roman" w:cs="Times New Roman"/>
        </w:rPr>
        <w:t xml:space="preserve">Investments are accounted cumulatively from the first year of payment </w:t>
      </w:r>
    </w:p>
    <w:tbl>
      <w:tblPr>
        <w:tblW w:w="8480" w:type="dxa"/>
        <w:tblInd w:w="113" w:type="dxa"/>
        <w:tblLook w:val="04A0" w:firstRow="1" w:lastRow="0" w:firstColumn="1" w:lastColumn="0" w:noHBand="0" w:noVBand="1"/>
      </w:tblPr>
      <w:tblGrid>
        <w:gridCol w:w="960"/>
        <w:gridCol w:w="2720"/>
        <w:gridCol w:w="960"/>
        <w:gridCol w:w="960"/>
        <w:gridCol w:w="960"/>
        <w:gridCol w:w="960"/>
        <w:gridCol w:w="960"/>
      </w:tblGrid>
      <w:tr w:rsidR="00F6053C" w:rsidRPr="009407AB" w14:paraId="5A061329" w14:textId="77777777" w:rsidTr="0077796B">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AA49"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7AAC96FF"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in LU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29A4BB" w14:textId="77777777" w:rsidR="00F6053C" w:rsidRPr="00D5353E" w:rsidRDefault="00F6053C" w:rsidP="0077796B">
            <w:pPr>
              <w:spacing w:after="0" w:line="240" w:lineRule="auto"/>
              <w:jc w:val="center"/>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FY2024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A16995" w14:textId="77777777" w:rsidR="00F6053C" w:rsidRPr="00D5353E" w:rsidRDefault="00F6053C" w:rsidP="0077796B">
            <w:pPr>
              <w:spacing w:after="0" w:line="240" w:lineRule="auto"/>
              <w:jc w:val="center"/>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FY2025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5C5630" w14:textId="77777777" w:rsidR="00F6053C" w:rsidRPr="00D5353E" w:rsidRDefault="00F6053C" w:rsidP="0077796B">
            <w:pPr>
              <w:spacing w:after="0" w:line="240" w:lineRule="auto"/>
              <w:jc w:val="center"/>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FY2026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636035" w14:textId="77777777" w:rsidR="00F6053C" w:rsidRPr="00D5353E" w:rsidRDefault="00F6053C" w:rsidP="0077796B">
            <w:pPr>
              <w:spacing w:after="0" w:line="240" w:lineRule="auto"/>
              <w:jc w:val="center"/>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FY2027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6E92E5" w14:textId="77777777" w:rsidR="00F6053C" w:rsidRPr="00D5353E" w:rsidRDefault="00F6053C" w:rsidP="0077796B">
            <w:pPr>
              <w:spacing w:after="0" w:line="240" w:lineRule="auto"/>
              <w:jc w:val="center"/>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FY2028</w:t>
            </w:r>
          </w:p>
        </w:tc>
      </w:tr>
      <w:tr w:rsidR="00F6053C" w:rsidRPr="009407AB" w14:paraId="2C7338D7" w14:textId="77777777" w:rsidTr="0077796B">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A0009"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Farm A</w:t>
            </w:r>
          </w:p>
        </w:tc>
        <w:tc>
          <w:tcPr>
            <w:tcW w:w="2720" w:type="dxa"/>
            <w:tcBorders>
              <w:top w:val="nil"/>
              <w:left w:val="nil"/>
              <w:bottom w:val="single" w:sz="4" w:space="0" w:color="auto"/>
              <w:right w:val="single" w:sz="4" w:space="0" w:color="auto"/>
            </w:tcBorders>
            <w:shd w:val="clear" w:color="auto" w:fill="auto"/>
            <w:noWrap/>
            <w:vAlign w:val="bottom"/>
            <w:hideMark/>
          </w:tcPr>
          <w:p w14:paraId="1E802194"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Organic</w:t>
            </w:r>
          </w:p>
        </w:tc>
        <w:tc>
          <w:tcPr>
            <w:tcW w:w="960" w:type="dxa"/>
            <w:tcBorders>
              <w:top w:val="nil"/>
              <w:left w:val="nil"/>
              <w:bottom w:val="single" w:sz="4" w:space="0" w:color="auto"/>
              <w:right w:val="single" w:sz="4" w:space="0" w:color="auto"/>
            </w:tcBorders>
            <w:shd w:val="clear" w:color="auto" w:fill="auto"/>
            <w:noWrap/>
            <w:vAlign w:val="bottom"/>
            <w:hideMark/>
          </w:tcPr>
          <w:p w14:paraId="3494E91B"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FBF8F71"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2EECBB4"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E097037"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B22ADD2"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100</w:t>
            </w:r>
          </w:p>
        </w:tc>
      </w:tr>
      <w:tr w:rsidR="00F6053C" w:rsidRPr="009407AB" w14:paraId="0CDD5B08" w14:textId="77777777" w:rsidTr="0077796B">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86B24"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Farm B</w:t>
            </w:r>
          </w:p>
        </w:tc>
        <w:tc>
          <w:tcPr>
            <w:tcW w:w="2720" w:type="dxa"/>
            <w:tcBorders>
              <w:top w:val="nil"/>
              <w:left w:val="nil"/>
              <w:bottom w:val="single" w:sz="4" w:space="0" w:color="auto"/>
              <w:right w:val="single" w:sz="4" w:space="0" w:color="auto"/>
            </w:tcBorders>
            <w:shd w:val="clear" w:color="auto" w:fill="auto"/>
            <w:noWrap/>
            <w:vAlign w:val="bottom"/>
            <w:hideMark/>
          </w:tcPr>
          <w:p w14:paraId="6A133884"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Animal welfare commitment</w:t>
            </w:r>
          </w:p>
        </w:tc>
        <w:tc>
          <w:tcPr>
            <w:tcW w:w="960" w:type="dxa"/>
            <w:tcBorders>
              <w:top w:val="nil"/>
              <w:left w:val="nil"/>
              <w:bottom w:val="single" w:sz="4" w:space="0" w:color="auto"/>
              <w:right w:val="single" w:sz="4" w:space="0" w:color="auto"/>
            </w:tcBorders>
            <w:shd w:val="clear" w:color="auto" w:fill="auto"/>
            <w:noWrap/>
            <w:vAlign w:val="bottom"/>
            <w:hideMark/>
          </w:tcPr>
          <w:p w14:paraId="7E6C0421"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E76093"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0A12D"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56E3F08C"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0190035B"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35</w:t>
            </w:r>
          </w:p>
        </w:tc>
      </w:tr>
      <w:tr w:rsidR="00F6053C" w:rsidRPr="009407AB" w14:paraId="53F92AEA" w14:textId="77777777" w:rsidTr="0077796B">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F9F263"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Farm C</w:t>
            </w:r>
          </w:p>
        </w:tc>
        <w:tc>
          <w:tcPr>
            <w:tcW w:w="2720" w:type="dxa"/>
            <w:tcBorders>
              <w:top w:val="nil"/>
              <w:left w:val="nil"/>
              <w:bottom w:val="single" w:sz="4" w:space="0" w:color="auto"/>
              <w:right w:val="single" w:sz="4" w:space="0" w:color="auto"/>
            </w:tcBorders>
            <w:shd w:val="clear" w:color="auto" w:fill="auto"/>
            <w:noWrap/>
            <w:vAlign w:val="bottom"/>
            <w:hideMark/>
          </w:tcPr>
          <w:p w14:paraId="69D492F2"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Eco-scheme</w:t>
            </w:r>
          </w:p>
        </w:tc>
        <w:tc>
          <w:tcPr>
            <w:tcW w:w="960" w:type="dxa"/>
            <w:tcBorders>
              <w:top w:val="nil"/>
              <w:left w:val="nil"/>
              <w:bottom w:val="single" w:sz="4" w:space="0" w:color="auto"/>
              <w:right w:val="single" w:sz="4" w:space="0" w:color="auto"/>
            </w:tcBorders>
            <w:shd w:val="clear" w:color="auto" w:fill="auto"/>
            <w:noWrap/>
            <w:vAlign w:val="bottom"/>
            <w:hideMark/>
          </w:tcPr>
          <w:p w14:paraId="1B164158"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D58CA8"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7E81F201"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5A2DFC8F"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3EDEE1"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r>
      <w:tr w:rsidR="00F6053C" w:rsidRPr="009407AB" w14:paraId="2DCBE4BF" w14:textId="77777777" w:rsidTr="0077796B">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0304C"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Farm D</w:t>
            </w:r>
          </w:p>
        </w:tc>
        <w:tc>
          <w:tcPr>
            <w:tcW w:w="2720" w:type="dxa"/>
            <w:tcBorders>
              <w:top w:val="nil"/>
              <w:left w:val="nil"/>
              <w:bottom w:val="single" w:sz="4" w:space="0" w:color="auto"/>
              <w:right w:val="single" w:sz="4" w:space="0" w:color="auto"/>
            </w:tcBorders>
            <w:shd w:val="clear" w:color="auto" w:fill="auto"/>
            <w:noWrap/>
            <w:vAlign w:val="bottom"/>
            <w:hideMark/>
          </w:tcPr>
          <w:p w14:paraId="51798C8E"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Investment</w:t>
            </w:r>
          </w:p>
        </w:tc>
        <w:tc>
          <w:tcPr>
            <w:tcW w:w="960" w:type="dxa"/>
            <w:tcBorders>
              <w:top w:val="nil"/>
              <w:left w:val="nil"/>
              <w:bottom w:val="single" w:sz="4" w:space="0" w:color="auto"/>
              <w:right w:val="single" w:sz="4" w:space="0" w:color="auto"/>
            </w:tcBorders>
            <w:shd w:val="clear" w:color="auto" w:fill="auto"/>
            <w:noWrap/>
            <w:vAlign w:val="bottom"/>
            <w:hideMark/>
          </w:tcPr>
          <w:p w14:paraId="3F11FF39" w14:textId="77777777" w:rsidR="00F6053C" w:rsidRPr="00D5353E" w:rsidRDefault="00F6053C" w:rsidP="0077796B">
            <w:pPr>
              <w:spacing w:after="0" w:line="240" w:lineRule="auto"/>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0790D2B"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2EFAEDD5"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6B82DB98"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162F408B" w14:textId="77777777" w:rsidR="00F6053C" w:rsidRPr="00D5353E" w:rsidRDefault="00F6053C" w:rsidP="0077796B">
            <w:pPr>
              <w:spacing w:after="0" w:line="240" w:lineRule="auto"/>
              <w:jc w:val="right"/>
              <w:rPr>
                <w:rFonts w:ascii="Times New Roman" w:eastAsia="Times New Roman" w:hAnsi="Times New Roman" w:cs="Times New Roman"/>
                <w:color w:val="000000"/>
                <w:lang w:eastAsia="en-GB"/>
              </w:rPr>
            </w:pPr>
            <w:r w:rsidRPr="00D5353E">
              <w:rPr>
                <w:rFonts w:ascii="Times New Roman" w:eastAsia="Times New Roman" w:hAnsi="Times New Roman" w:cs="Times New Roman"/>
                <w:color w:val="000000"/>
                <w:lang w:eastAsia="en-GB"/>
              </w:rPr>
              <w:t>90</w:t>
            </w:r>
          </w:p>
        </w:tc>
      </w:tr>
      <w:tr w:rsidR="00F6053C" w:rsidRPr="009407AB" w14:paraId="67E4FC8D" w14:textId="77777777" w:rsidTr="0077796B">
        <w:trPr>
          <w:trHeight w:val="290"/>
        </w:trPr>
        <w:tc>
          <w:tcPr>
            <w:tcW w:w="3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33B79"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Numerator of the RI</w:t>
            </w:r>
          </w:p>
        </w:tc>
        <w:tc>
          <w:tcPr>
            <w:tcW w:w="960" w:type="dxa"/>
            <w:tcBorders>
              <w:top w:val="nil"/>
              <w:left w:val="nil"/>
              <w:bottom w:val="single" w:sz="4" w:space="0" w:color="auto"/>
              <w:right w:val="single" w:sz="4" w:space="0" w:color="auto"/>
            </w:tcBorders>
            <w:shd w:val="clear" w:color="auto" w:fill="auto"/>
            <w:noWrap/>
            <w:vAlign w:val="bottom"/>
            <w:hideMark/>
          </w:tcPr>
          <w:p w14:paraId="36DD3A65"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015F954"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210</w:t>
            </w:r>
          </w:p>
        </w:tc>
        <w:tc>
          <w:tcPr>
            <w:tcW w:w="960" w:type="dxa"/>
            <w:tcBorders>
              <w:top w:val="nil"/>
              <w:left w:val="nil"/>
              <w:bottom w:val="single" w:sz="4" w:space="0" w:color="auto"/>
              <w:right w:val="single" w:sz="4" w:space="0" w:color="auto"/>
            </w:tcBorders>
            <w:shd w:val="clear" w:color="auto" w:fill="auto"/>
            <w:noWrap/>
            <w:vAlign w:val="bottom"/>
            <w:hideMark/>
          </w:tcPr>
          <w:p w14:paraId="460AE4AE"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245</w:t>
            </w:r>
          </w:p>
        </w:tc>
        <w:tc>
          <w:tcPr>
            <w:tcW w:w="960" w:type="dxa"/>
            <w:tcBorders>
              <w:top w:val="nil"/>
              <w:left w:val="nil"/>
              <w:bottom w:val="single" w:sz="4" w:space="0" w:color="auto"/>
              <w:right w:val="single" w:sz="4" w:space="0" w:color="auto"/>
            </w:tcBorders>
            <w:shd w:val="clear" w:color="auto" w:fill="auto"/>
            <w:noWrap/>
            <w:vAlign w:val="bottom"/>
            <w:hideMark/>
          </w:tcPr>
          <w:p w14:paraId="2AF3C6E5"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225</w:t>
            </w:r>
          </w:p>
        </w:tc>
        <w:tc>
          <w:tcPr>
            <w:tcW w:w="960" w:type="dxa"/>
            <w:tcBorders>
              <w:top w:val="nil"/>
              <w:left w:val="nil"/>
              <w:bottom w:val="single" w:sz="4" w:space="0" w:color="auto"/>
              <w:right w:val="single" w:sz="4" w:space="0" w:color="auto"/>
            </w:tcBorders>
            <w:shd w:val="clear" w:color="auto" w:fill="auto"/>
            <w:noWrap/>
            <w:vAlign w:val="bottom"/>
            <w:hideMark/>
          </w:tcPr>
          <w:p w14:paraId="6522174E" w14:textId="77777777" w:rsidR="00F6053C" w:rsidRPr="00D5353E" w:rsidRDefault="00F6053C" w:rsidP="0077796B">
            <w:pPr>
              <w:spacing w:after="0" w:line="240" w:lineRule="auto"/>
              <w:jc w:val="right"/>
              <w:rPr>
                <w:rFonts w:ascii="Times New Roman" w:eastAsia="Times New Roman" w:hAnsi="Times New Roman" w:cs="Times New Roman"/>
                <w:b/>
                <w:color w:val="000000"/>
                <w:lang w:eastAsia="en-GB"/>
              </w:rPr>
            </w:pPr>
            <w:r w:rsidRPr="00D5353E">
              <w:rPr>
                <w:rFonts w:ascii="Times New Roman" w:eastAsia="Times New Roman" w:hAnsi="Times New Roman" w:cs="Times New Roman"/>
                <w:b/>
                <w:color w:val="000000"/>
                <w:lang w:eastAsia="en-GB"/>
              </w:rPr>
              <w:t>225</w:t>
            </w:r>
          </w:p>
        </w:tc>
      </w:tr>
    </w:tbl>
    <w:p w14:paraId="56B998AB" w14:textId="77777777" w:rsidR="00F6053C" w:rsidRPr="00F6053C" w:rsidRDefault="00F6053C" w:rsidP="00F6053C">
      <w:pPr>
        <w:spacing w:after="160" w:line="259" w:lineRule="auto"/>
        <w:rPr>
          <w:rFonts w:ascii="Times New Roman" w:hAnsi="Times New Roman" w:cs="Times New Roman"/>
        </w:rPr>
      </w:pPr>
    </w:p>
    <w:p w14:paraId="2922C418" w14:textId="77777777" w:rsidR="00F6053C" w:rsidRDefault="00F6053C" w:rsidP="00F6053C">
      <w:pPr>
        <w:spacing w:after="160" w:line="259" w:lineRule="auto"/>
        <w:sectPr w:rsidR="00F6053C">
          <w:pgSz w:w="12240" w:h="15840"/>
          <w:pgMar w:top="1440" w:right="1440" w:bottom="1440" w:left="1440" w:header="708" w:footer="708" w:gutter="0"/>
          <w:cols w:space="708"/>
          <w:docGrid w:linePitch="360"/>
        </w:sectPr>
      </w:pPr>
    </w:p>
    <w:p w14:paraId="35C99CBE" w14:textId="61E7113A" w:rsidR="00F6053C" w:rsidRPr="007B611E" w:rsidRDefault="00F6053C" w:rsidP="007B611E">
      <w:pPr>
        <w:pStyle w:val="Heading1"/>
        <w:rPr>
          <w:rFonts w:ascii="Times New Roman" w:hAnsi="Times New Roman" w:cs="Times New Roman"/>
          <w:color w:val="C45911" w:themeColor="accent2" w:themeShade="BF"/>
        </w:rPr>
      </w:pPr>
      <w:bookmarkStart w:id="49" w:name="_Toc126762236"/>
      <w:r w:rsidRPr="000B58DB">
        <w:rPr>
          <w:rFonts w:ascii="Times New Roman" w:hAnsi="Times New Roman" w:cs="Times New Roman"/>
          <w:color w:val="C45911" w:themeColor="accent2" w:themeShade="BF"/>
          <w:u w:val="single"/>
        </w:rPr>
        <w:lastRenderedPageBreak/>
        <w:t>Annex X</w:t>
      </w:r>
      <w:r w:rsidR="007B611E">
        <w:rPr>
          <w:rFonts w:ascii="Times New Roman" w:hAnsi="Times New Roman" w:cs="Times New Roman"/>
          <w:color w:val="C45911" w:themeColor="accent2" w:themeShade="BF"/>
          <w:u w:val="single"/>
        </w:rPr>
        <w:t>I</w:t>
      </w:r>
      <w:r w:rsidR="000B58DB" w:rsidRPr="007B611E">
        <w:rPr>
          <w:rFonts w:ascii="Times New Roman" w:hAnsi="Times New Roman" w:cs="Times New Roman"/>
          <w:color w:val="C45911" w:themeColor="accent2" w:themeShade="BF"/>
        </w:rPr>
        <w:t xml:space="preserve">: </w:t>
      </w:r>
      <w:r w:rsidR="005B1285" w:rsidRPr="007B611E">
        <w:rPr>
          <w:rFonts w:ascii="Times New Roman" w:hAnsi="Times New Roman" w:cs="Times New Roman"/>
          <w:color w:val="C45911" w:themeColor="accent2" w:themeShade="BF"/>
        </w:rPr>
        <w:t>Where to record s</w:t>
      </w:r>
      <w:r w:rsidRPr="007B611E">
        <w:rPr>
          <w:rFonts w:ascii="Times New Roman" w:hAnsi="Times New Roman" w:cs="Times New Roman"/>
          <w:color w:val="C45911" w:themeColor="accent2" w:themeShade="BF"/>
        </w:rPr>
        <w:t>ectoral types of interventions?</w:t>
      </w:r>
      <w:bookmarkEnd w:id="49"/>
    </w:p>
    <w:p w14:paraId="128EFE91" w14:textId="56CF2503" w:rsidR="00F6053C" w:rsidRPr="00F6053C" w:rsidRDefault="00F6053C" w:rsidP="000B58DB">
      <w:pPr>
        <w:spacing w:before="240"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 xml:space="preserve">At the level of planning, establishing the link between sectoral types of interventions and </w:t>
      </w:r>
      <w:r w:rsidR="00ED3576">
        <w:rPr>
          <w:rFonts w:ascii="Times New Roman" w:eastAsia="Times New Roman" w:hAnsi="Times New Roman" w:cs="Times New Roman"/>
          <w:sz w:val="24"/>
          <w:szCs w:val="20"/>
          <w:lang w:eastAsia="en-GB"/>
        </w:rPr>
        <w:t>result indicators</w:t>
      </w:r>
      <w:r w:rsidRPr="00F6053C">
        <w:rPr>
          <w:rFonts w:ascii="Times New Roman" w:eastAsia="Times New Roman" w:hAnsi="Times New Roman" w:cs="Times New Roman"/>
          <w:sz w:val="24"/>
          <w:szCs w:val="20"/>
          <w:lang w:eastAsia="en-GB"/>
        </w:rPr>
        <w:t xml:space="preserve"> can be straightforward, e.g.:</w:t>
      </w:r>
    </w:p>
    <w:p w14:paraId="12C8B67A" w14:textId="77777777" w:rsidR="00F6053C" w:rsidRPr="00F6053C" w:rsidRDefault="00F6053C" w:rsidP="00F6053C">
      <w:pPr>
        <w:numPr>
          <w:ilvl w:val="0"/>
          <w:numId w:val="29"/>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operational programmes are all linked to R.10 – Better supply chain organisation and R.11 – Concentration of supply</w:t>
      </w:r>
    </w:p>
    <w:p w14:paraId="390D29D5" w14:textId="77777777" w:rsidR="00F6053C" w:rsidRPr="00F6053C" w:rsidRDefault="00F6053C" w:rsidP="00F6053C">
      <w:pPr>
        <w:numPr>
          <w:ilvl w:val="0"/>
          <w:numId w:val="29"/>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 xml:space="preserve">for risk management all types of interventions under Article 47(2) are directly and significantly linked to R.5 Risk management, except for coaching (paragraph (j) linked to R.1). Similarly, in the wine sector, Article 58(1)(c) – Green harvesting, as well as Article 58(1)(d) – Harvest insurance, Article 58(1)(l) – Mutual funds are linked to R.5 Risk management.) </w:t>
      </w:r>
    </w:p>
    <w:p w14:paraId="490A9D1B" w14:textId="1D1F2428"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 xml:space="preserve">However, for several types of interventions, the link depends very much on the kind of interventions designed by </w:t>
      </w:r>
      <w:r w:rsidR="00240623">
        <w:rPr>
          <w:rFonts w:ascii="Times New Roman" w:eastAsia="Times New Roman" w:hAnsi="Times New Roman" w:cs="Times New Roman"/>
          <w:sz w:val="24"/>
          <w:szCs w:val="20"/>
          <w:lang w:eastAsia="en-GB"/>
        </w:rPr>
        <w:t>MS</w:t>
      </w:r>
      <w:r w:rsidRPr="00F6053C">
        <w:rPr>
          <w:rFonts w:ascii="Times New Roman" w:eastAsia="Times New Roman" w:hAnsi="Times New Roman" w:cs="Times New Roman"/>
          <w:sz w:val="24"/>
          <w:szCs w:val="20"/>
          <w:lang w:eastAsia="en-GB"/>
        </w:rPr>
        <w:t>. For example, under Article 47(1)(a), investments, training, environmental practices or other kind of actions can be financed. R</w:t>
      </w:r>
      <w:r w:rsidR="00ED3576">
        <w:rPr>
          <w:rFonts w:ascii="Times New Roman" w:eastAsia="Times New Roman" w:hAnsi="Times New Roman" w:cs="Times New Roman"/>
          <w:sz w:val="24"/>
          <w:szCs w:val="20"/>
          <w:lang w:eastAsia="en-GB"/>
        </w:rPr>
        <w:t>esult indicators</w:t>
      </w:r>
      <w:r w:rsidR="006B7083">
        <w:rPr>
          <w:rFonts w:ascii="Times New Roman" w:eastAsia="Times New Roman" w:hAnsi="Times New Roman" w:cs="Times New Roman"/>
          <w:sz w:val="24"/>
          <w:szCs w:val="20"/>
          <w:lang w:eastAsia="en-GB"/>
        </w:rPr>
        <w:t xml:space="preserve"> </w:t>
      </w:r>
      <w:r w:rsidRPr="00F6053C">
        <w:rPr>
          <w:rFonts w:ascii="Times New Roman" w:eastAsia="Times New Roman" w:hAnsi="Times New Roman" w:cs="Times New Roman"/>
          <w:sz w:val="24"/>
          <w:szCs w:val="20"/>
          <w:lang w:eastAsia="en-GB"/>
        </w:rPr>
        <w:t xml:space="preserve">are purpose specific (soil, water, modernisation…) but they are also intervention specific. Therefore, in addition to checking the purpose of the intervention, </w:t>
      </w:r>
      <w:r w:rsidR="00240623">
        <w:rPr>
          <w:rFonts w:ascii="Times New Roman" w:eastAsia="Times New Roman" w:hAnsi="Times New Roman" w:cs="Times New Roman"/>
          <w:sz w:val="24"/>
          <w:szCs w:val="20"/>
          <w:lang w:eastAsia="en-GB"/>
        </w:rPr>
        <w:t>MS</w:t>
      </w:r>
      <w:r w:rsidRPr="00F6053C">
        <w:rPr>
          <w:rFonts w:ascii="Times New Roman" w:eastAsia="Times New Roman" w:hAnsi="Times New Roman" w:cs="Times New Roman"/>
          <w:sz w:val="24"/>
          <w:szCs w:val="20"/>
          <w:lang w:eastAsia="en-GB"/>
        </w:rPr>
        <w:t xml:space="preserve"> need to follow some key principles to establish the relevant links in the CAP </w:t>
      </w:r>
      <w:r w:rsidR="00E147D2">
        <w:rPr>
          <w:rFonts w:ascii="Times New Roman" w:eastAsia="Times New Roman" w:hAnsi="Times New Roman" w:cs="Times New Roman"/>
          <w:sz w:val="24"/>
          <w:szCs w:val="20"/>
          <w:lang w:eastAsia="en-GB"/>
        </w:rPr>
        <w:t>s</w:t>
      </w:r>
      <w:r w:rsidRPr="00F6053C">
        <w:rPr>
          <w:rFonts w:ascii="Times New Roman" w:eastAsia="Times New Roman" w:hAnsi="Times New Roman" w:cs="Times New Roman"/>
          <w:sz w:val="24"/>
          <w:szCs w:val="20"/>
          <w:lang w:eastAsia="en-GB"/>
        </w:rPr>
        <w:t xml:space="preserve">trategic </w:t>
      </w:r>
      <w:r w:rsidR="00E147D2">
        <w:rPr>
          <w:rFonts w:ascii="Times New Roman" w:eastAsia="Times New Roman" w:hAnsi="Times New Roman" w:cs="Times New Roman"/>
          <w:sz w:val="24"/>
          <w:szCs w:val="20"/>
          <w:lang w:eastAsia="en-GB"/>
        </w:rPr>
        <w:t>p</w:t>
      </w:r>
      <w:r w:rsidRPr="00F6053C">
        <w:rPr>
          <w:rFonts w:ascii="Times New Roman" w:eastAsia="Times New Roman" w:hAnsi="Times New Roman" w:cs="Times New Roman"/>
          <w:sz w:val="24"/>
          <w:szCs w:val="20"/>
          <w:lang w:eastAsia="en-GB"/>
        </w:rPr>
        <w:t>lan (and later in the Annual Performance Report) at the level of the intervention or the intervention/unit amount:</w:t>
      </w:r>
    </w:p>
    <w:p w14:paraId="3739EEA6" w14:textId="77777777" w:rsidR="00F6053C" w:rsidRPr="00F6053C" w:rsidRDefault="00F6053C" w:rsidP="00F6053C">
      <w:pPr>
        <w:spacing w:after="240" w:line="240" w:lineRule="auto"/>
        <w:jc w:val="both"/>
        <w:rPr>
          <w:rFonts w:ascii="Times New Roman" w:eastAsia="Times New Roman" w:hAnsi="Times New Roman" w:cs="Times New Roman"/>
          <w:b/>
          <w:sz w:val="24"/>
          <w:szCs w:val="20"/>
          <w:lang w:eastAsia="en-GB"/>
        </w:rPr>
      </w:pPr>
      <w:r w:rsidRPr="00F6053C">
        <w:rPr>
          <w:rFonts w:ascii="Times New Roman" w:eastAsia="Times New Roman" w:hAnsi="Times New Roman" w:cs="Times New Roman"/>
          <w:b/>
          <w:sz w:val="24"/>
          <w:szCs w:val="20"/>
          <w:lang w:eastAsia="en-GB"/>
        </w:rPr>
        <w:t xml:space="preserve">Environmental practices: </w:t>
      </w:r>
    </w:p>
    <w:p w14:paraId="448527FA" w14:textId="77777777" w:rsidR="00F6053C" w:rsidRPr="00F6053C" w:rsidRDefault="00F6053C" w:rsidP="00F6053C">
      <w:pPr>
        <w:numPr>
          <w:ilvl w:val="0"/>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to be related to R.12 – Adaptation to climate change, R.14 – Carbon storage in soils and biomass, R.19 – Improving and protecting soils, R.20 – Improving air quality, R.21 – Protecting water quality, R.22 – Sustainable nutrient management, R.23 – Sustainable water use, R.24 – Sustainable and reduced use of pesticides, R.29 – Development of organic agriculture, R.31 – Preserving habitats and species, R.34 – Pre</w:t>
      </w:r>
      <w:r w:rsidR="0007710E">
        <w:rPr>
          <w:rFonts w:ascii="Times New Roman" w:eastAsia="Times New Roman" w:hAnsi="Times New Roman" w:cs="Times New Roman"/>
          <w:sz w:val="24"/>
          <w:szCs w:val="24"/>
        </w:rPr>
        <w:t>serving landscape features,</w:t>
      </w:r>
      <w:r w:rsidRPr="00F6053C">
        <w:rPr>
          <w:rFonts w:ascii="Times New Roman" w:eastAsia="Times New Roman" w:hAnsi="Times New Roman" w:cs="Times New Roman"/>
          <w:sz w:val="24"/>
          <w:szCs w:val="24"/>
        </w:rPr>
        <w:t xml:space="preserve"> the intervention </w:t>
      </w:r>
      <w:r w:rsidR="0007710E">
        <w:rPr>
          <w:rFonts w:ascii="Times New Roman" w:eastAsia="Times New Roman" w:hAnsi="Times New Roman" w:cs="Times New Roman"/>
          <w:sz w:val="24"/>
          <w:szCs w:val="24"/>
        </w:rPr>
        <w:t>needs to:</w:t>
      </w:r>
    </w:p>
    <w:p w14:paraId="435B7B36"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promote a farming practice going beyond conditionality requirements and,</w:t>
      </w:r>
    </w:p>
    <w:p w14:paraId="279294D8"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 xml:space="preserve">be paid per hectare </w:t>
      </w:r>
    </w:p>
    <w:p w14:paraId="3D64EE39"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potential candidates: soil conservation under 47(1)(a)(i), maintaining habitats favourable to biodiversity under Article 47(1)(a)(x), management practices adapted to changing climate conditions under Article 47(1)(a)(iii), reducing emissions under Article 47(1)(a)(vii), reducing risks and impacts of pesticide use, including implementing Integrated Pest Management techniques under Article 47(1)(a)(viii), organic or integrated production under Article 47(1)(d), actions to mitigate climate change and to adapt to climate change under Article 47(1)(i), improvements of vineyard management techniques under Article58(1)(a)</w:t>
      </w:r>
      <w:r w:rsidR="00E147D2">
        <w:rPr>
          <w:rFonts w:ascii="Times New Roman" w:eastAsia="Times New Roman" w:hAnsi="Times New Roman" w:cs="Times New Roman"/>
          <w:sz w:val="24"/>
          <w:szCs w:val="24"/>
        </w:rPr>
        <w:t>(iv)</w:t>
      </w:r>
      <w:r w:rsidRPr="00F6053C">
        <w:rPr>
          <w:rFonts w:ascii="Times New Roman" w:eastAsia="Times New Roman" w:hAnsi="Times New Roman" w:cs="Times New Roman"/>
          <w:sz w:val="24"/>
          <w:szCs w:val="24"/>
        </w:rPr>
        <w:t>.</w:t>
      </w:r>
    </w:p>
    <w:p w14:paraId="6413CCAF" w14:textId="77777777" w:rsidR="00F6053C" w:rsidRPr="00F6053C" w:rsidRDefault="00F6053C" w:rsidP="00F6053C">
      <w:pPr>
        <w:numPr>
          <w:ilvl w:val="0"/>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to be related to R.13 – Reducing emissions in the livestock sector, the intervention needs to</w:t>
      </w:r>
      <w:r w:rsidR="00E43573">
        <w:rPr>
          <w:rFonts w:ascii="Times New Roman" w:eastAsia="Times New Roman" w:hAnsi="Times New Roman" w:cs="Times New Roman"/>
          <w:sz w:val="24"/>
          <w:szCs w:val="24"/>
        </w:rPr>
        <w:t>:</w:t>
      </w:r>
      <w:r w:rsidRPr="00F6053C">
        <w:rPr>
          <w:rFonts w:ascii="Times New Roman" w:eastAsia="Times New Roman" w:hAnsi="Times New Roman" w:cs="Times New Roman"/>
          <w:sz w:val="24"/>
          <w:szCs w:val="24"/>
        </w:rPr>
        <w:t xml:space="preserve"> </w:t>
      </w:r>
    </w:p>
    <w:p w14:paraId="66A03674"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promote a farming practice beneficial for climate action going beyond conditionality requirements and,</w:t>
      </w:r>
    </w:p>
    <w:p w14:paraId="2B55FB06"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be paid per livestock unit</w:t>
      </w:r>
      <w:r w:rsidRPr="00F6053C">
        <w:rPr>
          <w:rFonts w:ascii="Times New Roman" w:eastAsia="Times New Roman" w:hAnsi="Times New Roman" w:cs="Times New Roman"/>
          <w:sz w:val="24"/>
          <w:szCs w:val="24"/>
        </w:rPr>
        <w:t xml:space="preserve"> </w:t>
      </w:r>
    </w:p>
    <w:p w14:paraId="1C8BEAD3" w14:textId="77777777" w:rsidR="00F6053C" w:rsidRPr="00F6053C" w:rsidRDefault="00F6053C" w:rsidP="00F6053C">
      <w:pPr>
        <w:numPr>
          <w:ilvl w:val="1"/>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 xml:space="preserve">potential candidate: reducing emissions under Article 47(1)(a)(vii), promoting the development and use of breeds and management practices adapted to changing </w:t>
      </w:r>
      <w:r w:rsidRPr="00F6053C">
        <w:rPr>
          <w:rFonts w:ascii="Times New Roman" w:eastAsia="Times New Roman" w:hAnsi="Times New Roman" w:cs="Times New Roman"/>
          <w:sz w:val="24"/>
          <w:szCs w:val="24"/>
        </w:rPr>
        <w:lastRenderedPageBreak/>
        <w:t>climate conditions under Article 47(1)(a)(iii), actions to mitigate climate change and to adapt to climate change under Article 47(1)(i)</w:t>
      </w:r>
      <w:r w:rsidR="00E43573">
        <w:rPr>
          <w:rFonts w:ascii="Times New Roman" w:eastAsia="Times New Roman" w:hAnsi="Times New Roman" w:cs="Times New Roman"/>
          <w:sz w:val="24"/>
          <w:szCs w:val="24"/>
        </w:rPr>
        <w:t>.</w:t>
      </w:r>
    </w:p>
    <w:p w14:paraId="3EBC6BBB" w14:textId="77777777" w:rsidR="00F6053C" w:rsidRDefault="00F6053C" w:rsidP="00F6053C">
      <w:pPr>
        <w:numPr>
          <w:ilvl w:val="0"/>
          <w:numId w:val="28"/>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rPr>
        <w:t>to be related to R.25 – Environmental performance in the livestock sector, the intervention needs to promote a farming practice beneficial to natural resources or biodiversity, going beyond conditionality requirements and to be paid per livestock unit.</w:t>
      </w:r>
    </w:p>
    <w:p w14:paraId="5D7DBEEC" w14:textId="77777777" w:rsidR="00E43573" w:rsidRPr="00F6053C" w:rsidRDefault="00E43573" w:rsidP="00E43573">
      <w:pPr>
        <w:spacing w:after="240" w:line="240" w:lineRule="auto"/>
        <w:ind w:left="720"/>
        <w:contextualSpacing/>
        <w:jc w:val="both"/>
        <w:rPr>
          <w:rFonts w:ascii="Times New Roman" w:eastAsia="Times New Roman" w:hAnsi="Times New Roman" w:cs="Times New Roman"/>
          <w:sz w:val="24"/>
          <w:szCs w:val="24"/>
        </w:rPr>
      </w:pPr>
    </w:p>
    <w:p w14:paraId="3C124358" w14:textId="77777777" w:rsidR="00F6053C" w:rsidRPr="00F6053C" w:rsidRDefault="00F6053C" w:rsidP="00F6053C">
      <w:pPr>
        <w:spacing w:after="240" w:line="240" w:lineRule="auto"/>
        <w:jc w:val="both"/>
        <w:rPr>
          <w:rFonts w:ascii="Times New Roman" w:eastAsia="Times New Roman" w:hAnsi="Times New Roman" w:cs="Times New Roman"/>
          <w:b/>
          <w:sz w:val="24"/>
          <w:szCs w:val="20"/>
          <w:lang w:eastAsia="en-GB"/>
        </w:rPr>
      </w:pPr>
      <w:r w:rsidRPr="00F6053C">
        <w:rPr>
          <w:rFonts w:ascii="Times New Roman" w:eastAsia="Times New Roman" w:hAnsi="Times New Roman" w:cs="Times New Roman"/>
          <w:b/>
          <w:sz w:val="24"/>
          <w:szCs w:val="20"/>
          <w:lang w:eastAsia="en-GB"/>
        </w:rPr>
        <w:t>Animal welfare and AMR</w:t>
      </w:r>
    </w:p>
    <w:p w14:paraId="23AE581E" w14:textId="77777777"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By contrast, under R.44 – Improving animal welfare and R.43 – Limiting antimicrobial use, various kind of interventions can be mixed (investments and management practices) and MS need to plan/report the number of Livestock Units covered (e.g. biosecurity, animal health and welfare under 47(1)(a)(vi), improving resilience against animal disease and reducing the use of veterinary medicines including antibiotics Article 47</w:t>
      </w:r>
      <w:r w:rsidR="0007710E">
        <w:rPr>
          <w:rFonts w:ascii="Times New Roman" w:eastAsia="Times New Roman" w:hAnsi="Times New Roman" w:cs="Times New Roman"/>
          <w:sz w:val="24"/>
          <w:szCs w:val="20"/>
          <w:lang w:eastAsia="en-GB"/>
        </w:rPr>
        <w:t>(1)(a)(ix)</w:t>
      </w:r>
      <w:r w:rsidRPr="00F6053C">
        <w:rPr>
          <w:rFonts w:ascii="Times New Roman" w:eastAsia="Times New Roman" w:hAnsi="Times New Roman" w:cs="Times New Roman"/>
          <w:sz w:val="24"/>
          <w:szCs w:val="20"/>
          <w:lang w:eastAsia="en-GB"/>
        </w:rPr>
        <w:t>.</w:t>
      </w:r>
    </w:p>
    <w:p w14:paraId="727745DF" w14:textId="77777777" w:rsidR="00F6053C" w:rsidRPr="00F6053C" w:rsidRDefault="00F6053C" w:rsidP="00F6053C">
      <w:pPr>
        <w:spacing w:after="240" w:line="240" w:lineRule="auto"/>
        <w:jc w:val="both"/>
        <w:rPr>
          <w:rFonts w:ascii="Times New Roman" w:eastAsia="Times New Roman" w:hAnsi="Times New Roman" w:cs="Times New Roman"/>
          <w:b/>
          <w:sz w:val="24"/>
          <w:szCs w:val="20"/>
          <w:lang w:eastAsia="en-GB"/>
        </w:rPr>
      </w:pPr>
      <w:r w:rsidRPr="00F6053C">
        <w:rPr>
          <w:rFonts w:ascii="Times New Roman" w:eastAsia="Times New Roman" w:hAnsi="Times New Roman" w:cs="Times New Roman"/>
          <w:b/>
          <w:sz w:val="24"/>
          <w:szCs w:val="20"/>
          <w:lang w:eastAsia="en-GB"/>
        </w:rPr>
        <w:t>Investments</w:t>
      </w:r>
    </w:p>
    <w:p w14:paraId="64C06715" w14:textId="77777777"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 xml:space="preserve">For investments, the main split is between those related to: </w:t>
      </w:r>
    </w:p>
    <w:p w14:paraId="443F8032"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primary agricultural activities</w:t>
      </w:r>
      <w:r w:rsidRPr="00F6053C">
        <w:rPr>
          <w:rFonts w:ascii="Times New Roman" w:eastAsia="Times New Roman" w:hAnsi="Times New Roman" w:cs="Times New Roman"/>
          <w:sz w:val="24"/>
          <w:szCs w:val="24"/>
        </w:rPr>
        <w:t xml:space="preserve"> in view of modernising and restructuring farms (e.g. restructuring and conversion of vineyards under Article 58(1)(a)) typically to be linked to R.9 – Farm modernisation </w:t>
      </w:r>
    </w:p>
    <w:p w14:paraId="5325E9C3"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climate and environmental action on farms</w:t>
      </w:r>
      <w:r w:rsidRPr="00F6053C">
        <w:rPr>
          <w:rFonts w:ascii="Times New Roman" w:eastAsia="Times New Roman" w:hAnsi="Times New Roman" w:cs="Times New Roman"/>
          <w:sz w:val="24"/>
          <w:szCs w:val="24"/>
        </w:rPr>
        <w:t xml:space="preserve"> (e.g. water saving under Article 47(1)(a)(ii)): green investments are to be linked to R.16 – Investments related to climate, R.26 – Investments related to natural resources and R.32 - Investments related to biodiversity. Green investments can be productive and thus linked to R.9 – Farm modernisation also.</w:t>
      </w:r>
    </w:p>
    <w:p w14:paraId="7085B162"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woodland creation</w:t>
      </w:r>
      <w:r w:rsidR="00E43573">
        <w:rPr>
          <w:rFonts w:ascii="Times New Roman" w:eastAsia="Times New Roman" w:hAnsi="Times New Roman" w:cs="Times New Roman"/>
          <w:sz w:val="24"/>
          <w:szCs w:val="24"/>
        </w:rPr>
        <w:t>, to be linked to R.17 –</w:t>
      </w:r>
      <w:r w:rsidRPr="00F6053C">
        <w:rPr>
          <w:rFonts w:ascii="Times New Roman" w:eastAsia="Times New Roman" w:hAnsi="Times New Roman" w:cs="Times New Roman"/>
          <w:sz w:val="24"/>
          <w:szCs w:val="24"/>
        </w:rPr>
        <w:t>Afforested land (e.g. creation/establishment of woody landscape features under Article 47</w:t>
      </w:r>
      <w:r w:rsidR="00E43573">
        <w:rPr>
          <w:rFonts w:ascii="Times New Roman" w:eastAsia="Times New Roman" w:hAnsi="Times New Roman" w:cs="Times New Roman"/>
          <w:sz w:val="24"/>
          <w:szCs w:val="24"/>
        </w:rPr>
        <w:t>(1)(a)(x)</w:t>
      </w:r>
      <w:r w:rsidRPr="00F6053C">
        <w:rPr>
          <w:rFonts w:ascii="Times New Roman" w:eastAsia="Times New Roman" w:hAnsi="Times New Roman" w:cs="Times New Roman"/>
          <w:sz w:val="24"/>
          <w:szCs w:val="24"/>
        </w:rPr>
        <w:t>.</w:t>
      </w:r>
    </w:p>
    <w:p w14:paraId="53F2EABF"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digitalisation</w:t>
      </w:r>
      <w:r w:rsidRPr="00F6053C">
        <w:rPr>
          <w:rFonts w:ascii="Times New Roman" w:eastAsia="Times New Roman" w:hAnsi="Times New Roman" w:cs="Times New Roman"/>
          <w:sz w:val="24"/>
          <w:szCs w:val="24"/>
        </w:rPr>
        <w:t xml:space="preserve"> of farms, to be linked to R.3 – Digitalising agriculture.</w:t>
      </w:r>
    </w:p>
    <w:p w14:paraId="29247BD4"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renewable energy production</w:t>
      </w:r>
      <w:r w:rsidRPr="00F6053C">
        <w:rPr>
          <w:rFonts w:ascii="Times New Roman" w:eastAsia="Times New Roman" w:hAnsi="Times New Roman" w:cs="Times New Roman"/>
          <w:sz w:val="24"/>
          <w:szCs w:val="24"/>
        </w:rPr>
        <w:t>, to be linked to R.15 – Renewable energy and also to R.16 – Investments related to climate if the investment takes place on the farm.</w:t>
      </w:r>
    </w:p>
    <w:p w14:paraId="77AF30B4" w14:textId="77777777" w:rsidR="00F6053C" w:rsidRPr="00F6053C" w:rsidRDefault="00F6053C" w:rsidP="00F6053C">
      <w:pPr>
        <w:numPr>
          <w:ilvl w:val="0"/>
          <w:numId w:val="30"/>
        </w:numPr>
        <w:spacing w:after="240" w:line="240" w:lineRule="auto"/>
        <w:contextualSpacing/>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rural businesses, with an economic dimension</w:t>
      </w:r>
      <w:r w:rsidRPr="00F6053C">
        <w:rPr>
          <w:rFonts w:ascii="Times New Roman" w:eastAsia="Times New Roman" w:hAnsi="Times New Roman" w:cs="Times New Roman"/>
          <w:sz w:val="24"/>
          <w:szCs w:val="24"/>
        </w:rPr>
        <w:t>, to be linked to R.39 Developing the rural economy, this includes the investment support to wineries, POs infrastructure, processing, agri-tourism… It also includes diversification activities of farms (other gainful activities of the holding).</w:t>
      </w:r>
    </w:p>
    <w:p w14:paraId="16EC6E8B" w14:textId="77777777" w:rsidR="00F6053C" w:rsidRPr="00F6053C" w:rsidRDefault="00F6053C" w:rsidP="00D5353E">
      <w:pPr>
        <w:numPr>
          <w:ilvl w:val="0"/>
          <w:numId w:val="30"/>
        </w:numPr>
        <w:spacing w:after="240" w:line="240" w:lineRule="auto"/>
        <w:ind w:left="714" w:hanging="357"/>
        <w:jc w:val="both"/>
        <w:rPr>
          <w:rFonts w:ascii="Times New Roman" w:eastAsia="Times New Roman" w:hAnsi="Times New Roman" w:cs="Times New Roman"/>
          <w:sz w:val="24"/>
          <w:szCs w:val="24"/>
        </w:rPr>
      </w:pPr>
      <w:r w:rsidRPr="00F6053C">
        <w:rPr>
          <w:rFonts w:ascii="Times New Roman" w:eastAsia="Times New Roman" w:hAnsi="Times New Roman" w:cs="Times New Roman"/>
          <w:sz w:val="24"/>
          <w:szCs w:val="24"/>
          <w:u w:val="single"/>
        </w:rPr>
        <w:t>the environment, but not on farms</w:t>
      </w:r>
      <w:r w:rsidRPr="00F6053C">
        <w:rPr>
          <w:rFonts w:ascii="Times New Roman" w:eastAsia="Times New Roman" w:hAnsi="Times New Roman" w:cs="Times New Roman"/>
          <w:sz w:val="24"/>
          <w:szCs w:val="24"/>
        </w:rPr>
        <w:t>, to be linked to R.26 – Environment-/climate-related performance, through investment in rural areas.</w:t>
      </w:r>
    </w:p>
    <w:p w14:paraId="0759756F" w14:textId="77777777" w:rsidR="00F6053C" w:rsidRPr="00F6053C" w:rsidRDefault="00F6053C" w:rsidP="00F6053C">
      <w:pPr>
        <w:spacing w:after="240" w:line="240" w:lineRule="auto"/>
        <w:jc w:val="both"/>
        <w:rPr>
          <w:rFonts w:ascii="Times New Roman" w:eastAsia="Times New Roman" w:hAnsi="Times New Roman" w:cs="Times New Roman"/>
          <w:b/>
          <w:sz w:val="24"/>
          <w:szCs w:val="20"/>
          <w:lang w:eastAsia="en-GB"/>
        </w:rPr>
      </w:pPr>
      <w:r w:rsidRPr="00F6053C">
        <w:rPr>
          <w:rFonts w:ascii="Times New Roman" w:eastAsia="Times New Roman" w:hAnsi="Times New Roman" w:cs="Times New Roman"/>
          <w:b/>
          <w:sz w:val="24"/>
          <w:szCs w:val="20"/>
          <w:lang w:eastAsia="en-GB"/>
        </w:rPr>
        <w:t>Job creation</w:t>
      </w:r>
    </w:p>
    <w:p w14:paraId="0DFAD9E0" w14:textId="77777777"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 xml:space="preserve">In addition, investments (or any other action) leading to the creation of jobs in rural areas are to be linked to R.37 – Growth and jobs in rural areas. </w:t>
      </w:r>
    </w:p>
    <w:p w14:paraId="6B8522D7" w14:textId="77777777" w:rsidR="00F6053C" w:rsidRPr="00F6053C" w:rsidRDefault="00F6053C" w:rsidP="00F6053C">
      <w:pPr>
        <w:spacing w:after="240" w:line="240" w:lineRule="auto"/>
        <w:jc w:val="both"/>
        <w:rPr>
          <w:rFonts w:ascii="Times New Roman" w:eastAsia="Times New Roman" w:hAnsi="Times New Roman" w:cs="Times New Roman"/>
          <w:b/>
          <w:sz w:val="24"/>
          <w:szCs w:val="20"/>
          <w:lang w:eastAsia="en-GB"/>
        </w:rPr>
      </w:pPr>
      <w:r w:rsidRPr="00F6053C">
        <w:rPr>
          <w:rFonts w:ascii="Times New Roman" w:eastAsia="Times New Roman" w:hAnsi="Times New Roman" w:cs="Times New Roman"/>
          <w:b/>
          <w:sz w:val="24"/>
          <w:szCs w:val="20"/>
          <w:lang w:eastAsia="en-GB"/>
        </w:rPr>
        <w:t>Knowledge</w:t>
      </w:r>
    </w:p>
    <w:p w14:paraId="6D968258" w14:textId="77777777"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 xml:space="preserve">The number of persons trained, coached, advised, benefitting from exchange of good practices, participating in innovative cooperation projects… e.g. under Article 47(1)(b), Article 47(1)(c), Article 47(2)(j), Article 58(1)(f), are to be linked R.1 – Enhancing performance through </w:t>
      </w:r>
      <w:r w:rsidRPr="00F6053C">
        <w:rPr>
          <w:rFonts w:ascii="Times New Roman" w:eastAsia="Times New Roman" w:hAnsi="Times New Roman" w:cs="Times New Roman"/>
          <w:sz w:val="24"/>
          <w:szCs w:val="20"/>
          <w:lang w:eastAsia="en-GB"/>
        </w:rPr>
        <w:lastRenderedPageBreak/>
        <w:t>knowledge and innovation. In addition, if the training aims at improving the environmental and climatic performance, it should be linked to R.28 Environmental/climate performance through knowledge and innovation.</w:t>
      </w:r>
    </w:p>
    <w:p w14:paraId="42136E11" w14:textId="77777777" w:rsidR="00F6053C" w:rsidRPr="00F6053C" w:rsidRDefault="00F6053C" w:rsidP="00F6053C">
      <w:pPr>
        <w:spacing w:after="240" w:line="240" w:lineRule="auto"/>
        <w:jc w:val="both"/>
        <w:rPr>
          <w:rFonts w:ascii="Times New Roman" w:eastAsia="Times New Roman" w:hAnsi="Times New Roman" w:cs="Times New Roman"/>
          <w:sz w:val="24"/>
          <w:szCs w:val="20"/>
          <w:lang w:eastAsia="en-GB"/>
        </w:rPr>
      </w:pPr>
      <w:r w:rsidRPr="00F6053C">
        <w:rPr>
          <w:rFonts w:ascii="Times New Roman" w:eastAsia="Times New Roman" w:hAnsi="Times New Roman" w:cs="Times New Roman"/>
          <w:sz w:val="24"/>
          <w:szCs w:val="20"/>
          <w:lang w:eastAsia="en-GB"/>
        </w:rPr>
        <w:t>In addition the number of supported advisors is to be linked to R.2 – Linking advice and knowledge systems.</w:t>
      </w:r>
    </w:p>
    <w:p w14:paraId="7E726501" w14:textId="77777777" w:rsidR="00F6053C" w:rsidRPr="00F6053C" w:rsidRDefault="00F6053C" w:rsidP="00F6053C">
      <w:pPr>
        <w:spacing w:after="0" w:line="240" w:lineRule="auto"/>
        <w:rPr>
          <w:rFonts w:ascii="Times New Roman" w:eastAsia="Times New Roman" w:hAnsi="Times New Roman" w:cs="Times New Roman"/>
          <w:b/>
          <w:sz w:val="24"/>
          <w:szCs w:val="20"/>
          <w:u w:val="single"/>
          <w:lang w:eastAsia="en-GB"/>
        </w:rPr>
      </w:pPr>
      <w:r w:rsidRPr="00F6053C">
        <w:rPr>
          <w:rFonts w:ascii="Times New Roman" w:eastAsia="Times New Roman" w:hAnsi="Times New Roman" w:cs="Times New Roman"/>
          <w:sz w:val="24"/>
          <w:szCs w:val="20"/>
          <w:lang w:eastAsia="en-GB"/>
        </w:rPr>
        <w:t>However activities or actions related to promotion, communication and marketing, raising consumer awareness, implementation of traceability and certification systems are not linked to R.1 - Enhancing performance through knowledge and innovation.</w:t>
      </w:r>
    </w:p>
    <w:p w14:paraId="0599C79C" w14:textId="77777777" w:rsidR="007407E8" w:rsidRDefault="007407E8" w:rsidP="007407E8">
      <w:pPr>
        <w:spacing w:after="160" w:line="259" w:lineRule="auto"/>
        <w:rPr>
          <w:rFonts w:ascii="Times New Roman" w:hAnsi="Times New Roman" w:cs="Times New Roman"/>
        </w:rPr>
      </w:pPr>
    </w:p>
    <w:p w14:paraId="778B630A" w14:textId="77777777" w:rsidR="00B33040" w:rsidRDefault="00B33040" w:rsidP="007407E8">
      <w:pPr>
        <w:spacing w:after="160" w:line="259" w:lineRule="auto"/>
        <w:rPr>
          <w:rFonts w:ascii="Times New Roman" w:hAnsi="Times New Roman" w:cs="Times New Roman"/>
        </w:rPr>
      </w:pPr>
    </w:p>
    <w:p w14:paraId="39637FC1" w14:textId="77777777" w:rsidR="00B33040" w:rsidRDefault="00B33040" w:rsidP="00B33040">
      <w:pPr>
        <w:spacing w:after="160" w:line="259" w:lineRule="auto"/>
        <w:rPr>
          <w:rFonts w:ascii="Times New Roman" w:hAnsi="Times New Roman" w:cs="Times New Roman"/>
          <w:b/>
        </w:rPr>
      </w:pPr>
    </w:p>
    <w:sectPr w:rsidR="00B33040">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42F03" w16cex:dateUtc="2022-11-03T09:26:43.707Z"/>
  <w16cex:commentExtensible w16cex:durableId="6573C2BA" w16cex:dateUtc="2022-11-10T07:21:57.861Z"/>
  <w16cex:commentExtensible w16cex:durableId="4C4E8C85" w16cex:dateUtc="2022-11-10T07:29:34.044Z"/>
  <w16cex:commentExtensible w16cex:durableId="32A18AFB" w16cex:dateUtc="2022-11-10T10:59:55.647Z"/>
  <w16cex:commentExtensible w16cex:durableId="48BD10A2" w16cex:dateUtc="2022-11-15T10:42:25.739Z"/>
  <w16cex:commentExtensible w16cex:durableId="1E383069" w16cex:dateUtc="2022-11-15T10:42:36.333Z"/>
  <w16cex:commentExtensible w16cex:durableId="615F50B0" w16cex:dateUtc="2022-11-15T10:42:45.876Z"/>
  <w16cex:commentExtensible w16cex:durableId="64FEAC2B" w16cex:dateUtc="2022-11-15T10:48:51.783Z"/>
  <w16cex:commentExtensible w16cex:durableId="29ED7874" w16cex:dateUtc="2022-11-15T11:04:24.424Z"/>
  <w16cex:commentExtensible w16cex:durableId="4E495395" w16cex:dateUtc="2022-11-15T13:54:41.206Z"/>
  <w16cex:commentExtensible w16cex:durableId="29C3A727" w16cex:dateUtc="2022-11-15T13:55:19.179Z"/>
</w16cex:commentsExtensible>
</file>

<file path=word/commentsIds.xml><?xml version="1.0" encoding="utf-8"?>
<w16cid:commentsIds xmlns:mc="http://schemas.openxmlformats.org/markup-compatibility/2006" xmlns:w16cid="http://schemas.microsoft.com/office/word/2016/wordml/cid" mc:Ignorable="w16cid">
  <w16cid:commentId w16cid:paraId="5BDF24E2" w16cid:durableId="63382FDC"/>
  <w16cid:commentId w16cid:paraId="2A3EC5A1" w16cid:durableId="587BBBFA"/>
  <w16cid:commentId w16cid:paraId="232A3B32" w16cid:durableId="2CB42F03"/>
  <w16cid:commentId w16cid:paraId="4AD9626F" w16cid:durableId="6573C2BA"/>
  <w16cid:commentId w16cid:paraId="46CF7BD1" w16cid:durableId="4C4E8C85"/>
  <w16cid:commentId w16cid:paraId="75AAD5E1" w16cid:durableId="32A18AFB"/>
  <w16cid:commentId w16cid:paraId="21B78551" w16cid:durableId="72C085F2"/>
  <w16cid:commentId w16cid:paraId="67DC5A2C" w16cid:durableId="37F43FCB"/>
  <w16cid:commentId w16cid:paraId="708A4141" w16cid:durableId="55A0B7F6"/>
  <w16cid:commentId w16cid:paraId="23ED430E" w16cid:durableId="1A036625"/>
  <w16cid:commentId w16cid:paraId="030FA089" w16cid:durableId="48BD10A2"/>
  <w16cid:commentId w16cid:paraId="59AAC5CC" w16cid:durableId="1E383069"/>
  <w16cid:commentId w16cid:paraId="1E290C30" w16cid:durableId="615F50B0"/>
  <w16cid:commentId w16cid:paraId="37578A92" w16cid:durableId="64FEAC2B"/>
  <w16cid:commentId w16cid:paraId="7CC07759" w16cid:durableId="29ED7874"/>
  <w16cid:commentId w16cid:paraId="6C131B57" w16cid:durableId="4E495395"/>
  <w16cid:commentId w16cid:paraId="7F383DCF" w16cid:durableId="29C3A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7FD6" w14:textId="77777777" w:rsidR="004C55C8" w:rsidRDefault="004C55C8" w:rsidP="00705EC3">
      <w:pPr>
        <w:spacing w:after="0" w:line="240" w:lineRule="auto"/>
      </w:pPr>
      <w:r>
        <w:separator/>
      </w:r>
    </w:p>
  </w:endnote>
  <w:endnote w:type="continuationSeparator" w:id="0">
    <w:p w14:paraId="2B588974" w14:textId="77777777" w:rsidR="004C55C8" w:rsidRDefault="004C55C8" w:rsidP="00705EC3">
      <w:pPr>
        <w:spacing w:after="0" w:line="240" w:lineRule="auto"/>
      </w:pPr>
      <w:r>
        <w:continuationSeparator/>
      </w:r>
    </w:p>
  </w:endnote>
  <w:endnote w:type="continuationNotice" w:id="1">
    <w:p w14:paraId="0E1154F0" w14:textId="77777777" w:rsidR="004C55C8" w:rsidRDefault="004C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2160" w14:textId="77777777" w:rsidR="008571B0" w:rsidRDefault="0085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4608" w14:textId="77777777" w:rsidR="008571B0" w:rsidRDefault="008571B0">
    <w:pPr>
      <w:pStyle w:val="Footer"/>
    </w:pPr>
    <w:r>
      <w:rPr>
        <w:noProof/>
        <w:lang w:val="en-US"/>
      </w:rPr>
      <w:drawing>
        <wp:anchor distT="0" distB="0" distL="114300" distR="114300" simplePos="0" relativeHeight="251657216" behindDoc="0" locked="0" layoutInCell="1" allowOverlap="1" wp14:anchorId="33EE2097" wp14:editId="5164FF6B">
          <wp:simplePos x="0" y="0"/>
          <wp:positionH relativeFrom="column">
            <wp:align>center</wp:align>
          </wp:positionH>
          <wp:positionV relativeFrom="page">
            <wp:posOffset>9839960</wp:posOffset>
          </wp:positionV>
          <wp:extent cx="728980" cy="486410"/>
          <wp:effectExtent l="0" t="0" r="0" b="8890"/>
          <wp:wrapThrough wrapText="bothSides">
            <wp:wrapPolygon edited="0">
              <wp:start x="0" y="0"/>
              <wp:lineTo x="0" y="21149"/>
              <wp:lineTo x="20885" y="21149"/>
              <wp:lineTo x="20885" y="0"/>
              <wp:lineTo x="0" y="0"/>
            </wp:wrapPolygon>
          </wp:wrapThrough>
          <wp:docPr id="6" name="Picture 6" descr="Footer Box Agriculture EN v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ter Box Agriculture EN v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E8D8" w14:textId="77777777" w:rsidR="008571B0" w:rsidRDefault="00857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9F0F" w14:textId="77777777" w:rsidR="008571B0" w:rsidRDefault="008571B0">
    <w:pPr>
      <w:pStyle w:val="Footer"/>
      <w:pBdr>
        <w:top w:val="single" w:sz="4" w:space="1" w:color="D9D9D9" w:themeColor="background1" w:themeShade="D9"/>
      </w:pBdr>
      <w:rPr>
        <w:b/>
        <w:bCs/>
      </w:rPr>
    </w:pPr>
  </w:p>
  <w:p w14:paraId="20BEB346" w14:textId="77777777" w:rsidR="008571B0" w:rsidRDefault="008571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22A1" w14:textId="77777777" w:rsidR="008571B0" w:rsidRDefault="008571B0">
    <w:pPr>
      <w:pStyle w:val="Footer"/>
      <w:pBdr>
        <w:top w:val="single" w:sz="4" w:space="1" w:color="D9D9D9" w:themeColor="background1" w:themeShade="D9"/>
      </w:pBdr>
      <w:rPr>
        <w:b/>
        <w:bCs/>
      </w:rPr>
    </w:pPr>
  </w:p>
  <w:p w14:paraId="51D3669C" w14:textId="77777777" w:rsidR="008571B0" w:rsidRDefault="008571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772801"/>
      <w:docPartObj>
        <w:docPartGallery w:val="Page Numbers (Bottom of Page)"/>
        <w:docPartUnique/>
      </w:docPartObj>
    </w:sdtPr>
    <w:sdtEndPr>
      <w:rPr>
        <w:color w:val="7F7F7F" w:themeColor="background1" w:themeShade="7F"/>
        <w:spacing w:val="60"/>
      </w:rPr>
    </w:sdtEndPr>
    <w:sdtContent>
      <w:p w14:paraId="43CF9405" w14:textId="519A2852" w:rsidR="008571B0" w:rsidRDefault="008571B0">
        <w:pPr>
          <w:pStyle w:val="Footer"/>
          <w:pBdr>
            <w:top w:val="single" w:sz="4" w:space="1" w:color="D9D9D9" w:themeColor="background1" w:themeShade="D9"/>
          </w:pBdr>
          <w:rPr>
            <w:b/>
            <w:bCs/>
          </w:rPr>
        </w:pPr>
        <w:r w:rsidRPr="00E22EBD">
          <w:rPr>
            <w:rFonts w:ascii="Times New Roman" w:hAnsi="Times New Roman" w:cs="Times New Roman"/>
          </w:rPr>
          <w:fldChar w:fldCharType="begin"/>
        </w:r>
        <w:r w:rsidRPr="00E22EBD">
          <w:rPr>
            <w:rFonts w:ascii="Times New Roman" w:hAnsi="Times New Roman" w:cs="Times New Roman"/>
          </w:rPr>
          <w:instrText xml:space="preserve"> PAGE   \* MERGEFORMAT </w:instrText>
        </w:r>
        <w:r w:rsidRPr="00E22EBD">
          <w:rPr>
            <w:rFonts w:ascii="Times New Roman" w:hAnsi="Times New Roman" w:cs="Times New Roman"/>
          </w:rPr>
          <w:fldChar w:fldCharType="separate"/>
        </w:r>
        <w:r w:rsidR="00E87318" w:rsidRPr="00E87318">
          <w:rPr>
            <w:rFonts w:ascii="Times New Roman" w:hAnsi="Times New Roman" w:cs="Times New Roman"/>
            <w:b/>
            <w:bCs/>
            <w:noProof/>
          </w:rPr>
          <w:t>16</w:t>
        </w:r>
        <w:r w:rsidRPr="00E22EBD">
          <w:rPr>
            <w:rFonts w:ascii="Times New Roman" w:hAnsi="Times New Roman" w:cs="Times New Roman"/>
            <w:b/>
            <w:bCs/>
            <w:noProof/>
          </w:rPr>
          <w:fldChar w:fldCharType="end"/>
        </w:r>
        <w:r>
          <w:rPr>
            <w:b/>
            <w:bCs/>
          </w:rPr>
          <w:t xml:space="preserve"> | </w:t>
        </w:r>
        <w:r w:rsidRPr="00E22EBD">
          <w:rPr>
            <w:color w:val="7F7F7F" w:themeColor="background1" w:themeShade="7F"/>
            <w:spacing w:val="60"/>
          </w:rPr>
          <w:t>Page</w:t>
        </w:r>
      </w:p>
    </w:sdtContent>
  </w:sdt>
  <w:p w14:paraId="0D6E5C9C" w14:textId="77777777" w:rsidR="008571B0" w:rsidRDefault="0085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DCCE" w14:textId="77777777" w:rsidR="004C55C8" w:rsidRDefault="004C55C8" w:rsidP="00705EC3">
      <w:pPr>
        <w:spacing w:after="0" w:line="240" w:lineRule="auto"/>
      </w:pPr>
      <w:r>
        <w:separator/>
      </w:r>
    </w:p>
  </w:footnote>
  <w:footnote w:type="continuationSeparator" w:id="0">
    <w:p w14:paraId="01D4BF45" w14:textId="77777777" w:rsidR="004C55C8" w:rsidRDefault="004C55C8" w:rsidP="00705EC3">
      <w:pPr>
        <w:spacing w:after="0" w:line="240" w:lineRule="auto"/>
      </w:pPr>
      <w:r>
        <w:continuationSeparator/>
      </w:r>
    </w:p>
  </w:footnote>
  <w:footnote w:type="continuationNotice" w:id="1">
    <w:p w14:paraId="60EF34D3" w14:textId="77777777" w:rsidR="004C55C8" w:rsidRDefault="004C55C8">
      <w:pPr>
        <w:spacing w:after="0" w:line="240" w:lineRule="auto"/>
      </w:pPr>
    </w:p>
  </w:footnote>
  <w:footnote w:id="2">
    <w:p w14:paraId="7B9B5C6D" w14:textId="77777777" w:rsidR="008571B0" w:rsidRPr="00B307A7" w:rsidRDefault="008571B0">
      <w:pPr>
        <w:pStyle w:val="FootnoteText"/>
        <w:rPr>
          <w:rFonts w:ascii="Times New Roman" w:hAnsi="Times New Roman" w:cs="Times New Roman"/>
        </w:rPr>
      </w:pPr>
      <w:r w:rsidRPr="00B307A7">
        <w:rPr>
          <w:rStyle w:val="FootnoteReference"/>
          <w:rFonts w:ascii="Times New Roman" w:hAnsi="Times New Roman" w:cs="Times New Roman"/>
        </w:rPr>
        <w:footnoteRef/>
      </w:r>
      <w:r w:rsidRPr="00B307A7">
        <w:rPr>
          <w:rFonts w:ascii="Times New Roman" w:hAnsi="Times New Roman" w:cs="Times New Roman"/>
        </w:rPr>
        <w:t xml:space="preserve"> Last access on 10 December 2021</w:t>
      </w:r>
    </w:p>
  </w:footnote>
  <w:footnote w:id="3">
    <w:p w14:paraId="1235C746" w14:textId="77777777" w:rsidR="008571B0" w:rsidRDefault="008571B0" w:rsidP="00CE5552">
      <w:pPr>
        <w:spacing w:after="0"/>
        <w:rPr>
          <w:rFonts w:ascii="Times New Roman" w:hAnsi="Times New Roman" w:cs="Times New Roman"/>
          <w:sz w:val="20"/>
          <w:szCs w:val="20"/>
        </w:rPr>
      </w:pPr>
      <w:r w:rsidRPr="003B01AB">
        <w:rPr>
          <w:rStyle w:val="FootnoteReference"/>
          <w:rFonts w:ascii="Times New Roman" w:hAnsi="Times New Roman" w:cs="Times New Roman"/>
        </w:rPr>
        <w:footnoteRef/>
      </w:r>
      <w:r w:rsidRPr="003B01AB">
        <w:rPr>
          <w:rFonts w:ascii="Times New Roman" w:hAnsi="Times New Roman" w:cs="Times New Roman"/>
        </w:rPr>
        <w:t xml:space="preserve"> </w:t>
      </w:r>
      <w:r w:rsidRPr="00CE5552">
        <w:rPr>
          <w:rFonts w:ascii="Times New Roman" w:hAnsi="Times New Roman" w:cs="Times New Roman"/>
          <w:sz w:val="20"/>
          <w:szCs w:val="20"/>
        </w:rPr>
        <w:t xml:space="preserve">Last access on 14 December 2021. </w:t>
      </w:r>
    </w:p>
    <w:p w14:paraId="342A7DB4" w14:textId="77777777" w:rsidR="008571B0" w:rsidRPr="00CE5552" w:rsidRDefault="008571B0" w:rsidP="002E05D1">
      <w:pPr>
        <w:spacing w:after="0"/>
        <w:rPr>
          <w:rFonts w:ascii="Times New Roman" w:hAnsi="Times New Roman" w:cs="Times New Roman"/>
          <w:sz w:val="20"/>
          <w:szCs w:val="20"/>
          <w:lang w:val="en-IE"/>
        </w:rPr>
      </w:pPr>
      <w:r w:rsidRPr="00CE5552">
        <w:rPr>
          <w:rFonts w:ascii="Times New Roman" w:hAnsi="Times New Roman" w:cs="Times New Roman"/>
          <w:sz w:val="20"/>
          <w:szCs w:val="20"/>
        </w:rPr>
        <w:t>Access is restricted to accredited users.</w:t>
      </w:r>
      <w:r w:rsidRPr="00CE5552">
        <w:rPr>
          <w:rFonts w:ascii="Times New Roman" w:hAnsi="Times New Roman" w:cs="Times New Roman"/>
          <w:sz w:val="20"/>
          <w:szCs w:val="20"/>
          <w:lang w:val="en-IE"/>
        </w:rPr>
        <w:t xml:space="preserve"> Users </w:t>
      </w:r>
      <w:r>
        <w:rPr>
          <w:rFonts w:ascii="Times New Roman" w:hAnsi="Times New Roman" w:cs="Times New Roman"/>
          <w:sz w:val="20"/>
          <w:szCs w:val="20"/>
          <w:lang w:val="en-IE"/>
        </w:rPr>
        <w:t>with a valid</w:t>
      </w:r>
      <w:r w:rsidRPr="00CE5552">
        <w:rPr>
          <w:rFonts w:ascii="Times New Roman" w:hAnsi="Times New Roman" w:cs="Times New Roman"/>
          <w:sz w:val="20"/>
          <w:szCs w:val="20"/>
          <w:lang w:val="en-IE"/>
        </w:rPr>
        <w:t xml:space="preserve"> EU login account </w:t>
      </w:r>
      <w:r>
        <w:rPr>
          <w:rFonts w:ascii="Times New Roman" w:hAnsi="Times New Roman" w:cs="Times New Roman"/>
          <w:sz w:val="20"/>
          <w:szCs w:val="20"/>
          <w:lang w:val="en-IE"/>
        </w:rPr>
        <w:t xml:space="preserve">can request access by </w:t>
      </w:r>
      <w:r w:rsidRPr="00CE5552">
        <w:rPr>
          <w:rFonts w:ascii="Times New Roman" w:hAnsi="Times New Roman" w:cs="Times New Roman"/>
          <w:sz w:val="20"/>
          <w:szCs w:val="20"/>
          <w:lang w:val="en-IE"/>
        </w:rPr>
        <w:t>sending an email to the functional mailbox</w:t>
      </w:r>
      <w:r>
        <w:rPr>
          <w:rFonts w:ascii="Times New Roman" w:hAnsi="Times New Roman" w:cs="Times New Roman"/>
          <w:sz w:val="20"/>
          <w:szCs w:val="20"/>
          <w:lang w:val="en-IE"/>
        </w:rPr>
        <w:t>:</w:t>
      </w:r>
      <w:r w:rsidRPr="00CE5552">
        <w:rPr>
          <w:rFonts w:ascii="Times New Roman" w:hAnsi="Times New Roman" w:cs="Times New Roman"/>
          <w:sz w:val="20"/>
          <w:szCs w:val="20"/>
          <w:lang w:val="en-IE"/>
        </w:rPr>
        <w:t xml:space="preserve"> </w:t>
      </w:r>
      <w:hyperlink r:id="rId1" w:history="1">
        <w:r w:rsidRPr="00CE5552">
          <w:rPr>
            <w:rStyle w:val="Hyperlink"/>
            <w:rFonts w:ascii="Times New Roman" w:hAnsi="Times New Roman" w:cs="Times New Roman"/>
            <w:sz w:val="20"/>
            <w:szCs w:val="20"/>
            <w:lang w:val="en-IE"/>
          </w:rPr>
          <w:t>JRC-WIKI-CAP-SP@ec.europa.eu</w:t>
        </w:r>
      </w:hyperlink>
    </w:p>
    <w:p w14:paraId="5D2541D9" w14:textId="77777777" w:rsidR="008571B0" w:rsidRPr="00CE5552" w:rsidRDefault="008571B0" w:rsidP="002E05D1">
      <w:pPr>
        <w:rPr>
          <w:rFonts w:ascii="Times New Roman" w:hAnsi="Times New Roman" w:cs="Times New Roman"/>
          <w:sz w:val="20"/>
          <w:szCs w:val="20"/>
          <w:lang w:val="en-IE"/>
        </w:rPr>
      </w:pPr>
      <w:r>
        <w:rPr>
          <w:rFonts w:ascii="Times New Roman" w:hAnsi="Times New Roman" w:cs="Times New Roman"/>
          <w:sz w:val="20"/>
          <w:szCs w:val="20"/>
          <w:lang w:val="en-IE"/>
        </w:rPr>
        <w:t>Accredited users accessing t</w:t>
      </w:r>
      <w:r w:rsidRPr="00CE5552">
        <w:rPr>
          <w:rFonts w:ascii="Times New Roman" w:hAnsi="Times New Roman" w:cs="Times New Roman"/>
          <w:sz w:val="20"/>
          <w:szCs w:val="20"/>
          <w:lang w:val="en-IE"/>
        </w:rPr>
        <w:t xml:space="preserve">he JRC wiki website </w:t>
      </w:r>
      <w:r>
        <w:rPr>
          <w:rFonts w:ascii="Times New Roman" w:hAnsi="Times New Roman" w:cs="Times New Roman"/>
          <w:sz w:val="20"/>
          <w:szCs w:val="20"/>
          <w:lang w:val="en-IE"/>
        </w:rPr>
        <w:t xml:space="preserve">can also consult the </w:t>
      </w:r>
      <w:r w:rsidRPr="00CE5552">
        <w:rPr>
          <w:rFonts w:ascii="Times New Roman" w:hAnsi="Times New Roman" w:cs="Times New Roman"/>
          <w:sz w:val="20"/>
          <w:szCs w:val="20"/>
          <w:lang w:val="en-IE"/>
        </w:rPr>
        <w:t xml:space="preserve">results on </w:t>
      </w:r>
      <w:r>
        <w:rPr>
          <w:rFonts w:ascii="Times New Roman" w:hAnsi="Times New Roman" w:cs="Times New Roman"/>
          <w:sz w:val="20"/>
          <w:szCs w:val="20"/>
          <w:lang w:val="en-IE"/>
        </w:rPr>
        <w:t xml:space="preserve">the </w:t>
      </w:r>
      <w:r w:rsidRPr="00CE5552">
        <w:rPr>
          <w:rFonts w:ascii="Times New Roman" w:hAnsi="Times New Roman" w:cs="Times New Roman"/>
          <w:sz w:val="20"/>
          <w:szCs w:val="20"/>
          <w:lang w:val="en-IE"/>
        </w:rPr>
        <w:t>literature review on farming practices</w:t>
      </w:r>
      <w:r>
        <w:rPr>
          <w:rFonts w:ascii="Times New Roman" w:hAnsi="Times New Roman" w:cs="Times New Roman"/>
          <w:sz w:val="20"/>
          <w:szCs w:val="20"/>
          <w:lang w:val="en-IE"/>
        </w:rPr>
        <w:t xml:space="preserve">, which </w:t>
      </w:r>
      <w:r w:rsidRPr="00CE5552">
        <w:rPr>
          <w:rFonts w:ascii="Times New Roman" w:hAnsi="Times New Roman" w:cs="Times New Roman"/>
          <w:sz w:val="20"/>
          <w:szCs w:val="20"/>
          <w:lang w:val="en-IE"/>
        </w:rPr>
        <w:t>is available</w:t>
      </w:r>
      <w:r>
        <w:rPr>
          <w:rFonts w:ascii="Times New Roman" w:hAnsi="Times New Roman" w:cs="Times New Roman"/>
          <w:sz w:val="20"/>
          <w:szCs w:val="20"/>
          <w:lang w:val="en-IE"/>
        </w:rPr>
        <w:t xml:space="preserve"> at this </w:t>
      </w:r>
      <w:hyperlink r:id="rId2" w:history="1">
        <w:r w:rsidRPr="00CE5552">
          <w:rPr>
            <w:rStyle w:val="Hyperlink"/>
            <w:rFonts w:ascii="Times New Roman" w:hAnsi="Times New Roman" w:cs="Times New Roman"/>
            <w:sz w:val="20"/>
            <w:szCs w:val="20"/>
            <w:lang w:val="en-IE"/>
          </w:rPr>
          <w:t>link</w:t>
        </w:r>
      </w:hyperlink>
      <w:r>
        <w:rPr>
          <w:rFonts w:ascii="Times New Roman" w:hAnsi="Times New Roman" w:cs="Times New Roman"/>
          <w:sz w:val="20"/>
          <w:szCs w:val="20"/>
          <w:lang w:val="en-IE"/>
        </w:rPr>
        <w:t>.</w:t>
      </w:r>
    </w:p>
  </w:footnote>
  <w:footnote w:id="4">
    <w:p w14:paraId="795C0B67" w14:textId="77777777" w:rsidR="008571B0" w:rsidRPr="00D5353E" w:rsidRDefault="008571B0">
      <w:pPr>
        <w:pStyle w:val="FootnoteText"/>
        <w:rPr>
          <w:rFonts w:ascii="Times New Roman" w:hAnsi="Times New Roman" w:cs="Times New Roman"/>
        </w:rPr>
      </w:pPr>
      <w:r w:rsidRPr="00D5353E">
        <w:rPr>
          <w:rStyle w:val="FootnoteReference"/>
          <w:rFonts w:ascii="Times New Roman" w:hAnsi="Times New Roman" w:cs="Times New Roman"/>
        </w:rPr>
        <w:footnoteRef/>
      </w:r>
      <w:r w:rsidRPr="00D5353E">
        <w:rPr>
          <w:rFonts w:ascii="Times New Roman" w:hAnsi="Times New Roman" w:cs="Times New Roman"/>
        </w:rPr>
        <w:t xml:space="preserve"> Investments leading to a net increase in irrigated area</w:t>
      </w:r>
    </w:p>
  </w:footnote>
  <w:footnote w:id="5">
    <w:p w14:paraId="5B2E6BFF" w14:textId="77777777" w:rsidR="008571B0" w:rsidRPr="002B1AF5" w:rsidRDefault="008571B0">
      <w:pPr>
        <w:pStyle w:val="FootnoteText"/>
      </w:pPr>
      <w:r>
        <w:rPr>
          <w:rStyle w:val="FootnoteReference"/>
        </w:rPr>
        <w:footnoteRef/>
      </w:r>
      <w:r>
        <w:t xml:space="preserve"> </w:t>
      </w:r>
      <w:r w:rsidRPr="007D618E">
        <w:rPr>
          <w:rFonts w:ascii="Times New Roman" w:hAnsi="Times New Roman" w:cs="Times New Roman"/>
        </w:rPr>
        <w:t>leading to a net increase in irrigated area</w:t>
      </w:r>
    </w:p>
  </w:footnote>
  <w:footnote w:id="6">
    <w:p w14:paraId="1EF1FFF6" w14:textId="77777777" w:rsidR="008571B0" w:rsidRPr="002820DF" w:rsidRDefault="008571B0">
      <w:pPr>
        <w:pStyle w:val="FootnoteText"/>
        <w:rPr>
          <w:rFonts w:ascii="Times New Roman" w:hAnsi="Times New Roman" w:cs="Times New Roman"/>
        </w:rPr>
      </w:pPr>
      <w:r w:rsidRPr="002820DF">
        <w:rPr>
          <w:rStyle w:val="FootnoteReference"/>
          <w:rFonts w:ascii="Times New Roman" w:hAnsi="Times New Roman" w:cs="Times New Roman"/>
        </w:rPr>
        <w:footnoteRef/>
      </w:r>
      <w:r w:rsidRPr="002820DF">
        <w:rPr>
          <w:rFonts w:ascii="Times New Roman" w:hAnsi="Times New Roman" w:cs="Times New Roman"/>
        </w:rPr>
        <w:t xml:space="preserve"> System for Fund Management in the European Community</w:t>
      </w:r>
    </w:p>
  </w:footnote>
  <w:footnote w:id="7">
    <w:p w14:paraId="44F5508A" w14:textId="77777777" w:rsidR="008571B0" w:rsidRPr="00D54A21" w:rsidRDefault="008571B0">
      <w:pPr>
        <w:pStyle w:val="FootnoteText"/>
        <w:rPr>
          <w:rFonts w:ascii="Times New Roman" w:hAnsi="Times New Roman" w:cs="Times New Roman"/>
        </w:rPr>
      </w:pPr>
      <w:r w:rsidRPr="00D54A21">
        <w:rPr>
          <w:rStyle w:val="FootnoteReference"/>
          <w:rFonts w:ascii="Times New Roman" w:hAnsi="Times New Roman" w:cs="Times New Roman"/>
        </w:rPr>
        <w:footnoteRef/>
      </w:r>
      <w:r w:rsidRPr="00D54A21">
        <w:rPr>
          <w:rFonts w:ascii="Times New Roman" w:hAnsi="Times New Roman" w:cs="Times New Roman"/>
        </w:rPr>
        <w:t xml:space="preserve"> For R.43 and R.44, outputs generated by investments are accounted cumulatively </w:t>
      </w:r>
    </w:p>
  </w:footnote>
  <w:footnote w:id="8">
    <w:p w14:paraId="121FA59D" w14:textId="77777777" w:rsidR="008571B0" w:rsidRPr="00B307A7" w:rsidRDefault="008571B0">
      <w:pPr>
        <w:pStyle w:val="FootnoteText"/>
        <w:rPr>
          <w:rFonts w:ascii="Times New Roman" w:hAnsi="Times New Roman" w:cs="Times New Roman"/>
        </w:rPr>
      </w:pPr>
      <w:r w:rsidRPr="00B307A7">
        <w:rPr>
          <w:rStyle w:val="FootnoteReference"/>
          <w:rFonts w:ascii="Times New Roman" w:hAnsi="Times New Roman" w:cs="Times New Roman"/>
        </w:rPr>
        <w:footnoteRef/>
      </w:r>
      <w:r w:rsidRPr="00B307A7">
        <w:rPr>
          <w:rFonts w:ascii="Times New Roman" w:hAnsi="Times New Roman" w:cs="Times New Roman"/>
        </w:rPr>
        <w:t xml:space="preserve"> Last access on 10 December 2021</w:t>
      </w:r>
    </w:p>
  </w:footnote>
  <w:footnote w:id="9">
    <w:p w14:paraId="50D50DEA" w14:textId="0A551601" w:rsidR="008571B0" w:rsidRPr="00653876" w:rsidRDefault="008571B0">
      <w:pPr>
        <w:pStyle w:val="FootnoteText"/>
        <w:rPr>
          <w:rFonts w:ascii="Times New Roman" w:hAnsi="Times New Roman" w:cs="Times New Roman"/>
        </w:rPr>
      </w:pPr>
      <w:r w:rsidRPr="00653876">
        <w:rPr>
          <w:rStyle w:val="FootnoteReference"/>
          <w:rFonts w:ascii="Times New Roman" w:hAnsi="Times New Roman" w:cs="Times New Roman"/>
        </w:rPr>
        <w:footnoteRef/>
      </w:r>
      <w:r w:rsidRPr="00653876">
        <w:rPr>
          <w:rFonts w:ascii="Times New Roman" w:hAnsi="Times New Roman" w:cs="Times New Roman"/>
        </w:rPr>
        <w:t xml:space="preserve"> For a given operation, </w:t>
      </w:r>
      <w:r w:rsidRPr="00532318">
        <w:rPr>
          <w:rFonts w:ascii="Times New Roman" w:hAnsi="Times New Roman" w:cs="Times New Roman"/>
        </w:rPr>
        <w:t xml:space="preserve">at the time of balance payment </w:t>
      </w:r>
      <w:r w:rsidRPr="00653876">
        <w:rPr>
          <w:rFonts w:ascii="Times New Roman" w:hAnsi="Times New Roman" w:cs="Times New Roman"/>
        </w:rPr>
        <w:t xml:space="preserve">the sum of partial outputs </w:t>
      </w:r>
      <w:r>
        <w:rPr>
          <w:rFonts w:ascii="Times New Roman" w:hAnsi="Times New Roman" w:cs="Times New Roman"/>
        </w:rPr>
        <w:t xml:space="preserve">over the three instalments </w:t>
      </w:r>
      <w:r w:rsidRPr="00653876">
        <w:rPr>
          <w:rFonts w:ascii="Times New Roman" w:hAnsi="Times New Roman" w:cs="Times New Roman"/>
        </w:rPr>
        <w:t>is always equal to one, included when the final cost of the project is higher or smaller than the estimated cost at the time of first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4F23" w14:textId="77777777" w:rsidR="008571B0" w:rsidRDefault="0085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9C32" w14:textId="77777777" w:rsidR="008571B0" w:rsidRDefault="008571B0" w:rsidP="008A533B">
    <w:pPr>
      <w:pStyle w:val="Header"/>
      <w:jc w:val="center"/>
    </w:pPr>
    <w:r>
      <w:rPr>
        <w:noProof/>
        <w:lang w:val="en-US"/>
      </w:rPr>
      <w:drawing>
        <wp:inline distT="0" distB="0" distL="0" distR="0" wp14:anchorId="35CBED0B" wp14:editId="6B5195D6">
          <wp:extent cx="1945005" cy="1496695"/>
          <wp:effectExtent l="0" t="0" r="0" b="0"/>
          <wp:docPr id="3" name="Picture 3" descr="LOGO-CE for Agriculture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Agriculture EN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4966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96A5" w14:textId="77777777" w:rsidR="008571B0" w:rsidRDefault="00857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EB38" w14:textId="77777777" w:rsidR="008571B0" w:rsidRPr="003C2ED3" w:rsidRDefault="008571B0" w:rsidP="008A533B">
    <w:pPr>
      <w:pStyle w:val="Header"/>
      <w:jc w:val="center"/>
      <w:rPr>
        <w:rFonts w:ascii="Times New Roman" w:hAnsi="Times New Roman" w:cs="Times New Roman"/>
        <w:i/>
        <w:sz w:val="18"/>
        <w:szCs w:val="18"/>
      </w:rPr>
    </w:pPr>
    <w:r w:rsidRPr="003C2ED3">
      <w:rPr>
        <w:rFonts w:ascii="Times New Roman" w:hAnsi="Times New Roman" w:cs="Times New Roman"/>
        <w:i/>
        <w:sz w:val="18"/>
        <w:szCs w:val="18"/>
      </w:rPr>
      <w:t>Cover note on output and result indicators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E6B"/>
    <w:multiLevelType w:val="hybridMultilevel"/>
    <w:tmpl w:val="C0C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868"/>
    <w:multiLevelType w:val="hybridMultilevel"/>
    <w:tmpl w:val="9E6AF29C"/>
    <w:lvl w:ilvl="0" w:tplc="5A0607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8CF"/>
    <w:multiLevelType w:val="hybridMultilevel"/>
    <w:tmpl w:val="238E4E00"/>
    <w:lvl w:ilvl="0" w:tplc="00000002">
      <w:start w:val="1"/>
      <w:numFmt w:val="lowerRoman"/>
      <w:lvlText w:val="%1."/>
      <w:lvlJc w:val="righ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4A08"/>
    <w:multiLevelType w:val="hybridMultilevel"/>
    <w:tmpl w:val="CFE897A8"/>
    <w:lvl w:ilvl="0" w:tplc="2952A5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90E73"/>
    <w:multiLevelType w:val="hybridMultilevel"/>
    <w:tmpl w:val="5A920F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ED"/>
    <w:multiLevelType w:val="multilevel"/>
    <w:tmpl w:val="5016CF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9A2B24"/>
    <w:multiLevelType w:val="hybridMultilevel"/>
    <w:tmpl w:val="A3D0D23A"/>
    <w:lvl w:ilvl="0" w:tplc="76B8D282">
      <w:start w:val="1"/>
      <w:numFmt w:val="bullet"/>
      <w:lvlText w:val="­"/>
      <w:lvlJc w:val="left"/>
      <w:pPr>
        <w:ind w:left="1440" w:hanging="360"/>
      </w:pPr>
      <w:rPr>
        <w:rFonts w:ascii="Arial" w:hAnsi="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3A70BA"/>
    <w:multiLevelType w:val="hybridMultilevel"/>
    <w:tmpl w:val="D5B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817BE"/>
    <w:multiLevelType w:val="hybridMultilevel"/>
    <w:tmpl w:val="FD6C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B2AEE"/>
    <w:multiLevelType w:val="hybridMultilevel"/>
    <w:tmpl w:val="5E020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D3EA5"/>
    <w:multiLevelType w:val="hybridMultilevel"/>
    <w:tmpl w:val="2612D8B6"/>
    <w:lvl w:ilvl="0" w:tplc="76B8D282">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F854B9"/>
    <w:multiLevelType w:val="hybridMultilevel"/>
    <w:tmpl w:val="F34C729A"/>
    <w:lvl w:ilvl="0" w:tplc="15B4FB06">
      <w:start w:val="1"/>
      <w:numFmt w:val="bullet"/>
      <w:lvlText w:val=""/>
      <w:lvlJc w:val="left"/>
      <w:pPr>
        <w:tabs>
          <w:tab w:val="num" w:pos="720"/>
        </w:tabs>
        <w:ind w:left="720" w:hanging="360"/>
      </w:pPr>
      <w:rPr>
        <w:rFonts w:ascii="Wingdings" w:hAnsi="Wingdings" w:hint="default"/>
      </w:rPr>
    </w:lvl>
    <w:lvl w:ilvl="1" w:tplc="A87405C4" w:tentative="1">
      <w:start w:val="1"/>
      <w:numFmt w:val="bullet"/>
      <w:lvlText w:val=""/>
      <w:lvlJc w:val="left"/>
      <w:pPr>
        <w:tabs>
          <w:tab w:val="num" w:pos="1440"/>
        </w:tabs>
        <w:ind w:left="1440" w:hanging="360"/>
      </w:pPr>
      <w:rPr>
        <w:rFonts w:ascii="Wingdings" w:hAnsi="Wingdings" w:hint="default"/>
      </w:rPr>
    </w:lvl>
    <w:lvl w:ilvl="2" w:tplc="81DA2C4E" w:tentative="1">
      <w:start w:val="1"/>
      <w:numFmt w:val="bullet"/>
      <w:lvlText w:val=""/>
      <w:lvlJc w:val="left"/>
      <w:pPr>
        <w:tabs>
          <w:tab w:val="num" w:pos="2160"/>
        </w:tabs>
        <w:ind w:left="2160" w:hanging="360"/>
      </w:pPr>
      <w:rPr>
        <w:rFonts w:ascii="Wingdings" w:hAnsi="Wingdings" w:hint="default"/>
      </w:rPr>
    </w:lvl>
    <w:lvl w:ilvl="3" w:tplc="14960E42" w:tentative="1">
      <w:start w:val="1"/>
      <w:numFmt w:val="bullet"/>
      <w:lvlText w:val=""/>
      <w:lvlJc w:val="left"/>
      <w:pPr>
        <w:tabs>
          <w:tab w:val="num" w:pos="2880"/>
        </w:tabs>
        <w:ind w:left="2880" w:hanging="360"/>
      </w:pPr>
      <w:rPr>
        <w:rFonts w:ascii="Wingdings" w:hAnsi="Wingdings" w:hint="default"/>
      </w:rPr>
    </w:lvl>
    <w:lvl w:ilvl="4" w:tplc="5FC219E0" w:tentative="1">
      <w:start w:val="1"/>
      <w:numFmt w:val="bullet"/>
      <w:lvlText w:val=""/>
      <w:lvlJc w:val="left"/>
      <w:pPr>
        <w:tabs>
          <w:tab w:val="num" w:pos="3600"/>
        </w:tabs>
        <w:ind w:left="3600" w:hanging="360"/>
      </w:pPr>
      <w:rPr>
        <w:rFonts w:ascii="Wingdings" w:hAnsi="Wingdings" w:hint="default"/>
      </w:rPr>
    </w:lvl>
    <w:lvl w:ilvl="5" w:tplc="0AAA8D36" w:tentative="1">
      <w:start w:val="1"/>
      <w:numFmt w:val="bullet"/>
      <w:lvlText w:val=""/>
      <w:lvlJc w:val="left"/>
      <w:pPr>
        <w:tabs>
          <w:tab w:val="num" w:pos="4320"/>
        </w:tabs>
        <w:ind w:left="4320" w:hanging="360"/>
      </w:pPr>
      <w:rPr>
        <w:rFonts w:ascii="Wingdings" w:hAnsi="Wingdings" w:hint="default"/>
      </w:rPr>
    </w:lvl>
    <w:lvl w:ilvl="6" w:tplc="F5707B5A" w:tentative="1">
      <w:start w:val="1"/>
      <w:numFmt w:val="bullet"/>
      <w:lvlText w:val=""/>
      <w:lvlJc w:val="left"/>
      <w:pPr>
        <w:tabs>
          <w:tab w:val="num" w:pos="5040"/>
        </w:tabs>
        <w:ind w:left="5040" w:hanging="360"/>
      </w:pPr>
      <w:rPr>
        <w:rFonts w:ascii="Wingdings" w:hAnsi="Wingdings" w:hint="default"/>
      </w:rPr>
    </w:lvl>
    <w:lvl w:ilvl="7" w:tplc="B0A07664" w:tentative="1">
      <w:start w:val="1"/>
      <w:numFmt w:val="bullet"/>
      <w:lvlText w:val=""/>
      <w:lvlJc w:val="left"/>
      <w:pPr>
        <w:tabs>
          <w:tab w:val="num" w:pos="5760"/>
        </w:tabs>
        <w:ind w:left="5760" w:hanging="360"/>
      </w:pPr>
      <w:rPr>
        <w:rFonts w:ascii="Wingdings" w:hAnsi="Wingdings" w:hint="default"/>
      </w:rPr>
    </w:lvl>
    <w:lvl w:ilvl="8" w:tplc="5412C9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231D0"/>
    <w:multiLevelType w:val="hybridMultilevel"/>
    <w:tmpl w:val="65D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139C5"/>
    <w:multiLevelType w:val="hybridMultilevel"/>
    <w:tmpl w:val="521214FC"/>
    <w:lvl w:ilvl="0" w:tplc="00000002">
      <w:start w:val="1"/>
      <w:numFmt w:val="lowerRoman"/>
      <w:lvlText w:val="%1."/>
      <w:lvlJc w:val="right"/>
      <w:pPr>
        <w:ind w:left="720" w:hanging="360"/>
      </w:pPr>
    </w:lvl>
    <w:lvl w:ilvl="1" w:tplc="8910AA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536D"/>
    <w:multiLevelType w:val="hybridMultilevel"/>
    <w:tmpl w:val="8FEE2CAA"/>
    <w:lvl w:ilvl="0" w:tplc="D0865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6E84"/>
    <w:multiLevelType w:val="hybridMultilevel"/>
    <w:tmpl w:val="FD80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919FC"/>
    <w:multiLevelType w:val="hybridMultilevel"/>
    <w:tmpl w:val="3AE4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B5C48"/>
    <w:multiLevelType w:val="hybridMultilevel"/>
    <w:tmpl w:val="1EB087E8"/>
    <w:lvl w:ilvl="0" w:tplc="C9CE97D0">
      <w:start w:val="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0584B"/>
    <w:multiLevelType w:val="hybridMultilevel"/>
    <w:tmpl w:val="8F566680"/>
    <w:lvl w:ilvl="0" w:tplc="5A0607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E56BE"/>
    <w:multiLevelType w:val="hybridMultilevel"/>
    <w:tmpl w:val="0960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827ED"/>
    <w:multiLevelType w:val="hybridMultilevel"/>
    <w:tmpl w:val="E9C85CDE"/>
    <w:lvl w:ilvl="0" w:tplc="5A0607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70C1C"/>
    <w:multiLevelType w:val="hybridMultilevel"/>
    <w:tmpl w:val="9042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652BE"/>
    <w:multiLevelType w:val="hybridMultilevel"/>
    <w:tmpl w:val="390CD50C"/>
    <w:lvl w:ilvl="0" w:tplc="00000002">
      <w:start w:val="1"/>
      <w:numFmt w:val="lowerRoman"/>
      <w:lvlText w:val="%1."/>
      <w:lvlJc w:val="right"/>
      <w:pPr>
        <w:ind w:left="982" w:hanging="360"/>
      </w:pPr>
    </w:lvl>
    <w:lvl w:ilvl="1" w:tplc="08090003">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3" w15:restartNumberingAfterBreak="0">
    <w:nsid w:val="603B7A64"/>
    <w:multiLevelType w:val="hybridMultilevel"/>
    <w:tmpl w:val="3B4E6810"/>
    <w:lvl w:ilvl="0" w:tplc="C79AE93C">
      <w:start w:val="1"/>
      <w:numFmt w:val="bullet"/>
      <w:lvlText w:val=""/>
      <w:lvlJc w:val="left"/>
      <w:pPr>
        <w:tabs>
          <w:tab w:val="num" w:pos="720"/>
        </w:tabs>
        <w:ind w:left="720" w:hanging="360"/>
      </w:pPr>
      <w:rPr>
        <w:rFonts w:ascii="Wingdings" w:hAnsi="Wingdings" w:hint="default"/>
      </w:rPr>
    </w:lvl>
    <w:lvl w:ilvl="1" w:tplc="30A464E8">
      <w:start w:val="148"/>
      <w:numFmt w:val="bullet"/>
      <w:lvlText w:val=""/>
      <w:lvlJc w:val="left"/>
      <w:pPr>
        <w:tabs>
          <w:tab w:val="num" w:pos="1440"/>
        </w:tabs>
        <w:ind w:left="1440" w:hanging="360"/>
      </w:pPr>
      <w:rPr>
        <w:rFonts w:ascii="Wingdings" w:hAnsi="Wingdings" w:hint="default"/>
      </w:rPr>
    </w:lvl>
    <w:lvl w:ilvl="2" w:tplc="90825CDC" w:tentative="1">
      <w:start w:val="1"/>
      <w:numFmt w:val="bullet"/>
      <w:lvlText w:val=""/>
      <w:lvlJc w:val="left"/>
      <w:pPr>
        <w:tabs>
          <w:tab w:val="num" w:pos="2160"/>
        </w:tabs>
        <w:ind w:left="2160" w:hanging="360"/>
      </w:pPr>
      <w:rPr>
        <w:rFonts w:ascii="Wingdings" w:hAnsi="Wingdings" w:hint="default"/>
      </w:rPr>
    </w:lvl>
    <w:lvl w:ilvl="3" w:tplc="01EE51D6" w:tentative="1">
      <w:start w:val="1"/>
      <w:numFmt w:val="bullet"/>
      <w:lvlText w:val=""/>
      <w:lvlJc w:val="left"/>
      <w:pPr>
        <w:tabs>
          <w:tab w:val="num" w:pos="2880"/>
        </w:tabs>
        <w:ind w:left="2880" w:hanging="360"/>
      </w:pPr>
      <w:rPr>
        <w:rFonts w:ascii="Wingdings" w:hAnsi="Wingdings" w:hint="default"/>
      </w:rPr>
    </w:lvl>
    <w:lvl w:ilvl="4" w:tplc="F1C011C6" w:tentative="1">
      <w:start w:val="1"/>
      <w:numFmt w:val="bullet"/>
      <w:lvlText w:val=""/>
      <w:lvlJc w:val="left"/>
      <w:pPr>
        <w:tabs>
          <w:tab w:val="num" w:pos="3600"/>
        </w:tabs>
        <w:ind w:left="3600" w:hanging="360"/>
      </w:pPr>
      <w:rPr>
        <w:rFonts w:ascii="Wingdings" w:hAnsi="Wingdings" w:hint="default"/>
      </w:rPr>
    </w:lvl>
    <w:lvl w:ilvl="5" w:tplc="4FB67652" w:tentative="1">
      <w:start w:val="1"/>
      <w:numFmt w:val="bullet"/>
      <w:lvlText w:val=""/>
      <w:lvlJc w:val="left"/>
      <w:pPr>
        <w:tabs>
          <w:tab w:val="num" w:pos="4320"/>
        </w:tabs>
        <w:ind w:left="4320" w:hanging="360"/>
      </w:pPr>
      <w:rPr>
        <w:rFonts w:ascii="Wingdings" w:hAnsi="Wingdings" w:hint="default"/>
      </w:rPr>
    </w:lvl>
    <w:lvl w:ilvl="6" w:tplc="97482154" w:tentative="1">
      <w:start w:val="1"/>
      <w:numFmt w:val="bullet"/>
      <w:lvlText w:val=""/>
      <w:lvlJc w:val="left"/>
      <w:pPr>
        <w:tabs>
          <w:tab w:val="num" w:pos="5040"/>
        </w:tabs>
        <w:ind w:left="5040" w:hanging="360"/>
      </w:pPr>
      <w:rPr>
        <w:rFonts w:ascii="Wingdings" w:hAnsi="Wingdings" w:hint="default"/>
      </w:rPr>
    </w:lvl>
    <w:lvl w:ilvl="7" w:tplc="0CBE204A" w:tentative="1">
      <w:start w:val="1"/>
      <w:numFmt w:val="bullet"/>
      <w:lvlText w:val=""/>
      <w:lvlJc w:val="left"/>
      <w:pPr>
        <w:tabs>
          <w:tab w:val="num" w:pos="5760"/>
        </w:tabs>
        <w:ind w:left="5760" w:hanging="360"/>
      </w:pPr>
      <w:rPr>
        <w:rFonts w:ascii="Wingdings" w:hAnsi="Wingdings" w:hint="default"/>
      </w:rPr>
    </w:lvl>
    <w:lvl w:ilvl="8" w:tplc="F75623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713CF"/>
    <w:multiLevelType w:val="hybridMultilevel"/>
    <w:tmpl w:val="DC2627B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61BC3"/>
    <w:multiLevelType w:val="hybridMultilevel"/>
    <w:tmpl w:val="D7B4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E6702"/>
    <w:multiLevelType w:val="hybridMultilevel"/>
    <w:tmpl w:val="2FF09718"/>
    <w:lvl w:ilvl="0" w:tplc="5A0607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F646A"/>
    <w:multiLevelType w:val="hybridMultilevel"/>
    <w:tmpl w:val="14C6571C"/>
    <w:lvl w:ilvl="0" w:tplc="5A0607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A0BF1"/>
    <w:multiLevelType w:val="hybridMultilevel"/>
    <w:tmpl w:val="8D8E1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CA0792"/>
    <w:multiLevelType w:val="hybridMultilevel"/>
    <w:tmpl w:val="99362422"/>
    <w:lvl w:ilvl="0" w:tplc="2B2A3460">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F6CE2"/>
    <w:multiLevelType w:val="hybridMultilevel"/>
    <w:tmpl w:val="E45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7757C"/>
    <w:multiLevelType w:val="hybridMultilevel"/>
    <w:tmpl w:val="3B82376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C542D"/>
    <w:multiLevelType w:val="hybridMultilevel"/>
    <w:tmpl w:val="2086225E"/>
    <w:lvl w:ilvl="0" w:tplc="00000002">
      <w:start w:val="1"/>
      <w:numFmt w:val="lowerRoman"/>
      <w:lvlText w:val="%1."/>
      <w:lvlJc w:val="right"/>
      <w:pPr>
        <w:ind w:left="1287" w:hanging="360"/>
      </w:pPr>
    </w:lvl>
    <w:lvl w:ilvl="1" w:tplc="00000002">
      <w:start w:val="1"/>
      <w:numFmt w:val="lowerRoman"/>
      <w:lvlText w:val="%2."/>
      <w:lvlJc w:val="righ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10"/>
  </w:num>
  <w:num w:numId="3">
    <w:abstractNumId w:val="6"/>
  </w:num>
  <w:num w:numId="4">
    <w:abstractNumId w:val="2"/>
  </w:num>
  <w:num w:numId="5">
    <w:abstractNumId w:val="22"/>
  </w:num>
  <w:num w:numId="6">
    <w:abstractNumId w:val="20"/>
  </w:num>
  <w:num w:numId="7">
    <w:abstractNumId w:val="13"/>
  </w:num>
  <w:num w:numId="8">
    <w:abstractNumId w:val="4"/>
  </w:num>
  <w:num w:numId="9">
    <w:abstractNumId w:val="27"/>
  </w:num>
  <w:num w:numId="10">
    <w:abstractNumId w:val="3"/>
  </w:num>
  <w:num w:numId="11">
    <w:abstractNumId w:val="26"/>
  </w:num>
  <w:num w:numId="12">
    <w:abstractNumId w:val="32"/>
  </w:num>
  <w:num w:numId="13">
    <w:abstractNumId w:val="1"/>
  </w:num>
  <w:num w:numId="14">
    <w:abstractNumId w:val="7"/>
  </w:num>
  <w:num w:numId="15">
    <w:abstractNumId w:val="12"/>
  </w:num>
  <w:num w:numId="16">
    <w:abstractNumId w:val="9"/>
  </w:num>
  <w:num w:numId="17">
    <w:abstractNumId w:val="29"/>
  </w:num>
  <w:num w:numId="18">
    <w:abstractNumId w:val="31"/>
  </w:num>
  <w:num w:numId="19">
    <w:abstractNumId w:val="24"/>
  </w:num>
  <w:num w:numId="20">
    <w:abstractNumId w:val="23"/>
  </w:num>
  <w:num w:numId="21">
    <w:abstractNumId w:val="18"/>
  </w:num>
  <w:num w:numId="22">
    <w:abstractNumId w:val="17"/>
  </w:num>
  <w:num w:numId="23">
    <w:abstractNumId w:val="21"/>
  </w:num>
  <w:num w:numId="24">
    <w:abstractNumId w:val="11"/>
  </w:num>
  <w:num w:numId="25">
    <w:abstractNumId w:val="8"/>
  </w:num>
  <w:num w:numId="26">
    <w:abstractNumId w:val="15"/>
  </w:num>
  <w:num w:numId="27">
    <w:abstractNumId w:val="30"/>
  </w:num>
  <w:num w:numId="28">
    <w:abstractNumId w:val="19"/>
  </w:num>
  <w:num w:numId="29">
    <w:abstractNumId w:val="16"/>
  </w:num>
  <w:num w:numId="30">
    <w:abstractNumId w:val="25"/>
  </w:num>
  <w:num w:numId="31">
    <w:abstractNumId w:val="5"/>
  </w:num>
  <w:num w:numId="32">
    <w:abstractNumId w:val="5"/>
  </w:num>
  <w:num w:numId="33">
    <w:abstractNumId w:val="28"/>
  </w:num>
  <w:num w:numId="34">
    <w:abstractNumId w:val="5"/>
  </w:num>
  <w:num w:numId="35">
    <w:abstractNumId w:val="0"/>
  </w:num>
  <w:num w:numId="3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F6536"/>
    <w:rsid w:val="0000166A"/>
    <w:rsid w:val="00006933"/>
    <w:rsid w:val="00006DC6"/>
    <w:rsid w:val="000102BD"/>
    <w:rsid w:val="0001036A"/>
    <w:rsid w:val="000120D6"/>
    <w:rsid w:val="00012C0B"/>
    <w:rsid w:val="000140D9"/>
    <w:rsid w:val="00016720"/>
    <w:rsid w:val="00020B7E"/>
    <w:rsid w:val="0002408A"/>
    <w:rsid w:val="00025C5D"/>
    <w:rsid w:val="00030689"/>
    <w:rsid w:val="00032A3E"/>
    <w:rsid w:val="00035A7B"/>
    <w:rsid w:val="00037DF4"/>
    <w:rsid w:val="0004013A"/>
    <w:rsid w:val="000405A7"/>
    <w:rsid w:val="000414EA"/>
    <w:rsid w:val="000439EF"/>
    <w:rsid w:val="00060B69"/>
    <w:rsid w:val="000636FF"/>
    <w:rsid w:val="00064BE8"/>
    <w:rsid w:val="00066629"/>
    <w:rsid w:val="00071897"/>
    <w:rsid w:val="000722D5"/>
    <w:rsid w:val="000732A4"/>
    <w:rsid w:val="00074E03"/>
    <w:rsid w:val="000755E0"/>
    <w:rsid w:val="00076B12"/>
    <w:rsid w:val="00076F01"/>
    <w:rsid w:val="0007710E"/>
    <w:rsid w:val="00081518"/>
    <w:rsid w:val="0008333A"/>
    <w:rsid w:val="0008478C"/>
    <w:rsid w:val="00090BD2"/>
    <w:rsid w:val="00093182"/>
    <w:rsid w:val="000A02F9"/>
    <w:rsid w:val="000A47E8"/>
    <w:rsid w:val="000A508F"/>
    <w:rsid w:val="000A58A4"/>
    <w:rsid w:val="000B36C3"/>
    <w:rsid w:val="000B58DB"/>
    <w:rsid w:val="000C22F2"/>
    <w:rsid w:val="000C2E63"/>
    <w:rsid w:val="000C388B"/>
    <w:rsid w:val="000C4D3D"/>
    <w:rsid w:val="000C7D0E"/>
    <w:rsid w:val="000D0C5E"/>
    <w:rsid w:val="000D37AC"/>
    <w:rsid w:val="000D7B0E"/>
    <w:rsid w:val="000E0E3B"/>
    <w:rsid w:val="000E74D5"/>
    <w:rsid w:val="000F209E"/>
    <w:rsid w:val="000F4905"/>
    <w:rsid w:val="00104982"/>
    <w:rsid w:val="001069CE"/>
    <w:rsid w:val="001108ED"/>
    <w:rsid w:val="00114259"/>
    <w:rsid w:val="00114565"/>
    <w:rsid w:val="00114971"/>
    <w:rsid w:val="001158AB"/>
    <w:rsid w:val="00115E76"/>
    <w:rsid w:val="00116490"/>
    <w:rsid w:val="00116B2C"/>
    <w:rsid w:val="0012062A"/>
    <w:rsid w:val="00124D5C"/>
    <w:rsid w:val="00135AD2"/>
    <w:rsid w:val="00142658"/>
    <w:rsid w:val="00142CC0"/>
    <w:rsid w:val="00145698"/>
    <w:rsid w:val="0014633C"/>
    <w:rsid w:val="00147827"/>
    <w:rsid w:val="00150BE2"/>
    <w:rsid w:val="001510FE"/>
    <w:rsid w:val="001511E1"/>
    <w:rsid w:val="00151F43"/>
    <w:rsid w:val="0015400B"/>
    <w:rsid w:val="00154805"/>
    <w:rsid w:val="00155DD0"/>
    <w:rsid w:val="00156927"/>
    <w:rsid w:val="001605F7"/>
    <w:rsid w:val="001608D3"/>
    <w:rsid w:val="001672DE"/>
    <w:rsid w:val="00173159"/>
    <w:rsid w:val="00176F44"/>
    <w:rsid w:val="0018340F"/>
    <w:rsid w:val="00183B28"/>
    <w:rsid w:val="00185EAC"/>
    <w:rsid w:val="00187464"/>
    <w:rsid w:val="001923EC"/>
    <w:rsid w:val="0019306D"/>
    <w:rsid w:val="0019419D"/>
    <w:rsid w:val="001A0299"/>
    <w:rsid w:val="001A05DE"/>
    <w:rsid w:val="001A0699"/>
    <w:rsid w:val="001A19F6"/>
    <w:rsid w:val="001A284D"/>
    <w:rsid w:val="001A319C"/>
    <w:rsid w:val="001A6038"/>
    <w:rsid w:val="001B189B"/>
    <w:rsid w:val="001B3568"/>
    <w:rsid w:val="001B552C"/>
    <w:rsid w:val="001B67DD"/>
    <w:rsid w:val="001C0262"/>
    <w:rsid w:val="001C18D9"/>
    <w:rsid w:val="001D595A"/>
    <w:rsid w:val="001D6516"/>
    <w:rsid w:val="001D6A00"/>
    <w:rsid w:val="001E412D"/>
    <w:rsid w:val="001E4B9C"/>
    <w:rsid w:val="001E52BE"/>
    <w:rsid w:val="001E674B"/>
    <w:rsid w:val="001E769A"/>
    <w:rsid w:val="001F0957"/>
    <w:rsid w:val="001F26E0"/>
    <w:rsid w:val="001F6536"/>
    <w:rsid w:val="0020105E"/>
    <w:rsid w:val="002020D2"/>
    <w:rsid w:val="00203454"/>
    <w:rsid w:val="00204A2D"/>
    <w:rsid w:val="00205163"/>
    <w:rsid w:val="00206168"/>
    <w:rsid w:val="00206EE3"/>
    <w:rsid w:val="00206FCD"/>
    <w:rsid w:val="00212274"/>
    <w:rsid w:val="002127A2"/>
    <w:rsid w:val="00212840"/>
    <w:rsid w:val="00213B05"/>
    <w:rsid w:val="0021433A"/>
    <w:rsid w:val="002166B7"/>
    <w:rsid w:val="002179FB"/>
    <w:rsid w:val="0022118A"/>
    <w:rsid w:val="00222AB7"/>
    <w:rsid w:val="00224001"/>
    <w:rsid w:val="002248C8"/>
    <w:rsid w:val="00226589"/>
    <w:rsid w:val="00226E15"/>
    <w:rsid w:val="00226F4A"/>
    <w:rsid w:val="00230390"/>
    <w:rsid w:val="002318AF"/>
    <w:rsid w:val="00240623"/>
    <w:rsid w:val="0024074E"/>
    <w:rsid w:val="00243EB7"/>
    <w:rsid w:val="002501E3"/>
    <w:rsid w:val="002525BB"/>
    <w:rsid w:val="0025791B"/>
    <w:rsid w:val="00260F4B"/>
    <w:rsid w:val="00261AA6"/>
    <w:rsid w:val="00262DE4"/>
    <w:rsid w:val="00264863"/>
    <w:rsid w:val="00265A53"/>
    <w:rsid w:val="00266B6A"/>
    <w:rsid w:val="00270C91"/>
    <w:rsid w:val="00273167"/>
    <w:rsid w:val="0027475F"/>
    <w:rsid w:val="00274A6D"/>
    <w:rsid w:val="0028046A"/>
    <w:rsid w:val="002820DF"/>
    <w:rsid w:val="00285F7D"/>
    <w:rsid w:val="0029324D"/>
    <w:rsid w:val="00295726"/>
    <w:rsid w:val="002A30D8"/>
    <w:rsid w:val="002B1AF5"/>
    <w:rsid w:val="002B455B"/>
    <w:rsid w:val="002C1FE7"/>
    <w:rsid w:val="002C635A"/>
    <w:rsid w:val="002D08DA"/>
    <w:rsid w:val="002D15F9"/>
    <w:rsid w:val="002D1B7E"/>
    <w:rsid w:val="002D43FC"/>
    <w:rsid w:val="002D5B86"/>
    <w:rsid w:val="002D7603"/>
    <w:rsid w:val="002E05D1"/>
    <w:rsid w:val="002E0EF7"/>
    <w:rsid w:val="002E1F58"/>
    <w:rsid w:val="002E2381"/>
    <w:rsid w:val="002E3A49"/>
    <w:rsid w:val="002E6B67"/>
    <w:rsid w:val="002F0DFF"/>
    <w:rsid w:val="002F2920"/>
    <w:rsid w:val="002F3F57"/>
    <w:rsid w:val="002F5555"/>
    <w:rsid w:val="002F5CCD"/>
    <w:rsid w:val="002F5D76"/>
    <w:rsid w:val="002F6FC7"/>
    <w:rsid w:val="002F70C3"/>
    <w:rsid w:val="002F7C22"/>
    <w:rsid w:val="00301321"/>
    <w:rsid w:val="00302F8F"/>
    <w:rsid w:val="003048D0"/>
    <w:rsid w:val="003069C4"/>
    <w:rsid w:val="00307197"/>
    <w:rsid w:val="003111E9"/>
    <w:rsid w:val="00312A4B"/>
    <w:rsid w:val="00313C24"/>
    <w:rsid w:val="00314349"/>
    <w:rsid w:val="00314A33"/>
    <w:rsid w:val="00320C2A"/>
    <w:rsid w:val="00327E1B"/>
    <w:rsid w:val="00332621"/>
    <w:rsid w:val="00334523"/>
    <w:rsid w:val="003352F6"/>
    <w:rsid w:val="00336688"/>
    <w:rsid w:val="00344572"/>
    <w:rsid w:val="003462C0"/>
    <w:rsid w:val="00347FCC"/>
    <w:rsid w:val="003527AF"/>
    <w:rsid w:val="00353279"/>
    <w:rsid w:val="003540E7"/>
    <w:rsid w:val="00361D72"/>
    <w:rsid w:val="00364504"/>
    <w:rsid w:val="00364C0C"/>
    <w:rsid w:val="00367E0C"/>
    <w:rsid w:val="00372766"/>
    <w:rsid w:val="0037419B"/>
    <w:rsid w:val="00374E21"/>
    <w:rsid w:val="0038050D"/>
    <w:rsid w:val="00380874"/>
    <w:rsid w:val="00381F68"/>
    <w:rsid w:val="003848E3"/>
    <w:rsid w:val="00385D8E"/>
    <w:rsid w:val="003861A2"/>
    <w:rsid w:val="003862BE"/>
    <w:rsid w:val="00394801"/>
    <w:rsid w:val="0039680F"/>
    <w:rsid w:val="00396E55"/>
    <w:rsid w:val="003A32FB"/>
    <w:rsid w:val="003A4A48"/>
    <w:rsid w:val="003A550F"/>
    <w:rsid w:val="003B01A9"/>
    <w:rsid w:val="003B01AB"/>
    <w:rsid w:val="003B2D6E"/>
    <w:rsid w:val="003B3F4E"/>
    <w:rsid w:val="003B5B25"/>
    <w:rsid w:val="003C12E7"/>
    <w:rsid w:val="003C212B"/>
    <w:rsid w:val="003C2ED3"/>
    <w:rsid w:val="003C47AA"/>
    <w:rsid w:val="003C4DD9"/>
    <w:rsid w:val="003C6933"/>
    <w:rsid w:val="003C7845"/>
    <w:rsid w:val="003D1BCF"/>
    <w:rsid w:val="003D1E31"/>
    <w:rsid w:val="003D322F"/>
    <w:rsid w:val="003D36C8"/>
    <w:rsid w:val="003D4685"/>
    <w:rsid w:val="003D4F93"/>
    <w:rsid w:val="003D66CB"/>
    <w:rsid w:val="003D72EE"/>
    <w:rsid w:val="003D7BB1"/>
    <w:rsid w:val="003F0681"/>
    <w:rsid w:val="003F39CC"/>
    <w:rsid w:val="003F3EF7"/>
    <w:rsid w:val="003F53C8"/>
    <w:rsid w:val="003F5D90"/>
    <w:rsid w:val="003F6CF3"/>
    <w:rsid w:val="003F6DBB"/>
    <w:rsid w:val="00401D17"/>
    <w:rsid w:val="004056DE"/>
    <w:rsid w:val="00410959"/>
    <w:rsid w:val="00410E17"/>
    <w:rsid w:val="00415447"/>
    <w:rsid w:val="00416A75"/>
    <w:rsid w:val="00417188"/>
    <w:rsid w:val="0042397F"/>
    <w:rsid w:val="004313BC"/>
    <w:rsid w:val="004314B1"/>
    <w:rsid w:val="004329D5"/>
    <w:rsid w:val="0043633D"/>
    <w:rsid w:val="004366A6"/>
    <w:rsid w:val="004375F1"/>
    <w:rsid w:val="00437E28"/>
    <w:rsid w:val="00440808"/>
    <w:rsid w:val="004423BB"/>
    <w:rsid w:val="00442B6F"/>
    <w:rsid w:val="00442C1D"/>
    <w:rsid w:val="00447B84"/>
    <w:rsid w:val="00453697"/>
    <w:rsid w:val="00453D10"/>
    <w:rsid w:val="004541D4"/>
    <w:rsid w:val="0045510D"/>
    <w:rsid w:val="00455E60"/>
    <w:rsid w:val="00462A28"/>
    <w:rsid w:val="004631DF"/>
    <w:rsid w:val="0046345E"/>
    <w:rsid w:val="00463F3D"/>
    <w:rsid w:val="004648C5"/>
    <w:rsid w:val="00464C71"/>
    <w:rsid w:val="0047100C"/>
    <w:rsid w:val="00472C7A"/>
    <w:rsid w:val="004732CB"/>
    <w:rsid w:val="00474AE3"/>
    <w:rsid w:val="00477564"/>
    <w:rsid w:val="00483469"/>
    <w:rsid w:val="00483B2D"/>
    <w:rsid w:val="0049597E"/>
    <w:rsid w:val="004979A0"/>
    <w:rsid w:val="004A1451"/>
    <w:rsid w:val="004A57B7"/>
    <w:rsid w:val="004A6A17"/>
    <w:rsid w:val="004AE125"/>
    <w:rsid w:val="004B25CF"/>
    <w:rsid w:val="004B6FD8"/>
    <w:rsid w:val="004B746F"/>
    <w:rsid w:val="004C1614"/>
    <w:rsid w:val="004C50BA"/>
    <w:rsid w:val="004C55C8"/>
    <w:rsid w:val="004D1CB2"/>
    <w:rsid w:val="004D2528"/>
    <w:rsid w:val="004D3ADA"/>
    <w:rsid w:val="004D3EA2"/>
    <w:rsid w:val="004D67B4"/>
    <w:rsid w:val="004D6A4E"/>
    <w:rsid w:val="004D7D45"/>
    <w:rsid w:val="004E4FB2"/>
    <w:rsid w:val="004E5BD6"/>
    <w:rsid w:val="004F1868"/>
    <w:rsid w:val="004F2853"/>
    <w:rsid w:val="004F399A"/>
    <w:rsid w:val="004F6562"/>
    <w:rsid w:val="00500981"/>
    <w:rsid w:val="00500E2B"/>
    <w:rsid w:val="00514320"/>
    <w:rsid w:val="0051450C"/>
    <w:rsid w:val="0051612D"/>
    <w:rsid w:val="00516CE1"/>
    <w:rsid w:val="005240F7"/>
    <w:rsid w:val="0052512E"/>
    <w:rsid w:val="00531AB7"/>
    <w:rsid w:val="00532061"/>
    <w:rsid w:val="00532676"/>
    <w:rsid w:val="00532E32"/>
    <w:rsid w:val="00533B95"/>
    <w:rsid w:val="0053482B"/>
    <w:rsid w:val="005405A4"/>
    <w:rsid w:val="0054322E"/>
    <w:rsid w:val="00545548"/>
    <w:rsid w:val="00545994"/>
    <w:rsid w:val="005474F7"/>
    <w:rsid w:val="005504DB"/>
    <w:rsid w:val="00551D1C"/>
    <w:rsid w:val="00552940"/>
    <w:rsid w:val="00553539"/>
    <w:rsid w:val="00556CFF"/>
    <w:rsid w:val="00557908"/>
    <w:rsid w:val="00564D58"/>
    <w:rsid w:val="00570522"/>
    <w:rsid w:val="00570529"/>
    <w:rsid w:val="00570964"/>
    <w:rsid w:val="00572E03"/>
    <w:rsid w:val="005733BD"/>
    <w:rsid w:val="005808C3"/>
    <w:rsid w:val="00584356"/>
    <w:rsid w:val="00586E3C"/>
    <w:rsid w:val="00590B46"/>
    <w:rsid w:val="00592925"/>
    <w:rsid w:val="005938E8"/>
    <w:rsid w:val="00594398"/>
    <w:rsid w:val="00597892"/>
    <w:rsid w:val="005A0499"/>
    <w:rsid w:val="005A102B"/>
    <w:rsid w:val="005A6B1A"/>
    <w:rsid w:val="005A6DF1"/>
    <w:rsid w:val="005A7DEB"/>
    <w:rsid w:val="005B07F6"/>
    <w:rsid w:val="005B1285"/>
    <w:rsid w:val="005B1AFC"/>
    <w:rsid w:val="005B4BDA"/>
    <w:rsid w:val="005B4D79"/>
    <w:rsid w:val="005B4FDF"/>
    <w:rsid w:val="005C20D2"/>
    <w:rsid w:val="005C5386"/>
    <w:rsid w:val="005C634F"/>
    <w:rsid w:val="005C68C4"/>
    <w:rsid w:val="005D1C22"/>
    <w:rsid w:val="005D23C1"/>
    <w:rsid w:val="005D3463"/>
    <w:rsid w:val="005D3A2B"/>
    <w:rsid w:val="005D5C13"/>
    <w:rsid w:val="005D7A26"/>
    <w:rsid w:val="005D7DD3"/>
    <w:rsid w:val="005E7E3C"/>
    <w:rsid w:val="005F0052"/>
    <w:rsid w:val="005F2467"/>
    <w:rsid w:val="005F3442"/>
    <w:rsid w:val="005F7AEA"/>
    <w:rsid w:val="005F7B48"/>
    <w:rsid w:val="00601A19"/>
    <w:rsid w:val="00607D59"/>
    <w:rsid w:val="00610860"/>
    <w:rsid w:val="00611910"/>
    <w:rsid w:val="006148FB"/>
    <w:rsid w:val="00615C86"/>
    <w:rsid w:val="00620071"/>
    <w:rsid w:val="00622D23"/>
    <w:rsid w:val="00623DDB"/>
    <w:rsid w:val="00627A69"/>
    <w:rsid w:val="00631372"/>
    <w:rsid w:val="00636426"/>
    <w:rsid w:val="00637147"/>
    <w:rsid w:val="00637B79"/>
    <w:rsid w:val="00641C83"/>
    <w:rsid w:val="00643524"/>
    <w:rsid w:val="0064687E"/>
    <w:rsid w:val="006471A0"/>
    <w:rsid w:val="00647524"/>
    <w:rsid w:val="00653876"/>
    <w:rsid w:val="00653B11"/>
    <w:rsid w:val="00663DFA"/>
    <w:rsid w:val="00667465"/>
    <w:rsid w:val="00670BE1"/>
    <w:rsid w:val="006724EB"/>
    <w:rsid w:val="006739AE"/>
    <w:rsid w:val="006740F4"/>
    <w:rsid w:val="00674DAD"/>
    <w:rsid w:val="006773D3"/>
    <w:rsid w:val="00677C07"/>
    <w:rsid w:val="00680593"/>
    <w:rsid w:val="006846A1"/>
    <w:rsid w:val="006858BD"/>
    <w:rsid w:val="00686DCC"/>
    <w:rsid w:val="0069012B"/>
    <w:rsid w:val="00692211"/>
    <w:rsid w:val="00692DF9"/>
    <w:rsid w:val="00694BBF"/>
    <w:rsid w:val="006A2565"/>
    <w:rsid w:val="006A46D8"/>
    <w:rsid w:val="006A65DA"/>
    <w:rsid w:val="006A6C1A"/>
    <w:rsid w:val="006B08FE"/>
    <w:rsid w:val="006B1011"/>
    <w:rsid w:val="006B1374"/>
    <w:rsid w:val="006B1A25"/>
    <w:rsid w:val="006B2FFC"/>
    <w:rsid w:val="006B4B42"/>
    <w:rsid w:val="006B6AEF"/>
    <w:rsid w:val="006B6BEE"/>
    <w:rsid w:val="006B7083"/>
    <w:rsid w:val="006C09BF"/>
    <w:rsid w:val="006C0F4E"/>
    <w:rsid w:val="006C24B7"/>
    <w:rsid w:val="006C39E8"/>
    <w:rsid w:val="006C7381"/>
    <w:rsid w:val="006D22EB"/>
    <w:rsid w:val="006D58AA"/>
    <w:rsid w:val="006E026F"/>
    <w:rsid w:val="006E2CA5"/>
    <w:rsid w:val="006E40BA"/>
    <w:rsid w:val="006E7280"/>
    <w:rsid w:val="006F1D06"/>
    <w:rsid w:val="006F2CA5"/>
    <w:rsid w:val="006F2CD4"/>
    <w:rsid w:val="006F3500"/>
    <w:rsid w:val="00701277"/>
    <w:rsid w:val="007036B0"/>
    <w:rsid w:val="007047CC"/>
    <w:rsid w:val="00705EC3"/>
    <w:rsid w:val="0070630C"/>
    <w:rsid w:val="00706C7A"/>
    <w:rsid w:val="00707E21"/>
    <w:rsid w:val="007109E3"/>
    <w:rsid w:val="00710B3A"/>
    <w:rsid w:val="00712568"/>
    <w:rsid w:val="007147DA"/>
    <w:rsid w:val="00714C81"/>
    <w:rsid w:val="00717503"/>
    <w:rsid w:val="00720FCA"/>
    <w:rsid w:val="0072101F"/>
    <w:rsid w:val="00722556"/>
    <w:rsid w:val="007257B4"/>
    <w:rsid w:val="00725DA8"/>
    <w:rsid w:val="00727245"/>
    <w:rsid w:val="00731331"/>
    <w:rsid w:val="007346FF"/>
    <w:rsid w:val="007366B3"/>
    <w:rsid w:val="00737C1B"/>
    <w:rsid w:val="007407E8"/>
    <w:rsid w:val="00740E70"/>
    <w:rsid w:val="007414CA"/>
    <w:rsid w:val="00741C64"/>
    <w:rsid w:val="00744AFB"/>
    <w:rsid w:val="0074744A"/>
    <w:rsid w:val="00753642"/>
    <w:rsid w:val="00761F7F"/>
    <w:rsid w:val="0076384F"/>
    <w:rsid w:val="007664B2"/>
    <w:rsid w:val="00770C59"/>
    <w:rsid w:val="00771EF1"/>
    <w:rsid w:val="00773FEA"/>
    <w:rsid w:val="007753EC"/>
    <w:rsid w:val="00777270"/>
    <w:rsid w:val="0077796B"/>
    <w:rsid w:val="00783F97"/>
    <w:rsid w:val="0078537F"/>
    <w:rsid w:val="0078580C"/>
    <w:rsid w:val="00785BB0"/>
    <w:rsid w:val="00792063"/>
    <w:rsid w:val="007A003F"/>
    <w:rsid w:val="007A5E44"/>
    <w:rsid w:val="007B0E8D"/>
    <w:rsid w:val="007B611E"/>
    <w:rsid w:val="007B7715"/>
    <w:rsid w:val="007D093E"/>
    <w:rsid w:val="007D1C04"/>
    <w:rsid w:val="007D21B2"/>
    <w:rsid w:val="007D264D"/>
    <w:rsid w:val="007D3D0C"/>
    <w:rsid w:val="007D43FB"/>
    <w:rsid w:val="007D618E"/>
    <w:rsid w:val="007E1ADF"/>
    <w:rsid w:val="007E1B4D"/>
    <w:rsid w:val="007E2F15"/>
    <w:rsid w:val="007E6403"/>
    <w:rsid w:val="007F0C2B"/>
    <w:rsid w:val="007F2F2F"/>
    <w:rsid w:val="007F3E8C"/>
    <w:rsid w:val="007F6E86"/>
    <w:rsid w:val="007F780D"/>
    <w:rsid w:val="007F7950"/>
    <w:rsid w:val="0080016C"/>
    <w:rsid w:val="00801232"/>
    <w:rsid w:val="00806DA4"/>
    <w:rsid w:val="00807916"/>
    <w:rsid w:val="0081127F"/>
    <w:rsid w:val="00812FFB"/>
    <w:rsid w:val="0081365E"/>
    <w:rsid w:val="0081538F"/>
    <w:rsid w:val="00816401"/>
    <w:rsid w:val="00821453"/>
    <w:rsid w:val="008232C6"/>
    <w:rsid w:val="00823F84"/>
    <w:rsid w:val="00825176"/>
    <w:rsid w:val="008357E2"/>
    <w:rsid w:val="008409C4"/>
    <w:rsid w:val="00842078"/>
    <w:rsid w:val="008446A2"/>
    <w:rsid w:val="00844F6D"/>
    <w:rsid w:val="008571B0"/>
    <w:rsid w:val="00864283"/>
    <w:rsid w:val="0086454B"/>
    <w:rsid w:val="0086539C"/>
    <w:rsid w:val="00865686"/>
    <w:rsid w:val="00866CAD"/>
    <w:rsid w:val="00871CB9"/>
    <w:rsid w:val="008720A5"/>
    <w:rsid w:val="00872D82"/>
    <w:rsid w:val="00877D2C"/>
    <w:rsid w:val="00881FEF"/>
    <w:rsid w:val="00883226"/>
    <w:rsid w:val="00884EB8"/>
    <w:rsid w:val="00885824"/>
    <w:rsid w:val="00886809"/>
    <w:rsid w:val="00886E3C"/>
    <w:rsid w:val="00891B10"/>
    <w:rsid w:val="008A300E"/>
    <w:rsid w:val="008A4ADA"/>
    <w:rsid w:val="008A4AF0"/>
    <w:rsid w:val="008A533B"/>
    <w:rsid w:val="008A5586"/>
    <w:rsid w:val="008A6A84"/>
    <w:rsid w:val="008B0C47"/>
    <w:rsid w:val="008B3033"/>
    <w:rsid w:val="008B3184"/>
    <w:rsid w:val="008B32B5"/>
    <w:rsid w:val="008B3CD8"/>
    <w:rsid w:val="008B59E1"/>
    <w:rsid w:val="008B7B4D"/>
    <w:rsid w:val="008C0511"/>
    <w:rsid w:val="008C482F"/>
    <w:rsid w:val="008C4E5C"/>
    <w:rsid w:val="008C6177"/>
    <w:rsid w:val="008D6045"/>
    <w:rsid w:val="008F0B7C"/>
    <w:rsid w:val="008F144C"/>
    <w:rsid w:val="008F32E7"/>
    <w:rsid w:val="008F4C8B"/>
    <w:rsid w:val="008F53AA"/>
    <w:rsid w:val="008F7221"/>
    <w:rsid w:val="00900788"/>
    <w:rsid w:val="0090359E"/>
    <w:rsid w:val="009039B9"/>
    <w:rsid w:val="00905929"/>
    <w:rsid w:val="0091038B"/>
    <w:rsid w:val="00912F9A"/>
    <w:rsid w:val="00914AA6"/>
    <w:rsid w:val="009157A3"/>
    <w:rsid w:val="009162BA"/>
    <w:rsid w:val="00923E36"/>
    <w:rsid w:val="00933EC1"/>
    <w:rsid w:val="009407AB"/>
    <w:rsid w:val="00941BA0"/>
    <w:rsid w:val="009448D0"/>
    <w:rsid w:val="0094746A"/>
    <w:rsid w:val="00953CDD"/>
    <w:rsid w:val="00953E33"/>
    <w:rsid w:val="00954546"/>
    <w:rsid w:val="00954D5A"/>
    <w:rsid w:val="00957FE2"/>
    <w:rsid w:val="009626E2"/>
    <w:rsid w:val="0096372B"/>
    <w:rsid w:val="00964960"/>
    <w:rsid w:val="00965AC4"/>
    <w:rsid w:val="0096601C"/>
    <w:rsid w:val="00966031"/>
    <w:rsid w:val="00967D02"/>
    <w:rsid w:val="00970191"/>
    <w:rsid w:val="009705E3"/>
    <w:rsid w:val="00970803"/>
    <w:rsid w:val="00971B24"/>
    <w:rsid w:val="0097222F"/>
    <w:rsid w:val="009738F5"/>
    <w:rsid w:val="00977A5B"/>
    <w:rsid w:val="00980803"/>
    <w:rsid w:val="00982506"/>
    <w:rsid w:val="00982E26"/>
    <w:rsid w:val="0098674A"/>
    <w:rsid w:val="009879AD"/>
    <w:rsid w:val="009927F0"/>
    <w:rsid w:val="00993F98"/>
    <w:rsid w:val="00994813"/>
    <w:rsid w:val="00995A4D"/>
    <w:rsid w:val="00997784"/>
    <w:rsid w:val="009A50AD"/>
    <w:rsid w:val="009B5288"/>
    <w:rsid w:val="009B613D"/>
    <w:rsid w:val="009B6D5C"/>
    <w:rsid w:val="009C2965"/>
    <w:rsid w:val="009C2BCF"/>
    <w:rsid w:val="009C3FDA"/>
    <w:rsid w:val="009C7E53"/>
    <w:rsid w:val="009D046E"/>
    <w:rsid w:val="009D1FF2"/>
    <w:rsid w:val="009D20AD"/>
    <w:rsid w:val="009D20D2"/>
    <w:rsid w:val="009D2B75"/>
    <w:rsid w:val="009D3169"/>
    <w:rsid w:val="009D34AD"/>
    <w:rsid w:val="009D3BA0"/>
    <w:rsid w:val="009D5285"/>
    <w:rsid w:val="009D5E02"/>
    <w:rsid w:val="009E009A"/>
    <w:rsid w:val="009E44C3"/>
    <w:rsid w:val="009F3342"/>
    <w:rsid w:val="009F4884"/>
    <w:rsid w:val="009F713C"/>
    <w:rsid w:val="00A03928"/>
    <w:rsid w:val="00A05CF6"/>
    <w:rsid w:val="00A063F1"/>
    <w:rsid w:val="00A10207"/>
    <w:rsid w:val="00A1027B"/>
    <w:rsid w:val="00A13DA6"/>
    <w:rsid w:val="00A16BE0"/>
    <w:rsid w:val="00A16C96"/>
    <w:rsid w:val="00A22F8C"/>
    <w:rsid w:val="00A231DA"/>
    <w:rsid w:val="00A32108"/>
    <w:rsid w:val="00A3445F"/>
    <w:rsid w:val="00A37E0C"/>
    <w:rsid w:val="00A40583"/>
    <w:rsid w:val="00A4266F"/>
    <w:rsid w:val="00A44595"/>
    <w:rsid w:val="00A46A36"/>
    <w:rsid w:val="00A53271"/>
    <w:rsid w:val="00A53ED2"/>
    <w:rsid w:val="00A609A1"/>
    <w:rsid w:val="00A615C8"/>
    <w:rsid w:val="00A61979"/>
    <w:rsid w:val="00A63382"/>
    <w:rsid w:val="00A6351B"/>
    <w:rsid w:val="00A65BD4"/>
    <w:rsid w:val="00A67AEA"/>
    <w:rsid w:val="00A7072F"/>
    <w:rsid w:val="00A72FBA"/>
    <w:rsid w:val="00A75E6D"/>
    <w:rsid w:val="00A802ED"/>
    <w:rsid w:val="00A81738"/>
    <w:rsid w:val="00A82615"/>
    <w:rsid w:val="00A84B21"/>
    <w:rsid w:val="00A878CC"/>
    <w:rsid w:val="00A92058"/>
    <w:rsid w:val="00A92B60"/>
    <w:rsid w:val="00A962F6"/>
    <w:rsid w:val="00A970FE"/>
    <w:rsid w:val="00AA0622"/>
    <w:rsid w:val="00AA3ACE"/>
    <w:rsid w:val="00AA4A97"/>
    <w:rsid w:val="00AA52AA"/>
    <w:rsid w:val="00AA6838"/>
    <w:rsid w:val="00AA6954"/>
    <w:rsid w:val="00AB0717"/>
    <w:rsid w:val="00AB4156"/>
    <w:rsid w:val="00AC0C00"/>
    <w:rsid w:val="00AC0E6A"/>
    <w:rsid w:val="00AC1A8A"/>
    <w:rsid w:val="00AC1DA5"/>
    <w:rsid w:val="00AC50E1"/>
    <w:rsid w:val="00AC6652"/>
    <w:rsid w:val="00AC7E32"/>
    <w:rsid w:val="00AD0BE5"/>
    <w:rsid w:val="00AD233C"/>
    <w:rsid w:val="00AD25D9"/>
    <w:rsid w:val="00AD7BE2"/>
    <w:rsid w:val="00AE002F"/>
    <w:rsid w:val="00AE10BE"/>
    <w:rsid w:val="00AE1CEE"/>
    <w:rsid w:val="00AE60C7"/>
    <w:rsid w:val="00AF3459"/>
    <w:rsid w:val="00AF358E"/>
    <w:rsid w:val="00B00F19"/>
    <w:rsid w:val="00B02DD0"/>
    <w:rsid w:val="00B100BB"/>
    <w:rsid w:val="00B1271B"/>
    <w:rsid w:val="00B14B15"/>
    <w:rsid w:val="00B15AFE"/>
    <w:rsid w:val="00B22C05"/>
    <w:rsid w:val="00B23577"/>
    <w:rsid w:val="00B244DE"/>
    <w:rsid w:val="00B276F4"/>
    <w:rsid w:val="00B279B3"/>
    <w:rsid w:val="00B307A7"/>
    <w:rsid w:val="00B323E7"/>
    <w:rsid w:val="00B3298A"/>
    <w:rsid w:val="00B33040"/>
    <w:rsid w:val="00B4106E"/>
    <w:rsid w:val="00B45F12"/>
    <w:rsid w:val="00B47EC6"/>
    <w:rsid w:val="00B50B98"/>
    <w:rsid w:val="00B52AD0"/>
    <w:rsid w:val="00B61CED"/>
    <w:rsid w:val="00B61E63"/>
    <w:rsid w:val="00B6292A"/>
    <w:rsid w:val="00B62DB7"/>
    <w:rsid w:val="00B679FD"/>
    <w:rsid w:val="00B67C2C"/>
    <w:rsid w:val="00B71C64"/>
    <w:rsid w:val="00B728C2"/>
    <w:rsid w:val="00B74857"/>
    <w:rsid w:val="00B76427"/>
    <w:rsid w:val="00B82D8E"/>
    <w:rsid w:val="00B87E72"/>
    <w:rsid w:val="00B9277A"/>
    <w:rsid w:val="00B94A93"/>
    <w:rsid w:val="00B94E68"/>
    <w:rsid w:val="00BA2050"/>
    <w:rsid w:val="00BA3CD5"/>
    <w:rsid w:val="00BA3FCC"/>
    <w:rsid w:val="00BA4D20"/>
    <w:rsid w:val="00BA78D6"/>
    <w:rsid w:val="00BB31FD"/>
    <w:rsid w:val="00BB364E"/>
    <w:rsid w:val="00BB572D"/>
    <w:rsid w:val="00BB7A0B"/>
    <w:rsid w:val="00BB7DBC"/>
    <w:rsid w:val="00BC2B07"/>
    <w:rsid w:val="00BC76A6"/>
    <w:rsid w:val="00BD0477"/>
    <w:rsid w:val="00BD3FF7"/>
    <w:rsid w:val="00BD41FA"/>
    <w:rsid w:val="00BD5A75"/>
    <w:rsid w:val="00BD5E2E"/>
    <w:rsid w:val="00BD65A2"/>
    <w:rsid w:val="00BE2B2F"/>
    <w:rsid w:val="00BE3EA8"/>
    <w:rsid w:val="00BE6441"/>
    <w:rsid w:val="00BE706C"/>
    <w:rsid w:val="00BF2A68"/>
    <w:rsid w:val="00BF45B9"/>
    <w:rsid w:val="00BF6F32"/>
    <w:rsid w:val="00BF7189"/>
    <w:rsid w:val="00C072E2"/>
    <w:rsid w:val="00C10F8B"/>
    <w:rsid w:val="00C1521E"/>
    <w:rsid w:val="00C22EC1"/>
    <w:rsid w:val="00C23EFB"/>
    <w:rsid w:val="00C24C6A"/>
    <w:rsid w:val="00C26789"/>
    <w:rsid w:val="00C30C44"/>
    <w:rsid w:val="00C36E79"/>
    <w:rsid w:val="00C40C48"/>
    <w:rsid w:val="00C4347D"/>
    <w:rsid w:val="00C44331"/>
    <w:rsid w:val="00C4470A"/>
    <w:rsid w:val="00C451DE"/>
    <w:rsid w:val="00C457CD"/>
    <w:rsid w:val="00C45E96"/>
    <w:rsid w:val="00C46EB0"/>
    <w:rsid w:val="00C5313C"/>
    <w:rsid w:val="00C5340A"/>
    <w:rsid w:val="00C55905"/>
    <w:rsid w:val="00C55CA5"/>
    <w:rsid w:val="00C612D0"/>
    <w:rsid w:val="00C632FE"/>
    <w:rsid w:val="00C634E2"/>
    <w:rsid w:val="00C64224"/>
    <w:rsid w:val="00C65352"/>
    <w:rsid w:val="00C82FF3"/>
    <w:rsid w:val="00C908D1"/>
    <w:rsid w:val="00C90985"/>
    <w:rsid w:val="00C9099C"/>
    <w:rsid w:val="00C924E4"/>
    <w:rsid w:val="00C9347E"/>
    <w:rsid w:val="00C94CE2"/>
    <w:rsid w:val="00C9BF2B"/>
    <w:rsid w:val="00CA2D23"/>
    <w:rsid w:val="00CA461A"/>
    <w:rsid w:val="00CA5CFB"/>
    <w:rsid w:val="00CB228F"/>
    <w:rsid w:val="00CB2D7E"/>
    <w:rsid w:val="00CB5A4D"/>
    <w:rsid w:val="00CB6A19"/>
    <w:rsid w:val="00CB77E8"/>
    <w:rsid w:val="00CC16E8"/>
    <w:rsid w:val="00CC38C8"/>
    <w:rsid w:val="00CC392C"/>
    <w:rsid w:val="00CC43EB"/>
    <w:rsid w:val="00CC798C"/>
    <w:rsid w:val="00CD2702"/>
    <w:rsid w:val="00CD4986"/>
    <w:rsid w:val="00CD4C2C"/>
    <w:rsid w:val="00CD7758"/>
    <w:rsid w:val="00CE0ADF"/>
    <w:rsid w:val="00CE1E0E"/>
    <w:rsid w:val="00CE307A"/>
    <w:rsid w:val="00CE5552"/>
    <w:rsid w:val="00CE5B44"/>
    <w:rsid w:val="00CF33EF"/>
    <w:rsid w:val="00CF4F25"/>
    <w:rsid w:val="00CF7627"/>
    <w:rsid w:val="00D033CA"/>
    <w:rsid w:val="00D13D30"/>
    <w:rsid w:val="00D15770"/>
    <w:rsid w:val="00D1585C"/>
    <w:rsid w:val="00D20ECF"/>
    <w:rsid w:val="00D21287"/>
    <w:rsid w:val="00D23296"/>
    <w:rsid w:val="00D23C74"/>
    <w:rsid w:val="00D24084"/>
    <w:rsid w:val="00D26588"/>
    <w:rsid w:val="00D307E1"/>
    <w:rsid w:val="00D31B55"/>
    <w:rsid w:val="00D32D46"/>
    <w:rsid w:val="00D345C3"/>
    <w:rsid w:val="00D37ABD"/>
    <w:rsid w:val="00D42FC6"/>
    <w:rsid w:val="00D43717"/>
    <w:rsid w:val="00D45F99"/>
    <w:rsid w:val="00D46807"/>
    <w:rsid w:val="00D47222"/>
    <w:rsid w:val="00D5353E"/>
    <w:rsid w:val="00D53674"/>
    <w:rsid w:val="00D54A21"/>
    <w:rsid w:val="00D55743"/>
    <w:rsid w:val="00D601E0"/>
    <w:rsid w:val="00D64DB6"/>
    <w:rsid w:val="00D67ED3"/>
    <w:rsid w:val="00D70589"/>
    <w:rsid w:val="00D71377"/>
    <w:rsid w:val="00D731D4"/>
    <w:rsid w:val="00D76379"/>
    <w:rsid w:val="00D80520"/>
    <w:rsid w:val="00D814BA"/>
    <w:rsid w:val="00D865C2"/>
    <w:rsid w:val="00D91E3A"/>
    <w:rsid w:val="00D9431A"/>
    <w:rsid w:val="00D958EE"/>
    <w:rsid w:val="00D9785F"/>
    <w:rsid w:val="00DA01C9"/>
    <w:rsid w:val="00DA0C0D"/>
    <w:rsid w:val="00DA2A0D"/>
    <w:rsid w:val="00DA4DDE"/>
    <w:rsid w:val="00DA7DC1"/>
    <w:rsid w:val="00DA7F22"/>
    <w:rsid w:val="00DB0944"/>
    <w:rsid w:val="00DB20FD"/>
    <w:rsid w:val="00DB3255"/>
    <w:rsid w:val="00DB3CEF"/>
    <w:rsid w:val="00DB3E14"/>
    <w:rsid w:val="00DB504E"/>
    <w:rsid w:val="00DB50E1"/>
    <w:rsid w:val="00DB79A6"/>
    <w:rsid w:val="00DC1732"/>
    <w:rsid w:val="00DC5A0D"/>
    <w:rsid w:val="00DC6CE2"/>
    <w:rsid w:val="00DC70D4"/>
    <w:rsid w:val="00DD3546"/>
    <w:rsid w:val="00DD54E6"/>
    <w:rsid w:val="00DD5AF8"/>
    <w:rsid w:val="00DE2507"/>
    <w:rsid w:val="00DE2DD8"/>
    <w:rsid w:val="00DE2FC7"/>
    <w:rsid w:val="00DE3E50"/>
    <w:rsid w:val="00DE51B3"/>
    <w:rsid w:val="00DE57EA"/>
    <w:rsid w:val="00DF31DC"/>
    <w:rsid w:val="00DF3672"/>
    <w:rsid w:val="00DF3A82"/>
    <w:rsid w:val="00DF5E90"/>
    <w:rsid w:val="00E03E44"/>
    <w:rsid w:val="00E060E6"/>
    <w:rsid w:val="00E0684D"/>
    <w:rsid w:val="00E147D2"/>
    <w:rsid w:val="00E1750F"/>
    <w:rsid w:val="00E2181D"/>
    <w:rsid w:val="00E21969"/>
    <w:rsid w:val="00E22EBD"/>
    <w:rsid w:val="00E22FC8"/>
    <w:rsid w:val="00E2645E"/>
    <w:rsid w:val="00E302DE"/>
    <w:rsid w:val="00E30D2A"/>
    <w:rsid w:val="00E32EC4"/>
    <w:rsid w:val="00E379DD"/>
    <w:rsid w:val="00E43573"/>
    <w:rsid w:val="00E50171"/>
    <w:rsid w:val="00E50AFA"/>
    <w:rsid w:val="00E532D5"/>
    <w:rsid w:val="00E56379"/>
    <w:rsid w:val="00E56B1E"/>
    <w:rsid w:val="00E56CFB"/>
    <w:rsid w:val="00E62597"/>
    <w:rsid w:val="00E65CCC"/>
    <w:rsid w:val="00E6676A"/>
    <w:rsid w:val="00E67A8C"/>
    <w:rsid w:val="00E7176D"/>
    <w:rsid w:val="00E75FA4"/>
    <w:rsid w:val="00E762BE"/>
    <w:rsid w:val="00E80E62"/>
    <w:rsid w:val="00E80FBC"/>
    <w:rsid w:val="00E813AE"/>
    <w:rsid w:val="00E8382E"/>
    <w:rsid w:val="00E83BE4"/>
    <w:rsid w:val="00E8401E"/>
    <w:rsid w:val="00E84661"/>
    <w:rsid w:val="00E848EE"/>
    <w:rsid w:val="00E85399"/>
    <w:rsid w:val="00E87318"/>
    <w:rsid w:val="00E941C3"/>
    <w:rsid w:val="00E95F8D"/>
    <w:rsid w:val="00EA033D"/>
    <w:rsid w:val="00EA11FF"/>
    <w:rsid w:val="00EA4E73"/>
    <w:rsid w:val="00EB155B"/>
    <w:rsid w:val="00EB4005"/>
    <w:rsid w:val="00EC2E0B"/>
    <w:rsid w:val="00EC3C45"/>
    <w:rsid w:val="00EC5379"/>
    <w:rsid w:val="00EC6905"/>
    <w:rsid w:val="00EC7552"/>
    <w:rsid w:val="00ED291C"/>
    <w:rsid w:val="00ED2FD4"/>
    <w:rsid w:val="00ED3576"/>
    <w:rsid w:val="00ED41EC"/>
    <w:rsid w:val="00ED4C5C"/>
    <w:rsid w:val="00ED777D"/>
    <w:rsid w:val="00EE04BF"/>
    <w:rsid w:val="00EE09FA"/>
    <w:rsid w:val="00EE0B52"/>
    <w:rsid w:val="00EE31D8"/>
    <w:rsid w:val="00EE3BD1"/>
    <w:rsid w:val="00EF1C8D"/>
    <w:rsid w:val="00EF2F2E"/>
    <w:rsid w:val="00EF428B"/>
    <w:rsid w:val="00EF46EC"/>
    <w:rsid w:val="00EF53F5"/>
    <w:rsid w:val="00EF6CDF"/>
    <w:rsid w:val="00EF7E09"/>
    <w:rsid w:val="00F01410"/>
    <w:rsid w:val="00F01452"/>
    <w:rsid w:val="00F05CD4"/>
    <w:rsid w:val="00F11620"/>
    <w:rsid w:val="00F11C9E"/>
    <w:rsid w:val="00F13E9D"/>
    <w:rsid w:val="00F150DA"/>
    <w:rsid w:val="00F21018"/>
    <w:rsid w:val="00F2203B"/>
    <w:rsid w:val="00F23FDA"/>
    <w:rsid w:val="00F2544F"/>
    <w:rsid w:val="00F2562B"/>
    <w:rsid w:val="00F2693E"/>
    <w:rsid w:val="00F27B7A"/>
    <w:rsid w:val="00F32718"/>
    <w:rsid w:val="00F32D8D"/>
    <w:rsid w:val="00F34FB9"/>
    <w:rsid w:val="00F35331"/>
    <w:rsid w:val="00F40CCA"/>
    <w:rsid w:val="00F44469"/>
    <w:rsid w:val="00F47CDF"/>
    <w:rsid w:val="00F47FD9"/>
    <w:rsid w:val="00F51230"/>
    <w:rsid w:val="00F52257"/>
    <w:rsid w:val="00F53DD3"/>
    <w:rsid w:val="00F55520"/>
    <w:rsid w:val="00F560BD"/>
    <w:rsid w:val="00F6053C"/>
    <w:rsid w:val="00F60D13"/>
    <w:rsid w:val="00F63402"/>
    <w:rsid w:val="00F71905"/>
    <w:rsid w:val="00F71BD2"/>
    <w:rsid w:val="00F72188"/>
    <w:rsid w:val="00F732B8"/>
    <w:rsid w:val="00F76279"/>
    <w:rsid w:val="00F81D13"/>
    <w:rsid w:val="00F8638D"/>
    <w:rsid w:val="00F910FB"/>
    <w:rsid w:val="00F92E45"/>
    <w:rsid w:val="00F95C0C"/>
    <w:rsid w:val="00F96041"/>
    <w:rsid w:val="00F9646D"/>
    <w:rsid w:val="00FA1A1A"/>
    <w:rsid w:val="00FA4822"/>
    <w:rsid w:val="00FA5BA5"/>
    <w:rsid w:val="00FB046D"/>
    <w:rsid w:val="00FB0EAE"/>
    <w:rsid w:val="00FB15F6"/>
    <w:rsid w:val="00FB3F74"/>
    <w:rsid w:val="00FB45C0"/>
    <w:rsid w:val="00FB48A0"/>
    <w:rsid w:val="00FB4B31"/>
    <w:rsid w:val="00FB7193"/>
    <w:rsid w:val="00FB7C30"/>
    <w:rsid w:val="00FB7FD4"/>
    <w:rsid w:val="00FC0258"/>
    <w:rsid w:val="00FD2280"/>
    <w:rsid w:val="00FD3C4A"/>
    <w:rsid w:val="00FD566B"/>
    <w:rsid w:val="00FD7A25"/>
    <w:rsid w:val="00FE021E"/>
    <w:rsid w:val="00FF03B5"/>
    <w:rsid w:val="00FF03EA"/>
    <w:rsid w:val="00FF0E47"/>
    <w:rsid w:val="01075F4E"/>
    <w:rsid w:val="01851935"/>
    <w:rsid w:val="01C2BAAD"/>
    <w:rsid w:val="045499F9"/>
    <w:rsid w:val="051C314E"/>
    <w:rsid w:val="05683EAC"/>
    <w:rsid w:val="0595FAB9"/>
    <w:rsid w:val="05F06A5A"/>
    <w:rsid w:val="07E5A3C9"/>
    <w:rsid w:val="08622DBA"/>
    <w:rsid w:val="090EE2BF"/>
    <w:rsid w:val="09BEDDB3"/>
    <w:rsid w:val="09D7E45F"/>
    <w:rsid w:val="0A8DF001"/>
    <w:rsid w:val="0AA752F6"/>
    <w:rsid w:val="0AB5C7BC"/>
    <w:rsid w:val="0BA9FDCB"/>
    <w:rsid w:val="0CD894D4"/>
    <w:rsid w:val="0CFAFFDE"/>
    <w:rsid w:val="0E121F69"/>
    <w:rsid w:val="0E6ECB15"/>
    <w:rsid w:val="0EB928D1"/>
    <w:rsid w:val="0F5FF4BD"/>
    <w:rsid w:val="0FAFF804"/>
    <w:rsid w:val="0FBB8358"/>
    <w:rsid w:val="1020C0CC"/>
    <w:rsid w:val="11852F5A"/>
    <w:rsid w:val="11B95D1C"/>
    <w:rsid w:val="12253C67"/>
    <w:rsid w:val="135CA38B"/>
    <w:rsid w:val="13C10CC8"/>
    <w:rsid w:val="1497DE20"/>
    <w:rsid w:val="14B73F78"/>
    <w:rsid w:val="169DE13E"/>
    <w:rsid w:val="171158DF"/>
    <w:rsid w:val="1A9EDE26"/>
    <w:rsid w:val="1B9BF18D"/>
    <w:rsid w:val="1BF1F8F2"/>
    <w:rsid w:val="1C4EF379"/>
    <w:rsid w:val="1CE7EB81"/>
    <w:rsid w:val="1D6558C6"/>
    <w:rsid w:val="1EB9C129"/>
    <w:rsid w:val="1FB45CB2"/>
    <w:rsid w:val="22CD3D15"/>
    <w:rsid w:val="23C52195"/>
    <w:rsid w:val="243000CD"/>
    <w:rsid w:val="2613F490"/>
    <w:rsid w:val="26310A7B"/>
    <w:rsid w:val="26BA0B56"/>
    <w:rsid w:val="26DD66F4"/>
    <w:rsid w:val="26DE2427"/>
    <w:rsid w:val="27E62679"/>
    <w:rsid w:val="28A865EA"/>
    <w:rsid w:val="29A0045B"/>
    <w:rsid w:val="2B415E0C"/>
    <w:rsid w:val="2C7E83FC"/>
    <w:rsid w:val="2CA5583D"/>
    <w:rsid w:val="2D00A50C"/>
    <w:rsid w:val="2E14775B"/>
    <w:rsid w:val="2F97E80C"/>
    <w:rsid w:val="3069839F"/>
    <w:rsid w:val="30EC8A6A"/>
    <w:rsid w:val="31B3C6BC"/>
    <w:rsid w:val="3228C454"/>
    <w:rsid w:val="3320CD2F"/>
    <w:rsid w:val="33C61856"/>
    <w:rsid w:val="3458DDED"/>
    <w:rsid w:val="346E4DB5"/>
    <w:rsid w:val="34A7B4D7"/>
    <w:rsid w:val="35606516"/>
    <w:rsid w:val="357663AB"/>
    <w:rsid w:val="359F20D7"/>
    <w:rsid w:val="364FFC19"/>
    <w:rsid w:val="3650BEEF"/>
    <w:rsid w:val="366E3458"/>
    <w:rsid w:val="3674CD8F"/>
    <w:rsid w:val="36BE84A0"/>
    <w:rsid w:val="36C5F521"/>
    <w:rsid w:val="383870C0"/>
    <w:rsid w:val="3A429379"/>
    <w:rsid w:val="3B1603DB"/>
    <w:rsid w:val="3B8A5D23"/>
    <w:rsid w:val="3E5CC23B"/>
    <w:rsid w:val="3EADD3DA"/>
    <w:rsid w:val="40CAB5A0"/>
    <w:rsid w:val="412448FC"/>
    <w:rsid w:val="415428F3"/>
    <w:rsid w:val="437D1C96"/>
    <w:rsid w:val="445BE9BE"/>
    <w:rsid w:val="449F3098"/>
    <w:rsid w:val="459C1C44"/>
    <w:rsid w:val="45A8BD1F"/>
    <w:rsid w:val="45BFC6B2"/>
    <w:rsid w:val="45F7BA1F"/>
    <w:rsid w:val="46BB02BC"/>
    <w:rsid w:val="46DB015E"/>
    <w:rsid w:val="486AF213"/>
    <w:rsid w:val="4873B66A"/>
    <w:rsid w:val="48929827"/>
    <w:rsid w:val="49914503"/>
    <w:rsid w:val="499522C1"/>
    <w:rsid w:val="499F60B6"/>
    <w:rsid w:val="49A04908"/>
    <w:rsid w:val="4B63505A"/>
    <w:rsid w:val="4BAE7281"/>
    <w:rsid w:val="4C9B08A4"/>
    <w:rsid w:val="50F40AE6"/>
    <w:rsid w:val="522745D5"/>
    <w:rsid w:val="52ADDB5D"/>
    <w:rsid w:val="54CBA9F7"/>
    <w:rsid w:val="557074F4"/>
    <w:rsid w:val="57E93182"/>
    <w:rsid w:val="58EAA3EB"/>
    <w:rsid w:val="58F1CE56"/>
    <w:rsid w:val="59C974F2"/>
    <w:rsid w:val="5A89314B"/>
    <w:rsid w:val="5B2FC72C"/>
    <w:rsid w:val="5BBBE9A2"/>
    <w:rsid w:val="5CB4AB32"/>
    <w:rsid w:val="5D57514B"/>
    <w:rsid w:val="5E5930C8"/>
    <w:rsid w:val="5EB9026C"/>
    <w:rsid w:val="5F042493"/>
    <w:rsid w:val="607B15D3"/>
    <w:rsid w:val="611480AB"/>
    <w:rsid w:val="61784307"/>
    <w:rsid w:val="61935245"/>
    <w:rsid w:val="6468FCE6"/>
    <w:rsid w:val="671A54C9"/>
    <w:rsid w:val="67A3AD56"/>
    <w:rsid w:val="69291324"/>
    <w:rsid w:val="694676B0"/>
    <w:rsid w:val="6A3FE0A7"/>
    <w:rsid w:val="6A862CB8"/>
    <w:rsid w:val="6A8FA662"/>
    <w:rsid w:val="6BBBFA8C"/>
    <w:rsid w:val="6E0D1D7A"/>
    <w:rsid w:val="6E30A28C"/>
    <w:rsid w:val="7021984D"/>
    <w:rsid w:val="7051CE3A"/>
    <w:rsid w:val="74BD0B31"/>
    <w:rsid w:val="74F4E14A"/>
    <w:rsid w:val="781788A3"/>
    <w:rsid w:val="7832BFB5"/>
    <w:rsid w:val="7A1BA58D"/>
    <w:rsid w:val="7B40C4A2"/>
    <w:rsid w:val="7B5B77AE"/>
    <w:rsid w:val="7B7A1952"/>
    <w:rsid w:val="7F688C24"/>
    <w:rsid w:val="7FE4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601C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DD"/>
    <w:pPr>
      <w:spacing w:after="200" w:line="276" w:lineRule="auto"/>
    </w:pPr>
    <w:rPr>
      <w:lang w:val="en-GB"/>
    </w:rPr>
  </w:style>
  <w:style w:type="paragraph" w:styleId="Heading1">
    <w:name w:val="heading 1"/>
    <w:basedOn w:val="Normal"/>
    <w:next w:val="Normal"/>
    <w:link w:val="Heading1Char"/>
    <w:uiPriority w:val="9"/>
    <w:qFormat/>
    <w:rsid w:val="00957FE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7FE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638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638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7A2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D7A2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A2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A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A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5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28"/>
    <w:pPr>
      <w:ind w:left="720"/>
      <w:contextualSpacing/>
    </w:pPr>
  </w:style>
  <w:style w:type="paragraph" w:styleId="TOC2">
    <w:name w:val="toc 2"/>
    <w:basedOn w:val="Normal"/>
    <w:next w:val="Normal"/>
    <w:autoRedefine/>
    <w:uiPriority w:val="39"/>
    <w:unhideWhenUsed/>
    <w:rsid w:val="00957FE2"/>
    <w:pPr>
      <w:spacing w:after="100"/>
      <w:ind w:left="220"/>
    </w:pPr>
  </w:style>
  <w:style w:type="character" w:styleId="Hyperlink">
    <w:name w:val="Hyperlink"/>
    <w:basedOn w:val="DefaultParagraphFont"/>
    <w:uiPriority w:val="99"/>
    <w:unhideWhenUsed/>
    <w:rsid w:val="00957FE2"/>
    <w:rPr>
      <w:color w:val="0563C1" w:themeColor="hyperlink"/>
      <w:u w:val="single"/>
    </w:rPr>
  </w:style>
  <w:style w:type="character" w:customStyle="1" w:styleId="Heading1Char">
    <w:name w:val="Heading 1 Char"/>
    <w:basedOn w:val="DefaultParagraphFont"/>
    <w:link w:val="Heading1"/>
    <w:uiPriority w:val="9"/>
    <w:rsid w:val="00957FE2"/>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957FE2"/>
    <w:pPr>
      <w:spacing w:line="259" w:lineRule="auto"/>
      <w:outlineLvl w:val="9"/>
    </w:pPr>
    <w:rPr>
      <w:lang w:val="en-US"/>
    </w:rPr>
  </w:style>
  <w:style w:type="character" w:customStyle="1" w:styleId="Heading2Char">
    <w:name w:val="Heading 2 Char"/>
    <w:basedOn w:val="DefaultParagraphFont"/>
    <w:link w:val="Heading2"/>
    <w:uiPriority w:val="9"/>
    <w:rsid w:val="00957FE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F8638D"/>
    <w:rPr>
      <w:rFonts w:asciiTheme="majorHAnsi" w:eastAsiaTheme="majorEastAsia" w:hAnsiTheme="majorHAnsi" w:cstheme="majorBidi"/>
      <w:color w:val="1F4D78" w:themeColor="accent1" w:themeShade="7F"/>
      <w:sz w:val="24"/>
      <w:szCs w:val="24"/>
      <w:lang w:val="en-GB"/>
    </w:rPr>
  </w:style>
  <w:style w:type="paragraph" w:styleId="TOC1">
    <w:name w:val="toc 1"/>
    <w:basedOn w:val="Normal"/>
    <w:next w:val="Normal"/>
    <w:autoRedefine/>
    <w:uiPriority w:val="39"/>
    <w:unhideWhenUsed/>
    <w:rsid w:val="00EE04BF"/>
    <w:pPr>
      <w:tabs>
        <w:tab w:val="left" w:pos="440"/>
        <w:tab w:val="right" w:leader="dot" w:pos="9350"/>
      </w:tabs>
      <w:spacing w:after="100"/>
    </w:pPr>
  </w:style>
  <w:style w:type="paragraph" w:styleId="TOC3">
    <w:name w:val="toc 3"/>
    <w:basedOn w:val="Normal"/>
    <w:next w:val="Normal"/>
    <w:autoRedefine/>
    <w:uiPriority w:val="39"/>
    <w:unhideWhenUsed/>
    <w:rsid w:val="00F8638D"/>
    <w:pPr>
      <w:spacing w:after="100"/>
      <w:ind w:left="440"/>
    </w:pPr>
  </w:style>
  <w:style w:type="character" w:customStyle="1" w:styleId="Heading4Char">
    <w:name w:val="Heading 4 Char"/>
    <w:basedOn w:val="DefaultParagraphFont"/>
    <w:link w:val="Heading4"/>
    <w:uiPriority w:val="9"/>
    <w:rsid w:val="00F8638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5D7A26"/>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5D7A2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5D7A26"/>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5D7A2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D7A26"/>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5733BD"/>
    <w:rPr>
      <w:sz w:val="16"/>
      <w:szCs w:val="16"/>
    </w:rPr>
  </w:style>
  <w:style w:type="paragraph" w:styleId="CommentText">
    <w:name w:val="annotation text"/>
    <w:basedOn w:val="Normal"/>
    <w:link w:val="CommentTextChar"/>
    <w:uiPriority w:val="99"/>
    <w:unhideWhenUsed/>
    <w:rsid w:val="005733BD"/>
    <w:pPr>
      <w:spacing w:line="240" w:lineRule="auto"/>
    </w:pPr>
    <w:rPr>
      <w:sz w:val="20"/>
      <w:szCs w:val="20"/>
    </w:rPr>
  </w:style>
  <w:style w:type="character" w:customStyle="1" w:styleId="CommentTextChar">
    <w:name w:val="Comment Text Char"/>
    <w:basedOn w:val="DefaultParagraphFont"/>
    <w:link w:val="CommentText"/>
    <w:uiPriority w:val="99"/>
    <w:rsid w:val="005733BD"/>
    <w:rPr>
      <w:sz w:val="20"/>
      <w:szCs w:val="20"/>
      <w:lang w:val="en-GB"/>
    </w:rPr>
  </w:style>
  <w:style w:type="paragraph" w:styleId="CommentSubject">
    <w:name w:val="annotation subject"/>
    <w:basedOn w:val="CommentText"/>
    <w:next w:val="CommentText"/>
    <w:link w:val="CommentSubjectChar"/>
    <w:uiPriority w:val="99"/>
    <w:semiHidden/>
    <w:unhideWhenUsed/>
    <w:rsid w:val="005733BD"/>
    <w:rPr>
      <w:b/>
      <w:bCs/>
    </w:rPr>
  </w:style>
  <w:style w:type="character" w:customStyle="1" w:styleId="CommentSubjectChar">
    <w:name w:val="Comment Subject Char"/>
    <w:basedOn w:val="CommentTextChar"/>
    <w:link w:val="CommentSubject"/>
    <w:uiPriority w:val="99"/>
    <w:semiHidden/>
    <w:rsid w:val="005733BD"/>
    <w:rPr>
      <w:b/>
      <w:bCs/>
      <w:sz w:val="20"/>
      <w:szCs w:val="20"/>
      <w:lang w:val="en-GB"/>
    </w:rPr>
  </w:style>
  <w:style w:type="paragraph" w:styleId="BalloonText">
    <w:name w:val="Balloon Text"/>
    <w:basedOn w:val="Normal"/>
    <w:link w:val="BalloonTextChar"/>
    <w:uiPriority w:val="99"/>
    <w:semiHidden/>
    <w:unhideWhenUsed/>
    <w:rsid w:val="00573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BD"/>
    <w:rPr>
      <w:rFonts w:ascii="Segoe UI" w:hAnsi="Segoe UI" w:cs="Segoe UI"/>
      <w:sz w:val="18"/>
      <w:szCs w:val="18"/>
      <w:lang w:val="en-GB"/>
    </w:rPr>
  </w:style>
  <w:style w:type="table" w:customStyle="1" w:styleId="TableGrid1">
    <w:name w:val="Table Grid1"/>
    <w:basedOn w:val="TableNormal"/>
    <w:next w:val="TableGrid"/>
    <w:uiPriority w:val="59"/>
    <w:locked/>
    <w:rsid w:val="00CA5CF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8E"/>
    <w:rPr>
      <w:lang w:val="en-GB"/>
    </w:rPr>
  </w:style>
  <w:style w:type="paragraph" w:styleId="Footer">
    <w:name w:val="footer"/>
    <w:basedOn w:val="Normal"/>
    <w:link w:val="FooterChar"/>
    <w:uiPriority w:val="99"/>
    <w:unhideWhenUsed/>
    <w:rsid w:val="00B8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8E"/>
    <w:rPr>
      <w:lang w:val="en-GB"/>
    </w:rPr>
  </w:style>
  <w:style w:type="paragraph" w:styleId="FootnoteText">
    <w:name w:val="footnote text"/>
    <w:basedOn w:val="Normal"/>
    <w:link w:val="FootnoteTextChar"/>
    <w:uiPriority w:val="99"/>
    <w:semiHidden/>
    <w:unhideWhenUsed/>
    <w:rsid w:val="0096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72B"/>
    <w:rPr>
      <w:sz w:val="20"/>
      <w:szCs w:val="20"/>
      <w:lang w:val="en-GB"/>
    </w:rPr>
  </w:style>
  <w:style w:type="character" w:styleId="FootnoteReference">
    <w:name w:val="footnote reference"/>
    <w:basedOn w:val="DefaultParagraphFont"/>
    <w:uiPriority w:val="99"/>
    <w:semiHidden/>
    <w:unhideWhenUsed/>
    <w:rsid w:val="0096372B"/>
    <w:rPr>
      <w:vertAlign w:val="superscript"/>
    </w:rPr>
  </w:style>
  <w:style w:type="paragraph" w:styleId="NormalWeb">
    <w:name w:val="Normal (Web)"/>
    <w:basedOn w:val="Normal"/>
    <w:uiPriority w:val="99"/>
    <w:semiHidden/>
    <w:unhideWhenUsed/>
    <w:rsid w:val="00A707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locked/>
    <w:rsid w:val="00012C0B"/>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B6292A"/>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4C5C"/>
    <w:rPr>
      <w:color w:val="954F72" w:themeColor="followedHyperlink"/>
      <w:u w:val="single"/>
    </w:rPr>
  </w:style>
  <w:style w:type="paragraph" w:styleId="Revision">
    <w:name w:val="Revision"/>
    <w:hidden/>
    <w:uiPriority w:val="99"/>
    <w:semiHidden/>
    <w:rsid w:val="00C072E2"/>
    <w:pPr>
      <w:spacing w:after="0" w:line="240" w:lineRule="auto"/>
    </w:pPr>
    <w:rPr>
      <w:lang w:val="en-GB"/>
    </w:rPr>
  </w:style>
  <w:style w:type="paragraph" w:customStyle="1" w:styleId="DocumentSubtitle">
    <w:name w:val="Document Subtitle"/>
    <w:basedOn w:val="Normal"/>
    <w:link w:val="DocumentSubtitleChar"/>
    <w:qFormat/>
    <w:rsid w:val="003C2ED3"/>
    <w:pPr>
      <w:jc w:val="center"/>
      <w:outlineLvl w:val="0"/>
    </w:pPr>
    <w:rPr>
      <w:rFonts w:ascii="Verdana" w:eastAsia="Calibri" w:hAnsi="Verdana" w:cs="Times New Roman"/>
      <w:i/>
      <w:sz w:val="24"/>
      <w:szCs w:val="24"/>
      <w:lang w:eastAsia="x-none"/>
    </w:rPr>
  </w:style>
  <w:style w:type="character" w:customStyle="1" w:styleId="DocumentSubtitleChar">
    <w:name w:val="Document Subtitle Char"/>
    <w:link w:val="DocumentSubtitle"/>
    <w:rsid w:val="003C2ED3"/>
    <w:rPr>
      <w:rFonts w:ascii="Verdana" w:eastAsia="Calibri" w:hAnsi="Verdana" w:cs="Times New Roman"/>
      <w:i/>
      <w:sz w:val="24"/>
      <w:szCs w:val="24"/>
      <w:lang w:val="en-GB" w:eastAsia="x-none"/>
    </w:rPr>
  </w:style>
  <w:style w:type="paragraph" w:customStyle="1" w:styleId="Body">
    <w:name w:val="Body"/>
    <w:basedOn w:val="Normal"/>
    <w:link w:val="BodyChar"/>
    <w:qFormat/>
    <w:rsid w:val="003C2ED3"/>
    <w:rPr>
      <w:rFonts w:ascii="Verdana" w:eastAsia="Calibri" w:hAnsi="Verdana" w:cs="Times New Roman"/>
      <w:sz w:val="18"/>
    </w:rPr>
  </w:style>
  <w:style w:type="character" w:customStyle="1" w:styleId="BodyChar">
    <w:name w:val="Body Char"/>
    <w:link w:val="Body"/>
    <w:rsid w:val="003C2ED3"/>
    <w:rPr>
      <w:rFonts w:ascii="Verdana" w:eastAsia="Calibri" w:hAnsi="Verdana" w:cs="Times New Roman"/>
      <w:sz w:val="18"/>
      <w:lang w:val="en-GB"/>
    </w:rPr>
  </w:style>
  <w:style w:type="paragraph" w:customStyle="1" w:styleId="HeadingBody">
    <w:name w:val="Heading Body"/>
    <w:basedOn w:val="Normal"/>
    <w:link w:val="HeadingBodyChar"/>
    <w:qFormat/>
    <w:rsid w:val="003C2ED3"/>
    <w:pPr>
      <w:spacing w:after="120" w:line="240" w:lineRule="auto"/>
      <w:jc w:val="both"/>
    </w:pPr>
    <w:rPr>
      <w:rFonts w:ascii="Verdana" w:eastAsia="Times New Roman" w:hAnsi="Verdana" w:cs="Times New Roman"/>
      <w:b/>
      <w:sz w:val="20"/>
      <w:szCs w:val="18"/>
    </w:rPr>
  </w:style>
  <w:style w:type="character" w:customStyle="1" w:styleId="HeadingBodyChar">
    <w:name w:val="Heading Body Char"/>
    <w:link w:val="HeadingBody"/>
    <w:rsid w:val="003C2ED3"/>
    <w:rPr>
      <w:rFonts w:ascii="Verdana" w:eastAsia="Times New Roman" w:hAnsi="Verdana" w:cs="Times New Roman"/>
      <w:b/>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9660">
      <w:bodyDiv w:val="1"/>
      <w:marLeft w:val="0"/>
      <w:marRight w:val="0"/>
      <w:marTop w:val="0"/>
      <w:marBottom w:val="0"/>
      <w:divBdr>
        <w:top w:val="none" w:sz="0" w:space="0" w:color="auto"/>
        <w:left w:val="none" w:sz="0" w:space="0" w:color="auto"/>
        <w:bottom w:val="none" w:sz="0" w:space="0" w:color="auto"/>
        <w:right w:val="none" w:sz="0" w:space="0" w:color="auto"/>
      </w:divBdr>
    </w:div>
    <w:div w:id="502013790">
      <w:bodyDiv w:val="1"/>
      <w:marLeft w:val="0"/>
      <w:marRight w:val="0"/>
      <w:marTop w:val="0"/>
      <w:marBottom w:val="0"/>
      <w:divBdr>
        <w:top w:val="none" w:sz="0" w:space="0" w:color="auto"/>
        <w:left w:val="none" w:sz="0" w:space="0" w:color="auto"/>
        <w:bottom w:val="none" w:sz="0" w:space="0" w:color="auto"/>
        <w:right w:val="none" w:sz="0" w:space="0" w:color="auto"/>
      </w:divBdr>
    </w:div>
    <w:div w:id="529614439">
      <w:bodyDiv w:val="1"/>
      <w:marLeft w:val="0"/>
      <w:marRight w:val="0"/>
      <w:marTop w:val="0"/>
      <w:marBottom w:val="0"/>
      <w:divBdr>
        <w:top w:val="none" w:sz="0" w:space="0" w:color="auto"/>
        <w:left w:val="none" w:sz="0" w:space="0" w:color="auto"/>
        <w:bottom w:val="none" w:sz="0" w:space="0" w:color="auto"/>
        <w:right w:val="none" w:sz="0" w:space="0" w:color="auto"/>
      </w:divBdr>
    </w:div>
    <w:div w:id="549998371">
      <w:bodyDiv w:val="1"/>
      <w:marLeft w:val="0"/>
      <w:marRight w:val="0"/>
      <w:marTop w:val="0"/>
      <w:marBottom w:val="0"/>
      <w:divBdr>
        <w:top w:val="none" w:sz="0" w:space="0" w:color="auto"/>
        <w:left w:val="none" w:sz="0" w:space="0" w:color="auto"/>
        <w:bottom w:val="none" w:sz="0" w:space="0" w:color="auto"/>
        <w:right w:val="none" w:sz="0" w:space="0" w:color="auto"/>
      </w:divBdr>
    </w:div>
    <w:div w:id="618151333">
      <w:bodyDiv w:val="1"/>
      <w:marLeft w:val="0"/>
      <w:marRight w:val="0"/>
      <w:marTop w:val="0"/>
      <w:marBottom w:val="0"/>
      <w:divBdr>
        <w:top w:val="none" w:sz="0" w:space="0" w:color="auto"/>
        <w:left w:val="none" w:sz="0" w:space="0" w:color="auto"/>
        <w:bottom w:val="none" w:sz="0" w:space="0" w:color="auto"/>
        <w:right w:val="none" w:sz="0" w:space="0" w:color="auto"/>
      </w:divBdr>
    </w:div>
    <w:div w:id="662586151">
      <w:bodyDiv w:val="1"/>
      <w:marLeft w:val="0"/>
      <w:marRight w:val="0"/>
      <w:marTop w:val="0"/>
      <w:marBottom w:val="0"/>
      <w:divBdr>
        <w:top w:val="none" w:sz="0" w:space="0" w:color="auto"/>
        <w:left w:val="none" w:sz="0" w:space="0" w:color="auto"/>
        <w:bottom w:val="none" w:sz="0" w:space="0" w:color="auto"/>
        <w:right w:val="none" w:sz="0" w:space="0" w:color="auto"/>
      </w:divBdr>
    </w:div>
    <w:div w:id="748498551">
      <w:bodyDiv w:val="1"/>
      <w:marLeft w:val="0"/>
      <w:marRight w:val="0"/>
      <w:marTop w:val="0"/>
      <w:marBottom w:val="0"/>
      <w:divBdr>
        <w:top w:val="none" w:sz="0" w:space="0" w:color="auto"/>
        <w:left w:val="none" w:sz="0" w:space="0" w:color="auto"/>
        <w:bottom w:val="none" w:sz="0" w:space="0" w:color="auto"/>
        <w:right w:val="none" w:sz="0" w:space="0" w:color="auto"/>
      </w:divBdr>
    </w:div>
    <w:div w:id="828594503">
      <w:bodyDiv w:val="1"/>
      <w:marLeft w:val="0"/>
      <w:marRight w:val="0"/>
      <w:marTop w:val="0"/>
      <w:marBottom w:val="0"/>
      <w:divBdr>
        <w:top w:val="none" w:sz="0" w:space="0" w:color="auto"/>
        <w:left w:val="none" w:sz="0" w:space="0" w:color="auto"/>
        <w:bottom w:val="none" w:sz="0" w:space="0" w:color="auto"/>
        <w:right w:val="none" w:sz="0" w:space="0" w:color="auto"/>
      </w:divBdr>
    </w:div>
    <w:div w:id="849371128">
      <w:bodyDiv w:val="1"/>
      <w:marLeft w:val="0"/>
      <w:marRight w:val="0"/>
      <w:marTop w:val="0"/>
      <w:marBottom w:val="0"/>
      <w:divBdr>
        <w:top w:val="none" w:sz="0" w:space="0" w:color="auto"/>
        <w:left w:val="none" w:sz="0" w:space="0" w:color="auto"/>
        <w:bottom w:val="none" w:sz="0" w:space="0" w:color="auto"/>
        <w:right w:val="none" w:sz="0" w:space="0" w:color="auto"/>
      </w:divBdr>
    </w:div>
    <w:div w:id="1145464383">
      <w:bodyDiv w:val="1"/>
      <w:marLeft w:val="0"/>
      <w:marRight w:val="0"/>
      <w:marTop w:val="0"/>
      <w:marBottom w:val="0"/>
      <w:divBdr>
        <w:top w:val="none" w:sz="0" w:space="0" w:color="auto"/>
        <w:left w:val="none" w:sz="0" w:space="0" w:color="auto"/>
        <w:bottom w:val="none" w:sz="0" w:space="0" w:color="auto"/>
        <w:right w:val="none" w:sz="0" w:space="0" w:color="auto"/>
      </w:divBdr>
    </w:div>
    <w:div w:id="1177816748">
      <w:bodyDiv w:val="1"/>
      <w:marLeft w:val="0"/>
      <w:marRight w:val="0"/>
      <w:marTop w:val="0"/>
      <w:marBottom w:val="0"/>
      <w:divBdr>
        <w:top w:val="none" w:sz="0" w:space="0" w:color="auto"/>
        <w:left w:val="none" w:sz="0" w:space="0" w:color="auto"/>
        <w:bottom w:val="none" w:sz="0" w:space="0" w:color="auto"/>
        <w:right w:val="none" w:sz="0" w:space="0" w:color="auto"/>
      </w:divBdr>
    </w:div>
    <w:div w:id="1204363991">
      <w:bodyDiv w:val="1"/>
      <w:marLeft w:val="0"/>
      <w:marRight w:val="0"/>
      <w:marTop w:val="0"/>
      <w:marBottom w:val="0"/>
      <w:divBdr>
        <w:top w:val="none" w:sz="0" w:space="0" w:color="auto"/>
        <w:left w:val="none" w:sz="0" w:space="0" w:color="auto"/>
        <w:bottom w:val="none" w:sz="0" w:space="0" w:color="auto"/>
        <w:right w:val="none" w:sz="0" w:space="0" w:color="auto"/>
      </w:divBdr>
    </w:div>
    <w:div w:id="1302543974">
      <w:bodyDiv w:val="1"/>
      <w:marLeft w:val="0"/>
      <w:marRight w:val="0"/>
      <w:marTop w:val="0"/>
      <w:marBottom w:val="0"/>
      <w:divBdr>
        <w:top w:val="none" w:sz="0" w:space="0" w:color="auto"/>
        <w:left w:val="none" w:sz="0" w:space="0" w:color="auto"/>
        <w:bottom w:val="none" w:sz="0" w:space="0" w:color="auto"/>
        <w:right w:val="none" w:sz="0" w:space="0" w:color="auto"/>
      </w:divBdr>
    </w:div>
    <w:div w:id="1329018944">
      <w:bodyDiv w:val="1"/>
      <w:marLeft w:val="0"/>
      <w:marRight w:val="0"/>
      <w:marTop w:val="0"/>
      <w:marBottom w:val="0"/>
      <w:divBdr>
        <w:top w:val="none" w:sz="0" w:space="0" w:color="auto"/>
        <w:left w:val="none" w:sz="0" w:space="0" w:color="auto"/>
        <w:bottom w:val="none" w:sz="0" w:space="0" w:color="auto"/>
        <w:right w:val="none" w:sz="0" w:space="0" w:color="auto"/>
      </w:divBdr>
    </w:div>
    <w:div w:id="1347444639">
      <w:bodyDiv w:val="1"/>
      <w:marLeft w:val="0"/>
      <w:marRight w:val="0"/>
      <w:marTop w:val="0"/>
      <w:marBottom w:val="0"/>
      <w:divBdr>
        <w:top w:val="none" w:sz="0" w:space="0" w:color="auto"/>
        <w:left w:val="none" w:sz="0" w:space="0" w:color="auto"/>
        <w:bottom w:val="none" w:sz="0" w:space="0" w:color="auto"/>
        <w:right w:val="none" w:sz="0" w:space="0" w:color="auto"/>
      </w:divBdr>
    </w:div>
    <w:div w:id="1384788964">
      <w:bodyDiv w:val="1"/>
      <w:marLeft w:val="0"/>
      <w:marRight w:val="0"/>
      <w:marTop w:val="0"/>
      <w:marBottom w:val="0"/>
      <w:divBdr>
        <w:top w:val="none" w:sz="0" w:space="0" w:color="auto"/>
        <w:left w:val="none" w:sz="0" w:space="0" w:color="auto"/>
        <w:bottom w:val="none" w:sz="0" w:space="0" w:color="auto"/>
        <w:right w:val="none" w:sz="0" w:space="0" w:color="auto"/>
      </w:divBdr>
    </w:div>
    <w:div w:id="1388917153">
      <w:bodyDiv w:val="1"/>
      <w:marLeft w:val="0"/>
      <w:marRight w:val="0"/>
      <w:marTop w:val="0"/>
      <w:marBottom w:val="0"/>
      <w:divBdr>
        <w:top w:val="none" w:sz="0" w:space="0" w:color="auto"/>
        <w:left w:val="none" w:sz="0" w:space="0" w:color="auto"/>
        <w:bottom w:val="none" w:sz="0" w:space="0" w:color="auto"/>
        <w:right w:val="none" w:sz="0" w:space="0" w:color="auto"/>
      </w:divBdr>
      <w:divsChild>
        <w:div w:id="953437365">
          <w:marLeft w:val="490"/>
          <w:marRight w:val="0"/>
          <w:marTop w:val="247"/>
          <w:marBottom w:val="0"/>
          <w:divBdr>
            <w:top w:val="none" w:sz="0" w:space="0" w:color="auto"/>
            <w:left w:val="none" w:sz="0" w:space="0" w:color="auto"/>
            <w:bottom w:val="none" w:sz="0" w:space="0" w:color="auto"/>
            <w:right w:val="none" w:sz="0" w:space="0" w:color="auto"/>
          </w:divBdr>
        </w:div>
      </w:divsChild>
    </w:div>
    <w:div w:id="1418164844">
      <w:bodyDiv w:val="1"/>
      <w:marLeft w:val="0"/>
      <w:marRight w:val="0"/>
      <w:marTop w:val="0"/>
      <w:marBottom w:val="0"/>
      <w:divBdr>
        <w:top w:val="none" w:sz="0" w:space="0" w:color="auto"/>
        <w:left w:val="none" w:sz="0" w:space="0" w:color="auto"/>
        <w:bottom w:val="none" w:sz="0" w:space="0" w:color="auto"/>
        <w:right w:val="none" w:sz="0" w:space="0" w:color="auto"/>
      </w:divBdr>
    </w:div>
    <w:div w:id="1594776752">
      <w:bodyDiv w:val="1"/>
      <w:marLeft w:val="0"/>
      <w:marRight w:val="0"/>
      <w:marTop w:val="0"/>
      <w:marBottom w:val="0"/>
      <w:divBdr>
        <w:top w:val="none" w:sz="0" w:space="0" w:color="auto"/>
        <w:left w:val="none" w:sz="0" w:space="0" w:color="auto"/>
        <w:bottom w:val="none" w:sz="0" w:space="0" w:color="auto"/>
        <w:right w:val="none" w:sz="0" w:space="0" w:color="auto"/>
      </w:divBdr>
    </w:div>
    <w:div w:id="1601990151">
      <w:bodyDiv w:val="1"/>
      <w:marLeft w:val="0"/>
      <w:marRight w:val="0"/>
      <w:marTop w:val="0"/>
      <w:marBottom w:val="0"/>
      <w:divBdr>
        <w:top w:val="none" w:sz="0" w:space="0" w:color="auto"/>
        <w:left w:val="none" w:sz="0" w:space="0" w:color="auto"/>
        <w:bottom w:val="none" w:sz="0" w:space="0" w:color="auto"/>
        <w:right w:val="none" w:sz="0" w:space="0" w:color="auto"/>
      </w:divBdr>
    </w:div>
    <w:div w:id="1614246160">
      <w:bodyDiv w:val="1"/>
      <w:marLeft w:val="0"/>
      <w:marRight w:val="0"/>
      <w:marTop w:val="0"/>
      <w:marBottom w:val="0"/>
      <w:divBdr>
        <w:top w:val="none" w:sz="0" w:space="0" w:color="auto"/>
        <w:left w:val="none" w:sz="0" w:space="0" w:color="auto"/>
        <w:bottom w:val="none" w:sz="0" w:space="0" w:color="auto"/>
        <w:right w:val="none" w:sz="0" w:space="0" w:color="auto"/>
      </w:divBdr>
    </w:div>
    <w:div w:id="1661929473">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66538270">
          <w:marLeft w:val="1080"/>
          <w:marRight w:val="0"/>
          <w:marTop w:val="100"/>
          <w:marBottom w:val="360"/>
          <w:divBdr>
            <w:top w:val="none" w:sz="0" w:space="0" w:color="auto"/>
            <w:left w:val="none" w:sz="0" w:space="0" w:color="auto"/>
            <w:bottom w:val="none" w:sz="0" w:space="0" w:color="auto"/>
            <w:right w:val="none" w:sz="0" w:space="0" w:color="auto"/>
          </w:divBdr>
        </w:div>
        <w:div w:id="149029432">
          <w:marLeft w:val="1080"/>
          <w:marRight w:val="0"/>
          <w:marTop w:val="100"/>
          <w:marBottom w:val="360"/>
          <w:divBdr>
            <w:top w:val="none" w:sz="0" w:space="0" w:color="auto"/>
            <w:left w:val="none" w:sz="0" w:space="0" w:color="auto"/>
            <w:bottom w:val="none" w:sz="0" w:space="0" w:color="auto"/>
            <w:right w:val="none" w:sz="0" w:space="0" w:color="auto"/>
          </w:divBdr>
        </w:div>
        <w:div w:id="190412614">
          <w:marLeft w:val="1080"/>
          <w:marRight w:val="0"/>
          <w:marTop w:val="100"/>
          <w:marBottom w:val="360"/>
          <w:divBdr>
            <w:top w:val="none" w:sz="0" w:space="0" w:color="auto"/>
            <w:left w:val="none" w:sz="0" w:space="0" w:color="auto"/>
            <w:bottom w:val="none" w:sz="0" w:space="0" w:color="auto"/>
            <w:right w:val="none" w:sz="0" w:space="0" w:color="auto"/>
          </w:divBdr>
        </w:div>
        <w:div w:id="1114013602">
          <w:marLeft w:val="360"/>
          <w:marRight w:val="0"/>
          <w:marTop w:val="0"/>
          <w:marBottom w:val="360"/>
          <w:divBdr>
            <w:top w:val="none" w:sz="0" w:space="0" w:color="auto"/>
            <w:left w:val="none" w:sz="0" w:space="0" w:color="auto"/>
            <w:bottom w:val="none" w:sz="0" w:space="0" w:color="auto"/>
            <w:right w:val="none" w:sz="0" w:space="0" w:color="auto"/>
          </w:divBdr>
        </w:div>
      </w:divsChild>
    </w:div>
    <w:div w:id="1803189780">
      <w:bodyDiv w:val="1"/>
      <w:marLeft w:val="0"/>
      <w:marRight w:val="0"/>
      <w:marTop w:val="0"/>
      <w:marBottom w:val="0"/>
      <w:divBdr>
        <w:top w:val="none" w:sz="0" w:space="0" w:color="auto"/>
        <w:left w:val="none" w:sz="0" w:space="0" w:color="auto"/>
        <w:bottom w:val="none" w:sz="0" w:space="0" w:color="auto"/>
        <w:right w:val="none" w:sz="0" w:space="0" w:color="auto"/>
      </w:divBdr>
    </w:div>
    <w:div w:id="2074113198">
      <w:bodyDiv w:val="1"/>
      <w:marLeft w:val="0"/>
      <w:marRight w:val="0"/>
      <w:marTop w:val="0"/>
      <w:marBottom w:val="0"/>
      <w:divBdr>
        <w:top w:val="none" w:sz="0" w:space="0" w:color="auto"/>
        <w:left w:val="none" w:sz="0" w:space="0" w:color="auto"/>
        <w:bottom w:val="none" w:sz="0" w:space="0" w:color="auto"/>
        <w:right w:val="none" w:sz="0" w:space="0" w:color="auto"/>
      </w:divBdr>
    </w:div>
    <w:div w:id="21024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fa72601b2d0e49a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ec.europa.eu/eurostat/statistics-explained/index.php?title=Glossary:Livestock_unit_(LS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ebgate.ec.europa.eu/fpfis/wikis/display/IMAP/Matrix+linking+Farming+Practices+and+PMEF+Result+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AGRI-EVALUATION@ec.europa.eu" TargetMode="External"/><Relationship Id="rId23"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hyperlink" Target="https://ec.europa.eu/eurostat/statistics-explained/index.php?title=Glossary:Livestock_unit_(LSU)" TargetMode="External"/><Relationship Id="R497d16ea71914808"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IMAP/Home" TargetMode="External"/><Relationship Id="rId1" Type="http://schemas.openxmlformats.org/officeDocument/2006/relationships/hyperlink" Target="mailto:JRC-WIKI-CAP-SP@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5286C-AD50-4BAD-A7FE-C03A9C13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16665</Words>
  <Characters>94992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2023-02-09T16:03:00Z</dcterms:created>
  <dcterms:modified xsi:type="dcterms:W3CDTF">2023-02-09T16:03:00Z</dcterms:modified>
</cp:coreProperties>
</file>