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8EFAE" w14:textId="72EED109" w:rsidR="002D6AF6" w:rsidRPr="00DB4B58" w:rsidRDefault="002D6AF6" w:rsidP="00CE6C55">
      <w:pPr>
        <w:pStyle w:val="Heading1"/>
        <w:spacing w:before="240" w:after="240"/>
        <w:jc w:val="center"/>
        <w:rPr>
          <w:rFonts w:ascii="Verdana" w:hAnsi="Verdana"/>
          <w:sz w:val="24"/>
          <w:szCs w:val="20"/>
        </w:rPr>
      </w:pPr>
      <w:r w:rsidRPr="00DB4B58">
        <w:rPr>
          <w:rFonts w:ascii="Verdana" w:hAnsi="Verdana"/>
          <w:color w:val="548DD4"/>
          <w:sz w:val="24"/>
          <w:szCs w:val="20"/>
        </w:rPr>
        <w:t xml:space="preserve">Context </w:t>
      </w:r>
      <w:r w:rsidR="00022C9D" w:rsidRPr="00DB4B58">
        <w:rPr>
          <w:rFonts w:ascii="Verdana" w:hAnsi="Verdana"/>
          <w:color w:val="548DD4"/>
          <w:sz w:val="24"/>
          <w:szCs w:val="20"/>
          <w:lang w:val="fr-BE"/>
        </w:rPr>
        <w:t xml:space="preserve">and Impact </w:t>
      </w:r>
      <w:r w:rsidRPr="00DB4B58">
        <w:rPr>
          <w:rFonts w:ascii="Verdana" w:hAnsi="Verdana"/>
          <w:color w:val="548DD4"/>
          <w:sz w:val="24"/>
          <w:szCs w:val="20"/>
        </w:rPr>
        <w:t>indicators</w:t>
      </w:r>
      <w:bookmarkStart w:id="0" w:name="_GoBack"/>
      <w:bookmarkEnd w:id="0"/>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01"/>
        <w:gridCol w:w="1184"/>
        <w:gridCol w:w="1059"/>
        <w:gridCol w:w="40"/>
        <w:gridCol w:w="1294"/>
        <w:gridCol w:w="3621"/>
      </w:tblGrid>
      <w:tr w:rsidR="005873FC" w:rsidRPr="00ED2A3A" w14:paraId="58783A3B" w14:textId="77777777" w:rsidTr="240ABBB4">
        <w:tc>
          <w:tcPr>
            <w:tcW w:w="1901" w:type="dxa"/>
            <w:tcBorders>
              <w:right w:val="single" w:sz="8" w:space="0" w:color="FFFFFF" w:themeColor="background1"/>
            </w:tcBorders>
            <w:shd w:val="clear" w:color="auto" w:fill="4F81BD"/>
          </w:tcPr>
          <w:p w14:paraId="378F9E1C" w14:textId="77777777" w:rsidR="00F053C3" w:rsidRPr="00ED2A3A" w:rsidRDefault="00F053C3" w:rsidP="000723BC">
            <w:pPr>
              <w:pStyle w:val="Default"/>
              <w:spacing w:after="60"/>
              <w:jc w:val="center"/>
              <w:rPr>
                <w:rFonts w:ascii="Verdana" w:hAnsi="Verdana"/>
                <w:b/>
                <w:color w:val="FFFFFF"/>
                <w:sz w:val="18"/>
                <w:szCs w:val="18"/>
              </w:rPr>
            </w:pPr>
          </w:p>
        </w:tc>
        <w:tc>
          <w:tcPr>
            <w:tcW w:w="1184" w:type="dxa"/>
            <w:vMerge w:val="restart"/>
            <w:tcBorders>
              <w:top w:val="nil"/>
              <w:left w:val="single" w:sz="8" w:space="0" w:color="FFFFFF" w:themeColor="background1"/>
              <w:bottom w:val="single" w:sz="8" w:space="0" w:color="FFFFFF" w:themeColor="background1"/>
              <w:right w:val="single" w:sz="8" w:space="0" w:color="FFFFFF" w:themeColor="background1"/>
            </w:tcBorders>
            <w:shd w:val="clear" w:color="auto" w:fill="4F81BD"/>
          </w:tcPr>
          <w:p w14:paraId="1BB15EFB" w14:textId="77777777" w:rsidR="00F053C3"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Impact Indicator code</w:t>
            </w:r>
          </w:p>
        </w:tc>
        <w:tc>
          <w:tcPr>
            <w:tcW w:w="2393" w:type="dxa"/>
            <w:gridSpan w:val="3"/>
            <w:tcBorders>
              <w:top w:val="nil"/>
              <w:left w:val="single" w:sz="8" w:space="0" w:color="FFFFFF" w:themeColor="background1"/>
              <w:bottom w:val="single" w:sz="8" w:space="0" w:color="FFFFFF" w:themeColor="background1"/>
              <w:right w:val="single" w:sz="8" w:space="0" w:color="FFFFFF" w:themeColor="background1"/>
            </w:tcBorders>
            <w:shd w:val="clear" w:color="auto" w:fill="4F81BD"/>
          </w:tcPr>
          <w:p w14:paraId="7E958F9B" w14:textId="77777777" w:rsidR="00F053C3" w:rsidRPr="00ED2A3A"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Context Indicator Code</w:t>
            </w:r>
          </w:p>
        </w:tc>
        <w:tc>
          <w:tcPr>
            <w:tcW w:w="3621" w:type="dxa"/>
            <w:vMerge w:val="restart"/>
            <w:tcBorders>
              <w:left w:val="single" w:sz="8" w:space="0" w:color="FFFFFF" w:themeColor="background1"/>
            </w:tcBorders>
            <w:shd w:val="clear" w:color="auto" w:fill="4F81BD"/>
          </w:tcPr>
          <w:p w14:paraId="4AB33800" w14:textId="77777777" w:rsidR="00F053C3" w:rsidRPr="00ED2A3A"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Indicator name</w:t>
            </w:r>
          </w:p>
        </w:tc>
      </w:tr>
      <w:tr w:rsidR="005873FC" w:rsidRPr="00ED2A3A" w14:paraId="09D5A7B2" w14:textId="77777777" w:rsidTr="240ABBB4">
        <w:tc>
          <w:tcPr>
            <w:tcW w:w="1901" w:type="dxa"/>
            <w:tcBorders>
              <w:bottom w:val="single" w:sz="8" w:space="0" w:color="4F81BD"/>
              <w:right w:val="single" w:sz="8" w:space="0" w:color="FFFFFF" w:themeColor="background1"/>
            </w:tcBorders>
            <w:shd w:val="clear" w:color="auto" w:fill="4F81BD"/>
          </w:tcPr>
          <w:p w14:paraId="175EC84C" w14:textId="77777777" w:rsidR="00F053C3" w:rsidRDefault="00F053C3" w:rsidP="000723BC">
            <w:pPr>
              <w:pStyle w:val="Default"/>
              <w:spacing w:after="60"/>
              <w:jc w:val="center"/>
              <w:rPr>
                <w:rFonts w:ascii="Verdana" w:hAnsi="Verdana"/>
                <w:b/>
                <w:color w:val="auto"/>
                <w:sz w:val="18"/>
                <w:szCs w:val="18"/>
              </w:rPr>
            </w:pPr>
          </w:p>
        </w:tc>
        <w:tc>
          <w:tcPr>
            <w:tcW w:w="1184" w:type="dxa"/>
            <w:vMerge/>
            <w:tcBorders>
              <w:top w:val="single" w:sz="8" w:space="0" w:color="FFFFFF"/>
              <w:left w:val="single" w:sz="8" w:space="0" w:color="FFFFFF"/>
              <w:bottom w:val="single" w:sz="8" w:space="0" w:color="4F81BD"/>
              <w:right w:val="single" w:sz="8" w:space="0" w:color="FFFFFF"/>
            </w:tcBorders>
            <w:shd w:val="clear" w:color="auto" w:fill="4F81BD"/>
          </w:tcPr>
          <w:p w14:paraId="2A36BD70" w14:textId="77777777" w:rsidR="00F053C3" w:rsidRPr="00C30187" w:rsidRDefault="00F053C3" w:rsidP="00F053C3">
            <w:pPr>
              <w:pStyle w:val="Default"/>
              <w:spacing w:after="60"/>
              <w:jc w:val="center"/>
              <w:rPr>
                <w:rFonts w:ascii="Verdana" w:hAnsi="Verdana"/>
                <w:b/>
                <w:color w:val="FFFFFF"/>
                <w:sz w:val="18"/>
                <w:szCs w:val="18"/>
              </w:rPr>
            </w:pPr>
          </w:p>
        </w:tc>
        <w:tc>
          <w:tcPr>
            <w:tcW w:w="1099" w:type="dxa"/>
            <w:gridSpan w:val="2"/>
            <w:tcBorders>
              <w:top w:val="single" w:sz="8" w:space="0" w:color="FFFFFF" w:themeColor="background1"/>
              <w:left w:val="single" w:sz="8" w:space="0" w:color="FFFFFF" w:themeColor="background1"/>
              <w:bottom w:val="single" w:sz="8" w:space="0" w:color="4F81BD"/>
              <w:right w:val="single" w:sz="8" w:space="0" w:color="FFFFFF" w:themeColor="background1"/>
            </w:tcBorders>
            <w:shd w:val="clear" w:color="auto" w:fill="4F81BD"/>
          </w:tcPr>
          <w:p w14:paraId="110E4383" w14:textId="77777777" w:rsidR="00F053C3" w:rsidRPr="00C30187"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PMEF</w:t>
            </w:r>
          </w:p>
        </w:tc>
        <w:tc>
          <w:tcPr>
            <w:tcW w:w="1294" w:type="dxa"/>
            <w:tcBorders>
              <w:top w:val="single" w:sz="8" w:space="0" w:color="FFFFFF" w:themeColor="background1"/>
              <w:left w:val="single" w:sz="8" w:space="0" w:color="FFFFFF" w:themeColor="background1"/>
              <w:bottom w:val="single" w:sz="8" w:space="0" w:color="4F81BD"/>
              <w:right w:val="single" w:sz="8" w:space="0" w:color="FFFFFF" w:themeColor="background1"/>
            </w:tcBorders>
            <w:shd w:val="clear" w:color="auto" w:fill="4F81BD"/>
          </w:tcPr>
          <w:p w14:paraId="6B40B98D" w14:textId="77777777" w:rsidR="00F053C3" w:rsidRPr="00C30187" w:rsidRDefault="00F053C3" w:rsidP="3F2573B5">
            <w:pPr>
              <w:pStyle w:val="Default"/>
              <w:spacing w:after="60"/>
              <w:jc w:val="center"/>
              <w:rPr>
                <w:rFonts w:ascii="Verdana" w:hAnsi="Verdana"/>
                <w:b/>
                <w:bCs/>
                <w:color w:val="FFFFFF"/>
                <w:sz w:val="18"/>
                <w:szCs w:val="18"/>
              </w:rPr>
            </w:pPr>
            <w:r w:rsidRPr="3F2573B5">
              <w:rPr>
                <w:rFonts w:ascii="Verdana" w:hAnsi="Verdana"/>
                <w:b/>
                <w:bCs/>
                <w:color w:val="FFFFFF"/>
                <w:sz w:val="18"/>
                <w:szCs w:val="18"/>
              </w:rPr>
              <w:t>CMEF (current)</w:t>
            </w:r>
          </w:p>
        </w:tc>
        <w:tc>
          <w:tcPr>
            <w:tcW w:w="3621" w:type="dxa"/>
            <w:vMerge/>
            <w:tcBorders>
              <w:left w:val="single" w:sz="8" w:space="0" w:color="FFFFFF"/>
            </w:tcBorders>
            <w:shd w:val="clear" w:color="auto" w:fill="4F81BD"/>
          </w:tcPr>
          <w:p w14:paraId="2D1B4292" w14:textId="77777777" w:rsidR="00F053C3" w:rsidRPr="00ED2A3A" w:rsidRDefault="00F053C3" w:rsidP="000723BC">
            <w:pPr>
              <w:pStyle w:val="Default"/>
              <w:spacing w:after="60"/>
              <w:rPr>
                <w:rFonts w:ascii="Verdana" w:hAnsi="Verdana"/>
                <w:b/>
                <w:color w:val="FFFFFF"/>
                <w:sz w:val="18"/>
                <w:szCs w:val="18"/>
              </w:rPr>
            </w:pPr>
          </w:p>
        </w:tc>
      </w:tr>
      <w:tr w:rsidR="005873FC" w:rsidRPr="00ED2A3A" w14:paraId="6B496708" w14:textId="77777777" w:rsidTr="240ABBB4">
        <w:tc>
          <w:tcPr>
            <w:tcW w:w="1901" w:type="dxa"/>
            <w:vMerge w:val="restart"/>
            <w:tcBorders>
              <w:top w:val="single" w:sz="8" w:space="0" w:color="4F81BD"/>
              <w:bottom w:val="single" w:sz="8" w:space="0" w:color="4F81BD"/>
              <w:right w:val="single" w:sz="8" w:space="0" w:color="4F81BD"/>
            </w:tcBorders>
          </w:tcPr>
          <w:p w14:paraId="648F042B"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Population</w:t>
            </w:r>
          </w:p>
        </w:tc>
        <w:tc>
          <w:tcPr>
            <w:tcW w:w="1184" w:type="dxa"/>
            <w:tcBorders>
              <w:top w:val="single" w:sz="8" w:space="0" w:color="4F81BD"/>
              <w:bottom w:val="single" w:sz="8" w:space="0" w:color="4F81BD"/>
              <w:right w:val="single" w:sz="8" w:space="0" w:color="4F81BD"/>
            </w:tcBorders>
          </w:tcPr>
          <w:p w14:paraId="5D9FE1C7" w14:textId="77777777" w:rsidR="00F053C3" w:rsidRPr="00517426"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59A5684E" w14:textId="77777777" w:rsidR="00F053C3" w:rsidRPr="00ED2A3A" w:rsidRDefault="00AA07F1" w:rsidP="5CB4B133">
            <w:pPr>
              <w:pStyle w:val="Default"/>
              <w:spacing w:after="60"/>
              <w:jc w:val="center"/>
              <w:rPr>
                <w:rFonts w:ascii="Verdana" w:hAnsi="Verdana"/>
                <w:b/>
                <w:bCs/>
                <w:color w:val="auto"/>
                <w:sz w:val="18"/>
                <w:szCs w:val="18"/>
              </w:rPr>
            </w:pPr>
            <w:hyperlink w:anchor="C01" w:history="1">
              <w:r w:rsidR="00F053C3" w:rsidRPr="5CB4B133">
                <w:rPr>
                  <w:rStyle w:val="Hyperlink"/>
                  <w:rFonts w:ascii="Verdana" w:hAnsi="Verdana"/>
                  <w:b/>
                  <w:bCs/>
                  <w:sz w:val="18"/>
                  <w:szCs w:val="18"/>
                </w:rPr>
                <w:t>C.01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99F707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C.01</w:t>
            </w:r>
          </w:p>
        </w:tc>
        <w:tc>
          <w:tcPr>
            <w:tcW w:w="3621" w:type="dxa"/>
            <w:tcBorders>
              <w:top w:val="single" w:sz="8" w:space="0" w:color="4F81BD"/>
              <w:left w:val="single" w:sz="8" w:space="0" w:color="4F81BD"/>
              <w:bottom w:val="single" w:sz="8" w:space="0" w:color="4F81BD"/>
            </w:tcBorders>
            <w:shd w:val="clear" w:color="auto" w:fill="auto"/>
          </w:tcPr>
          <w:p w14:paraId="34A9A5C6" w14:textId="705ED3C5" w:rsidR="00F053C3" w:rsidRPr="00ED2A3A" w:rsidRDefault="008C318A" w:rsidP="000723BC">
            <w:pPr>
              <w:pStyle w:val="Default"/>
              <w:spacing w:after="60"/>
              <w:rPr>
                <w:rFonts w:ascii="Verdana" w:hAnsi="Verdana"/>
                <w:b/>
                <w:bCs/>
                <w:color w:val="auto"/>
                <w:sz w:val="18"/>
                <w:szCs w:val="18"/>
              </w:rPr>
            </w:pPr>
            <w:r>
              <w:rPr>
                <w:rFonts w:ascii="Verdana" w:hAnsi="Verdana"/>
                <w:color w:val="auto"/>
                <w:sz w:val="18"/>
                <w:szCs w:val="18"/>
              </w:rPr>
              <w:t>Total p</w:t>
            </w:r>
            <w:r w:rsidR="00F053C3" w:rsidRPr="00ED2A3A">
              <w:rPr>
                <w:rFonts w:ascii="Verdana" w:hAnsi="Verdana"/>
                <w:color w:val="auto"/>
                <w:sz w:val="18"/>
                <w:szCs w:val="18"/>
              </w:rPr>
              <w:t>opulation</w:t>
            </w:r>
          </w:p>
        </w:tc>
      </w:tr>
      <w:tr w:rsidR="005873FC" w:rsidRPr="00ED2A3A" w14:paraId="131F6141" w14:textId="77777777" w:rsidTr="240ABBB4">
        <w:tc>
          <w:tcPr>
            <w:tcW w:w="1901" w:type="dxa"/>
            <w:vMerge/>
            <w:tcBorders>
              <w:bottom w:val="single" w:sz="8" w:space="0" w:color="4F81BD"/>
              <w:right w:val="single" w:sz="8" w:space="0" w:color="4F81BD"/>
            </w:tcBorders>
          </w:tcPr>
          <w:p w14:paraId="7A029065"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4F6A6182" w14:textId="77777777" w:rsidR="00F053C3" w:rsidRPr="00517426"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F2BAAF1" w14:textId="77777777" w:rsidR="00F053C3" w:rsidRPr="00ED2A3A" w:rsidRDefault="00AA07F1" w:rsidP="5CB4B133">
            <w:pPr>
              <w:pStyle w:val="Default"/>
              <w:spacing w:after="60"/>
              <w:jc w:val="center"/>
              <w:rPr>
                <w:rFonts w:ascii="Verdana" w:hAnsi="Verdana"/>
                <w:b/>
                <w:bCs/>
                <w:color w:val="auto"/>
                <w:sz w:val="18"/>
                <w:szCs w:val="18"/>
              </w:rPr>
            </w:pPr>
            <w:hyperlink w:anchor="C02" w:history="1">
              <w:r w:rsidR="00F053C3" w:rsidRPr="5CB4B133">
                <w:rPr>
                  <w:rStyle w:val="Hyperlink"/>
                  <w:rFonts w:ascii="Verdana" w:hAnsi="Verdana"/>
                  <w:b/>
                  <w:bCs/>
                  <w:sz w:val="18"/>
                  <w:szCs w:val="18"/>
                </w:rPr>
                <w:t>C.02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949BCE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C.04</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CE11CEB" w14:textId="77777777" w:rsidR="00F053C3" w:rsidRPr="00ED2A3A" w:rsidRDefault="00F053C3" w:rsidP="000723BC">
            <w:pPr>
              <w:pStyle w:val="Default"/>
              <w:spacing w:after="60"/>
              <w:rPr>
                <w:rFonts w:ascii="Verdana" w:hAnsi="Verdana"/>
                <w:b/>
                <w:bCs/>
                <w:color w:val="auto"/>
                <w:sz w:val="18"/>
                <w:szCs w:val="18"/>
              </w:rPr>
            </w:pPr>
            <w:r w:rsidRPr="00ED2A3A">
              <w:rPr>
                <w:rFonts w:ascii="Verdana" w:hAnsi="Verdana"/>
                <w:color w:val="auto"/>
                <w:sz w:val="18"/>
                <w:szCs w:val="18"/>
              </w:rPr>
              <w:t>Population density</w:t>
            </w:r>
          </w:p>
        </w:tc>
      </w:tr>
      <w:tr w:rsidR="005873FC" w:rsidRPr="00ED2A3A" w14:paraId="02A6ECD1" w14:textId="77777777" w:rsidTr="240ABBB4">
        <w:tc>
          <w:tcPr>
            <w:tcW w:w="1901" w:type="dxa"/>
            <w:vMerge/>
            <w:tcBorders>
              <w:bottom w:val="single" w:sz="8" w:space="0" w:color="4F81BD"/>
              <w:right w:val="single" w:sz="8" w:space="0" w:color="4F81BD"/>
            </w:tcBorders>
          </w:tcPr>
          <w:p w14:paraId="35E2B416"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5236FAE"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4B804F2F" w14:textId="77777777" w:rsidR="00F053C3" w:rsidRPr="00ED2A3A" w:rsidRDefault="00AA07F1" w:rsidP="5CB4B133">
            <w:pPr>
              <w:pStyle w:val="Default"/>
              <w:spacing w:after="60"/>
              <w:jc w:val="center"/>
              <w:rPr>
                <w:rFonts w:ascii="Verdana" w:hAnsi="Verdana"/>
                <w:b/>
                <w:bCs/>
                <w:color w:val="auto"/>
                <w:sz w:val="18"/>
                <w:szCs w:val="18"/>
              </w:rPr>
            </w:pPr>
            <w:hyperlink w:anchor="C03" w:history="1">
              <w:r w:rsidR="00F053C3" w:rsidRPr="5CB4B133">
                <w:rPr>
                  <w:rStyle w:val="Hyperlink"/>
                  <w:rFonts w:ascii="Verdana" w:hAnsi="Verdana"/>
                  <w:b/>
                  <w:bCs/>
                  <w:sz w:val="18"/>
                  <w:szCs w:val="18"/>
                </w:rPr>
                <w:t>C.03</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46AAA46"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C.02</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B12FDFE" w14:textId="77777777" w:rsidR="00F053C3" w:rsidRPr="00ED2A3A" w:rsidRDefault="00F053C3" w:rsidP="000723BC">
            <w:pPr>
              <w:pStyle w:val="Default"/>
              <w:spacing w:after="60"/>
              <w:rPr>
                <w:rFonts w:ascii="Verdana" w:hAnsi="Verdana"/>
                <w:color w:val="auto"/>
                <w:sz w:val="18"/>
                <w:szCs w:val="18"/>
              </w:rPr>
            </w:pPr>
            <w:r w:rsidRPr="00ED2A3A">
              <w:rPr>
                <w:rFonts w:ascii="Verdana" w:hAnsi="Verdana"/>
                <w:color w:val="auto"/>
                <w:sz w:val="18"/>
                <w:szCs w:val="18"/>
              </w:rPr>
              <w:t xml:space="preserve">Age structure </w:t>
            </w:r>
            <w:r>
              <w:rPr>
                <w:rFonts w:ascii="Verdana" w:hAnsi="Verdana"/>
                <w:color w:val="auto"/>
                <w:sz w:val="18"/>
                <w:szCs w:val="18"/>
              </w:rPr>
              <w:t>of the population</w:t>
            </w:r>
          </w:p>
        </w:tc>
      </w:tr>
      <w:tr w:rsidR="005873FC" w:rsidRPr="00ED2A3A" w14:paraId="2107E4D9" w14:textId="77777777" w:rsidTr="240ABBB4">
        <w:tc>
          <w:tcPr>
            <w:tcW w:w="1901" w:type="dxa"/>
            <w:vMerge w:val="restart"/>
            <w:tcBorders>
              <w:bottom w:val="single" w:sz="8" w:space="0" w:color="4F81BD"/>
              <w:right w:val="single" w:sz="8" w:space="0" w:color="4F81BD"/>
            </w:tcBorders>
          </w:tcPr>
          <w:p w14:paraId="58D7C4D9"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Total area</w:t>
            </w:r>
          </w:p>
        </w:tc>
        <w:tc>
          <w:tcPr>
            <w:tcW w:w="1184" w:type="dxa"/>
            <w:tcBorders>
              <w:bottom w:val="single" w:sz="8" w:space="0" w:color="4F81BD"/>
              <w:right w:val="single" w:sz="8" w:space="0" w:color="4F81BD"/>
            </w:tcBorders>
          </w:tcPr>
          <w:p w14:paraId="68A79824"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00848FB9" w14:textId="77777777" w:rsidR="00F053C3" w:rsidRPr="00ED2A3A" w:rsidRDefault="00AA07F1" w:rsidP="5CB4B133">
            <w:pPr>
              <w:pStyle w:val="Default"/>
              <w:spacing w:after="60"/>
              <w:jc w:val="center"/>
              <w:rPr>
                <w:rFonts w:ascii="Verdana" w:hAnsi="Verdana"/>
                <w:b/>
                <w:bCs/>
                <w:color w:val="auto"/>
                <w:sz w:val="18"/>
                <w:szCs w:val="18"/>
              </w:rPr>
            </w:pPr>
            <w:hyperlink w:anchor="C04" w:history="1">
              <w:r w:rsidR="00F053C3" w:rsidRPr="5CB4B133">
                <w:rPr>
                  <w:rStyle w:val="Hyperlink"/>
                  <w:rFonts w:ascii="Verdana" w:hAnsi="Verdana"/>
                  <w:b/>
                  <w:bCs/>
                  <w:sz w:val="18"/>
                  <w:szCs w:val="18"/>
                </w:rPr>
                <w:t>C.04</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88A5C3C"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C.03</w:t>
            </w:r>
          </w:p>
        </w:tc>
        <w:tc>
          <w:tcPr>
            <w:tcW w:w="3621" w:type="dxa"/>
            <w:tcBorders>
              <w:top w:val="single" w:sz="8" w:space="0" w:color="4F81BD"/>
              <w:left w:val="single" w:sz="8" w:space="0" w:color="4F81BD"/>
              <w:bottom w:val="single" w:sz="8" w:space="0" w:color="4F81BD"/>
            </w:tcBorders>
            <w:shd w:val="clear" w:color="auto" w:fill="auto"/>
          </w:tcPr>
          <w:p w14:paraId="6F015432" w14:textId="77777777" w:rsidR="00F053C3" w:rsidRPr="00ED2A3A" w:rsidRDefault="00F053C3" w:rsidP="000723BC">
            <w:pPr>
              <w:pStyle w:val="Default"/>
              <w:spacing w:after="60"/>
              <w:rPr>
                <w:rFonts w:ascii="Verdana" w:hAnsi="Verdana"/>
                <w:b/>
                <w:bCs/>
                <w:color w:val="auto"/>
                <w:sz w:val="18"/>
                <w:szCs w:val="18"/>
              </w:rPr>
            </w:pPr>
            <w:r>
              <w:rPr>
                <w:rFonts w:ascii="Verdana" w:hAnsi="Verdana"/>
                <w:color w:val="auto"/>
                <w:sz w:val="18"/>
                <w:szCs w:val="18"/>
              </w:rPr>
              <w:t>Total area</w:t>
            </w:r>
          </w:p>
        </w:tc>
      </w:tr>
      <w:tr w:rsidR="005873FC" w:rsidRPr="00ED2A3A" w14:paraId="64D9E94A" w14:textId="77777777" w:rsidTr="240ABBB4">
        <w:tc>
          <w:tcPr>
            <w:tcW w:w="1901" w:type="dxa"/>
            <w:vMerge/>
            <w:tcBorders>
              <w:bottom w:val="single" w:sz="8" w:space="0" w:color="4F81BD"/>
              <w:right w:val="single" w:sz="8" w:space="0" w:color="4F81BD"/>
            </w:tcBorders>
          </w:tcPr>
          <w:p w14:paraId="46E314D9" w14:textId="77777777" w:rsidR="00F053C3" w:rsidRDefault="00F053C3" w:rsidP="00325330">
            <w:pPr>
              <w:pStyle w:val="Default"/>
              <w:spacing w:after="60"/>
              <w:rPr>
                <w:rFonts w:ascii="Verdana" w:hAnsi="Verdana"/>
                <w:b/>
                <w:color w:val="auto"/>
                <w:sz w:val="18"/>
                <w:szCs w:val="18"/>
              </w:rPr>
            </w:pPr>
          </w:p>
        </w:tc>
        <w:tc>
          <w:tcPr>
            <w:tcW w:w="1184" w:type="dxa"/>
            <w:tcBorders>
              <w:bottom w:val="single" w:sz="8" w:space="0" w:color="4F81BD"/>
              <w:right w:val="single" w:sz="8" w:space="0" w:color="4F81BD"/>
            </w:tcBorders>
          </w:tcPr>
          <w:p w14:paraId="10A3B5A2"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37BB16F" w14:textId="77777777" w:rsidR="00F053C3" w:rsidRPr="00ED2A3A" w:rsidRDefault="00AA07F1" w:rsidP="5CB4B133">
            <w:pPr>
              <w:pStyle w:val="Default"/>
              <w:spacing w:after="60"/>
              <w:jc w:val="center"/>
              <w:rPr>
                <w:rFonts w:ascii="Verdana" w:hAnsi="Verdana"/>
                <w:b/>
                <w:bCs/>
                <w:color w:val="auto"/>
                <w:sz w:val="18"/>
                <w:szCs w:val="18"/>
              </w:rPr>
            </w:pPr>
            <w:hyperlink w:anchor="C05" w:history="1">
              <w:r w:rsidR="00F053C3" w:rsidRPr="5CB4B133">
                <w:rPr>
                  <w:rStyle w:val="Hyperlink"/>
                  <w:rFonts w:ascii="Verdana" w:hAnsi="Verdana"/>
                  <w:b/>
                  <w:bCs/>
                  <w:sz w:val="18"/>
                  <w:szCs w:val="18"/>
                </w:rPr>
                <w:t>C.05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B52E84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C.31</w:t>
            </w:r>
          </w:p>
        </w:tc>
        <w:tc>
          <w:tcPr>
            <w:tcW w:w="3621" w:type="dxa"/>
            <w:tcBorders>
              <w:top w:val="single" w:sz="8" w:space="0" w:color="4F81BD"/>
              <w:left w:val="single" w:sz="8" w:space="0" w:color="4F81BD"/>
              <w:bottom w:val="single" w:sz="8" w:space="0" w:color="4F81BD"/>
            </w:tcBorders>
            <w:shd w:val="clear" w:color="auto" w:fill="auto"/>
          </w:tcPr>
          <w:p w14:paraId="66A50C68" w14:textId="77777777" w:rsidR="00F053C3" w:rsidRPr="00ED2A3A" w:rsidRDefault="00F053C3" w:rsidP="00711E4F">
            <w:pPr>
              <w:pStyle w:val="Default"/>
              <w:spacing w:after="60"/>
              <w:rPr>
                <w:rFonts w:ascii="Verdana" w:hAnsi="Verdana"/>
                <w:b/>
                <w:bCs/>
                <w:color w:val="auto"/>
                <w:sz w:val="18"/>
                <w:szCs w:val="18"/>
              </w:rPr>
            </w:pPr>
            <w:r w:rsidRPr="00ED2A3A">
              <w:rPr>
                <w:rFonts w:ascii="Verdana" w:hAnsi="Verdana"/>
                <w:color w:val="auto"/>
                <w:sz w:val="18"/>
                <w:szCs w:val="18"/>
              </w:rPr>
              <w:t>Land cover</w:t>
            </w:r>
          </w:p>
        </w:tc>
      </w:tr>
      <w:tr w:rsidR="005873FC" w:rsidRPr="00ED2A3A" w14:paraId="5C3D57F0" w14:textId="77777777" w:rsidTr="240ABBB4">
        <w:tc>
          <w:tcPr>
            <w:tcW w:w="1901" w:type="dxa"/>
            <w:vMerge w:val="restart"/>
            <w:tcBorders>
              <w:bottom w:val="single" w:sz="8" w:space="0" w:color="4F81BD"/>
              <w:right w:val="single" w:sz="8" w:space="0" w:color="4F81BD"/>
            </w:tcBorders>
          </w:tcPr>
          <w:p w14:paraId="16D7B139"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Labour market</w:t>
            </w:r>
          </w:p>
        </w:tc>
        <w:tc>
          <w:tcPr>
            <w:tcW w:w="1184" w:type="dxa"/>
            <w:tcBorders>
              <w:bottom w:val="single" w:sz="8" w:space="0" w:color="4F81BD"/>
              <w:right w:val="single" w:sz="8" w:space="0" w:color="4F81BD"/>
            </w:tcBorders>
          </w:tcPr>
          <w:p w14:paraId="6BB69C6A" w14:textId="09137F89" w:rsidR="00F053C3" w:rsidRDefault="00AA07F1" w:rsidP="003C473C">
            <w:pPr>
              <w:pStyle w:val="Default"/>
              <w:spacing w:after="60"/>
              <w:jc w:val="center"/>
              <w:rPr>
                <w:rFonts w:ascii="Verdana" w:hAnsi="Verdana"/>
                <w:b/>
                <w:bCs/>
                <w:color w:val="auto"/>
                <w:sz w:val="18"/>
                <w:szCs w:val="18"/>
              </w:rPr>
            </w:pPr>
            <w:hyperlink w:anchor="I22" w:history="1">
              <w:r w:rsidR="003C473C" w:rsidRPr="5CB4B133">
                <w:rPr>
                  <w:rStyle w:val="Hyperlink"/>
                  <w:rFonts w:ascii="Verdana" w:hAnsi="Verdana"/>
                  <w:b/>
                  <w:bCs/>
                  <w:sz w:val="18"/>
                  <w:szCs w:val="18"/>
                </w:rPr>
                <w:t>I.2</w:t>
              </w:r>
              <w:r w:rsidR="003C473C">
                <w:rPr>
                  <w:rStyle w:val="Hyperlink"/>
                  <w:rFonts w:ascii="Verdana" w:hAnsi="Verdana"/>
                  <w:b/>
                  <w:bCs/>
                  <w:sz w:val="18"/>
                  <w:szCs w:val="18"/>
                </w:rPr>
                <w:t>4</w:t>
              </w:r>
            </w:hyperlink>
          </w:p>
        </w:tc>
        <w:tc>
          <w:tcPr>
            <w:tcW w:w="1059" w:type="dxa"/>
            <w:tcBorders>
              <w:top w:val="single" w:sz="8" w:space="0" w:color="4F81BD"/>
              <w:left w:val="single" w:sz="8" w:space="0" w:color="4F81BD"/>
              <w:bottom w:val="single" w:sz="8" w:space="0" w:color="4F81BD"/>
              <w:right w:val="single" w:sz="8" w:space="0" w:color="4F81BD"/>
            </w:tcBorders>
          </w:tcPr>
          <w:p w14:paraId="579B7E00" w14:textId="77777777" w:rsidR="00F053C3" w:rsidRPr="00ED2A3A" w:rsidRDefault="00AA07F1" w:rsidP="5CB4B133">
            <w:pPr>
              <w:pStyle w:val="Default"/>
              <w:spacing w:after="60"/>
              <w:jc w:val="center"/>
              <w:rPr>
                <w:rFonts w:ascii="Verdana" w:hAnsi="Verdana"/>
                <w:b/>
                <w:bCs/>
                <w:color w:val="auto"/>
                <w:sz w:val="18"/>
                <w:szCs w:val="18"/>
              </w:rPr>
            </w:pPr>
            <w:hyperlink w:anchor="C06" w:history="1">
              <w:r w:rsidR="00F053C3" w:rsidRPr="5CB4B133">
                <w:rPr>
                  <w:rStyle w:val="Hyperlink"/>
                  <w:rFonts w:ascii="Verdana" w:hAnsi="Verdana"/>
                  <w:b/>
                  <w:bCs/>
                  <w:sz w:val="18"/>
                  <w:szCs w:val="18"/>
                </w:rPr>
                <w:t>C.06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33DAAA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C.05</w:t>
            </w:r>
          </w:p>
        </w:tc>
        <w:tc>
          <w:tcPr>
            <w:tcW w:w="3621" w:type="dxa"/>
            <w:tcBorders>
              <w:top w:val="single" w:sz="8" w:space="0" w:color="4F81BD"/>
              <w:left w:val="single" w:sz="8" w:space="0" w:color="4F81BD"/>
              <w:bottom w:val="single" w:sz="8" w:space="0" w:color="4F81BD"/>
            </w:tcBorders>
            <w:shd w:val="clear" w:color="auto" w:fill="auto"/>
          </w:tcPr>
          <w:p w14:paraId="6FC7BA27" w14:textId="5FB60CF0" w:rsidR="00F053C3" w:rsidRPr="00ED2A3A" w:rsidRDefault="000723BC" w:rsidP="000723BC">
            <w:pPr>
              <w:pStyle w:val="Default"/>
              <w:spacing w:after="60"/>
              <w:rPr>
                <w:rFonts w:ascii="Verdana" w:hAnsi="Verdana"/>
                <w:b/>
                <w:bCs/>
                <w:color w:val="auto"/>
                <w:sz w:val="18"/>
                <w:szCs w:val="18"/>
              </w:rPr>
            </w:pPr>
            <w:r>
              <w:rPr>
                <w:rFonts w:ascii="Verdana" w:hAnsi="Verdana"/>
                <w:color w:val="auto"/>
                <w:sz w:val="18"/>
                <w:szCs w:val="18"/>
              </w:rPr>
              <w:t>E</w:t>
            </w:r>
            <w:r w:rsidR="00F053C3" w:rsidRPr="00ED2A3A">
              <w:rPr>
                <w:rFonts w:ascii="Verdana" w:hAnsi="Verdana"/>
                <w:color w:val="auto"/>
                <w:sz w:val="18"/>
                <w:szCs w:val="18"/>
              </w:rPr>
              <w:t>mployment rate</w:t>
            </w:r>
            <w:r w:rsidR="00E11F80">
              <w:rPr>
                <w:rFonts w:ascii="Verdana" w:hAnsi="Verdana"/>
                <w:color w:val="auto"/>
                <w:sz w:val="18"/>
                <w:szCs w:val="18"/>
              </w:rPr>
              <w:t xml:space="preserve"> in rural areas</w:t>
            </w:r>
          </w:p>
        </w:tc>
      </w:tr>
      <w:tr w:rsidR="005873FC" w:rsidRPr="00ED2A3A" w14:paraId="184C31CE" w14:textId="77777777" w:rsidTr="240ABBB4">
        <w:tc>
          <w:tcPr>
            <w:tcW w:w="1901" w:type="dxa"/>
            <w:vMerge/>
            <w:tcBorders>
              <w:bottom w:val="single" w:sz="8" w:space="0" w:color="4F81BD"/>
              <w:right w:val="single" w:sz="8" w:space="0" w:color="4F81BD"/>
            </w:tcBorders>
          </w:tcPr>
          <w:p w14:paraId="38638700" w14:textId="77777777" w:rsidR="00F053C3" w:rsidRDefault="00F053C3" w:rsidP="00325330">
            <w:pPr>
              <w:pStyle w:val="Default"/>
              <w:spacing w:after="60"/>
              <w:rPr>
                <w:rFonts w:ascii="Verdana" w:hAnsi="Verdana"/>
                <w:b/>
                <w:color w:val="auto"/>
                <w:sz w:val="18"/>
                <w:szCs w:val="18"/>
              </w:rPr>
            </w:pPr>
          </w:p>
        </w:tc>
        <w:tc>
          <w:tcPr>
            <w:tcW w:w="1184" w:type="dxa"/>
            <w:tcBorders>
              <w:bottom w:val="single" w:sz="8" w:space="0" w:color="4F81BD"/>
              <w:right w:val="single" w:sz="8" w:space="0" w:color="4F81BD"/>
            </w:tcBorders>
          </w:tcPr>
          <w:p w14:paraId="5D3EEBA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51E37202" w14:textId="77777777" w:rsidR="00F053C3" w:rsidRPr="00ED2A3A" w:rsidRDefault="00AA07F1" w:rsidP="5CB4B133">
            <w:pPr>
              <w:pStyle w:val="Default"/>
              <w:spacing w:after="60"/>
              <w:jc w:val="center"/>
              <w:rPr>
                <w:rFonts w:ascii="Verdana" w:hAnsi="Verdana"/>
                <w:b/>
                <w:bCs/>
                <w:color w:val="auto"/>
                <w:sz w:val="18"/>
                <w:szCs w:val="18"/>
              </w:rPr>
            </w:pPr>
            <w:hyperlink w:anchor="C07" w:history="1">
              <w:r w:rsidR="00F053C3" w:rsidRPr="5CB4B133">
                <w:rPr>
                  <w:rStyle w:val="Hyperlink"/>
                  <w:rFonts w:ascii="Verdana" w:hAnsi="Verdana"/>
                  <w:b/>
                  <w:bCs/>
                  <w:sz w:val="18"/>
                  <w:szCs w:val="18"/>
                </w:rPr>
                <w:t>C.07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D9998BC"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C.07</w:t>
            </w:r>
          </w:p>
        </w:tc>
        <w:tc>
          <w:tcPr>
            <w:tcW w:w="3621" w:type="dxa"/>
            <w:tcBorders>
              <w:top w:val="single" w:sz="8" w:space="0" w:color="4F81BD"/>
              <w:left w:val="single" w:sz="8" w:space="0" w:color="4F81BD"/>
              <w:bottom w:val="single" w:sz="8" w:space="0" w:color="4F81BD"/>
            </w:tcBorders>
            <w:shd w:val="clear" w:color="auto" w:fill="auto"/>
          </w:tcPr>
          <w:p w14:paraId="28852E41" w14:textId="4E46F5F6" w:rsidR="00F053C3" w:rsidRPr="00ED2A3A" w:rsidRDefault="000723BC" w:rsidP="000723BC">
            <w:pPr>
              <w:pStyle w:val="Default"/>
              <w:spacing w:after="60"/>
              <w:rPr>
                <w:rFonts w:ascii="Verdana" w:hAnsi="Verdana"/>
                <w:b/>
                <w:bCs/>
                <w:color w:val="auto"/>
                <w:sz w:val="18"/>
                <w:szCs w:val="18"/>
              </w:rPr>
            </w:pPr>
            <w:r>
              <w:rPr>
                <w:rFonts w:ascii="Verdana" w:hAnsi="Verdana"/>
                <w:color w:val="auto"/>
                <w:sz w:val="18"/>
                <w:szCs w:val="18"/>
              </w:rPr>
              <w:t>U</w:t>
            </w:r>
            <w:r w:rsidR="00F053C3" w:rsidRPr="00ED2A3A">
              <w:rPr>
                <w:rFonts w:ascii="Verdana" w:hAnsi="Verdana"/>
                <w:color w:val="auto"/>
                <w:sz w:val="18"/>
                <w:szCs w:val="18"/>
              </w:rPr>
              <w:t>nemployment rate</w:t>
            </w:r>
            <w:r w:rsidR="00E11F80">
              <w:rPr>
                <w:rFonts w:ascii="Verdana" w:hAnsi="Verdana"/>
                <w:color w:val="auto"/>
                <w:sz w:val="18"/>
                <w:szCs w:val="18"/>
              </w:rPr>
              <w:t xml:space="preserve"> in rural areas</w:t>
            </w:r>
          </w:p>
        </w:tc>
      </w:tr>
      <w:tr w:rsidR="005873FC" w:rsidRPr="00ED2A3A" w14:paraId="4E959F52" w14:textId="77777777" w:rsidTr="240ABBB4">
        <w:tc>
          <w:tcPr>
            <w:tcW w:w="1901" w:type="dxa"/>
            <w:vMerge/>
            <w:tcBorders>
              <w:bottom w:val="single" w:sz="8" w:space="0" w:color="4F81BD"/>
              <w:right w:val="single" w:sz="8" w:space="0" w:color="4F81BD"/>
            </w:tcBorders>
          </w:tcPr>
          <w:p w14:paraId="3E1F7C89" w14:textId="77777777" w:rsidR="00F053C3" w:rsidRDefault="00F053C3" w:rsidP="00325330">
            <w:pPr>
              <w:pStyle w:val="Default"/>
              <w:spacing w:after="60"/>
              <w:rPr>
                <w:rFonts w:ascii="Verdana" w:hAnsi="Verdana"/>
                <w:b/>
                <w:color w:val="auto"/>
                <w:sz w:val="18"/>
                <w:szCs w:val="18"/>
              </w:rPr>
            </w:pPr>
          </w:p>
        </w:tc>
        <w:tc>
          <w:tcPr>
            <w:tcW w:w="1184" w:type="dxa"/>
            <w:tcBorders>
              <w:right w:val="single" w:sz="8" w:space="0" w:color="4F81BD"/>
            </w:tcBorders>
          </w:tcPr>
          <w:p w14:paraId="58F95F4C" w14:textId="77777777" w:rsidR="00F053C3" w:rsidRDefault="00F053C3" w:rsidP="00F053C3">
            <w:pPr>
              <w:pStyle w:val="Default"/>
              <w:spacing w:after="60"/>
              <w:jc w:val="center"/>
              <w:rPr>
                <w:rFonts w:ascii="Verdana" w:hAnsi="Verdana"/>
                <w:b/>
                <w:color w:val="auto"/>
                <w:sz w:val="18"/>
                <w:szCs w:val="18"/>
              </w:rPr>
            </w:pPr>
          </w:p>
        </w:tc>
        <w:tc>
          <w:tcPr>
            <w:tcW w:w="1059" w:type="dxa"/>
            <w:vMerge w:val="restart"/>
            <w:tcBorders>
              <w:top w:val="single" w:sz="8" w:space="0" w:color="4F81BD"/>
              <w:left w:val="single" w:sz="8" w:space="0" w:color="4F81BD"/>
              <w:right w:val="single" w:sz="8" w:space="0" w:color="4F81BD"/>
            </w:tcBorders>
          </w:tcPr>
          <w:p w14:paraId="71C9C40B" w14:textId="77777777" w:rsidR="002F6287" w:rsidRPr="00ED2A3A" w:rsidRDefault="00AA07F1" w:rsidP="5CB4B133">
            <w:pPr>
              <w:pStyle w:val="Default"/>
              <w:spacing w:after="60" w:line="276" w:lineRule="auto"/>
              <w:jc w:val="center"/>
              <w:rPr>
                <w:rFonts w:ascii="Verdana" w:hAnsi="Verdana"/>
                <w:b/>
                <w:bCs/>
                <w:color w:val="auto"/>
                <w:sz w:val="18"/>
                <w:szCs w:val="18"/>
              </w:rPr>
            </w:pPr>
            <w:hyperlink w:anchor="C08" w:history="1">
              <w:r w:rsidR="00F053C3" w:rsidRPr="5CB4B133">
                <w:rPr>
                  <w:rStyle w:val="Hyperlink"/>
                  <w:rFonts w:ascii="Verdana" w:hAnsi="Verdana"/>
                  <w:b/>
                  <w:bCs/>
                  <w:sz w:val="18"/>
                  <w:szCs w:val="18"/>
                </w:rPr>
                <w:t>C.08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472C73D" w14:textId="77777777" w:rsidR="00F053C3" w:rsidRPr="00ED2A3A"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nil"/>
            </w:tcBorders>
            <w:shd w:val="clear" w:color="auto" w:fill="auto"/>
          </w:tcPr>
          <w:p w14:paraId="22526912" w14:textId="77777777" w:rsidR="00F053C3" w:rsidRPr="00ED2A3A" w:rsidRDefault="00F053C3" w:rsidP="00FA7243">
            <w:pPr>
              <w:pStyle w:val="Default"/>
              <w:spacing w:after="60"/>
              <w:rPr>
                <w:rFonts w:ascii="Verdana" w:hAnsi="Verdana"/>
                <w:b/>
                <w:bCs/>
                <w:color w:val="auto"/>
                <w:sz w:val="18"/>
                <w:szCs w:val="18"/>
              </w:rPr>
            </w:pPr>
            <w:r>
              <w:rPr>
                <w:rFonts w:ascii="Verdana" w:hAnsi="Verdana"/>
                <w:color w:val="auto"/>
                <w:sz w:val="18"/>
                <w:szCs w:val="18"/>
              </w:rPr>
              <w:t>Employment</w:t>
            </w:r>
          </w:p>
        </w:tc>
      </w:tr>
      <w:tr w:rsidR="005873FC" w:rsidRPr="00ED2A3A" w14:paraId="7F4598FC" w14:textId="77777777" w:rsidTr="240ABBB4">
        <w:tc>
          <w:tcPr>
            <w:tcW w:w="1901" w:type="dxa"/>
            <w:vMerge/>
            <w:tcBorders>
              <w:bottom w:val="single" w:sz="8" w:space="0" w:color="4F81BD"/>
              <w:right w:val="single" w:sz="8" w:space="0" w:color="4F81BD"/>
            </w:tcBorders>
          </w:tcPr>
          <w:p w14:paraId="5D0DE714" w14:textId="77777777" w:rsidR="00F053C3" w:rsidRDefault="00F053C3" w:rsidP="00325330">
            <w:pPr>
              <w:pStyle w:val="Default"/>
              <w:spacing w:after="60"/>
              <w:rPr>
                <w:rFonts w:ascii="Verdana" w:hAnsi="Verdana"/>
                <w:b/>
                <w:color w:val="auto"/>
                <w:sz w:val="18"/>
                <w:szCs w:val="18"/>
              </w:rPr>
            </w:pPr>
          </w:p>
        </w:tc>
        <w:tc>
          <w:tcPr>
            <w:tcW w:w="1184" w:type="dxa"/>
            <w:tcBorders>
              <w:right w:val="single" w:sz="8" w:space="0" w:color="4F81BD"/>
            </w:tcBorders>
          </w:tcPr>
          <w:p w14:paraId="7966BF62" w14:textId="77777777" w:rsidR="00F053C3" w:rsidRDefault="00F053C3"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tcPr>
          <w:p w14:paraId="75C8F9A0" w14:textId="77777777" w:rsidR="00F053C3" w:rsidRDefault="00F053C3"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A1D6609"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C.11</w:t>
            </w:r>
          </w:p>
        </w:tc>
        <w:tc>
          <w:tcPr>
            <w:tcW w:w="3621" w:type="dxa"/>
            <w:tcBorders>
              <w:top w:val="nil"/>
              <w:left w:val="single" w:sz="8" w:space="0" w:color="4F81BD"/>
              <w:bottom w:val="nil"/>
            </w:tcBorders>
            <w:shd w:val="clear" w:color="auto" w:fill="auto"/>
          </w:tcPr>
          <w:p w14:paraId="14E04B4D"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sector</w:t>
            </w:r>
          </w:p>
          <w:p w14:paraId="7BB58F41" w14:textId="77777777" w:rsidR="00F053C3" w:rsidRPr="00ED2A3A" w:rsidRDefault="00F053C3" w:rsidP="00FA7243">
            <w:pPr>
              <w:pStyle w:val="Default"/>
              <w:spacing w:after="60"/>
              <w:rPr>
                <w:rFonts w:ascii="Verdana" w:hAnsi="Verdana"/>
                <w:color w:val="auto"/>
                <w:sz w:val="18"/>
                <w:szCs w:val="18"/>
              </w:rPr>
            </w:pPr>
            <w:r>
              <w:rPr>
                <w:rFonts w:ascii="Verdana" w:hAnsi="Verdana"/>
                <w:color w:val="auto"/>
                <w:sz w:val="18"/>
                <w:szCs w:val="18"/>
              </w:rPr>
              <w:t>By type of region</w:t>
            </w:r>
          </w:p>
        </w:tc>
      </w:tr>
      <w:tr w:rsidR="005873FC" w:rsidRPr="00ED2A3A" w14:paraId="0D2085D1" w14:textId="77777777" w:rsidTr="240ABBB4">
        <w:tc>
          <w:tcPr>
            <w:tcW w:w="1901" w:type="dxa"/>
            <w:vMerge/>
            <w:tcBorders>
              <w:bottom w:val="single" w:sz="8" w:space="0" w:color="4F81BD"/>
              <w:right w:val="single" w:sz="8" w:space="0" w:color="4F81BD"/>
            </w:tcBorders>
          </w:tcPr>
          <w:p w14:paraId="2C0AFCCD" w14:textId="77777777" w:rsidR="00F053C3" w:rsidRDefault="00F053C3" w:rsidP="00325330">
            <w:pPr>
              <w:pStyle w:val="Default"/>
              <w:spacing w:after="60"/>
              <w:rPr>
                <w:rFonts w:ascii="Verdana" w:hAnsi="Verdana"/>
                <w:b/>
                <w:color w:val="auto"/>
                <w:sz w:val="18"/>
                <w:szCs w:val="18"/>
              </w:rPr>
            </w:pPr>
          </w:p>
        </w:tc>
        <w:tc>
          <w:tcPr>
            <w:tcW w:w="1184" w:type="dxa"/>
            <w:tcBorders>
              <w:bottom w:val="single" w:sz="8" w:space="0" w:color="4F81BD"/>
              <w:right w:val="single" w:sz="8" w:space="0" w:color="4F81BD"/>
            </w:tcBorders>
          </w:tcPr>
          <w:p w14:paraId="3C9104B0" w14:textId="77777777" w:rsidR="00F053C3" w:rsidRDefault="00F053C3" w:rsidP="00FA7243">
            <w:pPr>
              <w:pStyle w:val="Default"/>
              <w:spacing w:after="60"/>
              <w:jc w:val="center"/>
              <w:rPr>
                <w:rFonts w:ascii="Verdana" w:hAnsi="Verdana"/>
                <w:b/>
                <w:color w:val="auto"/>
                <w:sz w:val="18"/>
                <w:szCs w:val="18"/>
              </w:rPr>
            </w:pPr>
          </w:p>
        </w:tc>
        <w:tc>
          <w:tcPr>
            <w:tcW w:w="1059" w:type="dxa"/>
            <w:vMerge/>
            <w:tcBorders>
              <w:left w:val="single" w:sz="8" w:space="0" w:color="4F81BD"/>
              <w:bottom w:val="single" w:sz="8" w:space="0" w:color="4F81BD"/>
              <w:right w:val="single" w:sz="8" w:space="0" w:color="4F81BD"/>
            </w:tcBorders>
          </w:tcPr>
          <w:p w14:paraId="226DA0F7" w14:textId="77777777" w:rsidR="00F053C3" w:rsidRDefault="00F053C3"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2C4F314"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C.13</w:t>
            </w:r>
          </w:p>
        </w:tc>
        <w:tc>
          <w:tcPr>
            <w:tcW w:w="3621" w:type="dxa"/>
            <w:tcBorders>
              <w:top w:val="nil"/>
              <w:left w:val="single" w:sz="8" w:space="0" w:color="4F81BD"/>
              <w:bottom w:val="single" w:sz="8" w:space="0" w:color="4F81BD"/>
            </w:tcBorders>
            <w:shd w:val="clear" w:color="auto" w:fill="auto"/>
          </w:tcPr>
          <w:p w14:paraId="38AE2DD1"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economic activity</w:t>
            </w:r>
          </w:p>
        </w:tc>
      </w:tr>
      <w:tr w:rsidR="005873FC" w:rsidRPr="00660F1E" w14:paraId="44D5C18C" w14:textId="77777777" w:rsidTr="240ABBB4">
        <w:tc>
          <w:tcPr>
            <w:tcW w:w="1901" w:type="dxa"/>
            <w:vMerge w:val="restart"/>
            <w:tcBorders>
              <w:top w:val="single" w:sz="8" w:space="0" w:color="4F81BD"/>
              <w:left w:val="single" w:sz="8" w:space="0" w:color="4F81BD"/>
            </w:tcBorders>
          </w:tcPr>
          <w:p w14:paraId="33BA6311"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Economy</w:t>
            </w:r>
          </w:p>
        </w:tc>
        <w:tc>
          <w:tcPr>
            <w:tcW w:w="1184" w:type="dxa"/>
            <w:tcBorders>
              <w:top w:val="single" w:sz="8" w:space="0" w:color="4F81BD"/>
              <w:left w:val="single" w:sz="8" w:space="0" w:color="4F81BD"/>
              <w:bottom w:val="single" w:sz="8" w:space="0" w:color="4F81BD"/>
            </w:tcBorders>
          </w:tcPr>
          <w:p w14:paraId="1077493D" w14:textId="4C106C42" w:rsidR="00F053C3" w:rsidRDefault="00AA07F1" w:rsidP="003C473C">
            <w:pPr>
              <w:pStyle w:val="Default"/>
              <w:spacing w:after="60"/>
              <w:jc w:val="center"/>
              <w:rPr>
                <w:rFonts w:ascii="Verdana" w:hAnsi="Verdana"/>
                <w:b/>
                <w:bCs/>
                <w:color w:val="auto"/>
                <w:sz w:val="18"/>
                <w:szCs w:val="18"/>
              </w:rPr>
            </w:pPr>
            <w:hyperlink w:anchor="I23" w:history="1">
              <w:r w:rsidR="003C473C" w:rsidRPr="5CB4B133">
                <w:rPr>
                  <w:rStyle w:val="Hyperlink"/>
                  <w:rFonts w:ascii="Verdana" w:hAnsi="Verdana"/>
                  <w:b/>
                  <w:bCs/>
                  <w:sz w:val="18"/>
                  <w:szCs w:val="18"/>
                </w:rPr>
                <w:t>I.2</w:t>
              </w:r>
              <w:r w:rsidR="003C473C">
                <w:rPr>
                  <w:rStyle w:val="Hyperlink"/>
                  <w:rFonts w:ascii="Verdana" w:hAnsi="Verdana"/>
                  <w:b/>
                  <w:bCs/>
                  <w:sz w:val="18"/>
                  <w:szCs w:val="18"/>
                </w:rPr>
                <w:t>5</w:t>
              </w:r>
            </w:hyperlink>
          </w:p>
        </w:tc>
        <w:tc>
          <w:tcPr>
            <w:tcW w:w="1059" w:type="dxa"/>
            <w:tcBorders>
              <w:top w:val="single" w:sz="8" w:space="0" w:color="4F81BD"/>
              <w:left w:val="single" w:sz="8" w:space="0" w:color="4F81BD"/>
              <w:bottom w:val="single" w:sz="8" w:space="0" w:color="4F81BD"/>
              <w:right w:val="single" w:sz="8" w:space="0" w:color="4F81BD"/>
            </w:tcBorders>
          </w:tcPr>
          <w:p w14:paraId="4B415644" w14:textId="77777777" w:rsidR="00F053C3" w:rsidRPr="00ED2A3A" w:rsidRDefault="00AA07F1" w:rsidP="5CB4B133">
            <w:pPr>
              <w:pStyle w:val="Default"/>
              <w:spacing w:after="60"/>
              <w:jc w:val="center"/>
              <w:rPr>
                <w:rFonts w:ascii="Verdana" w:hAnsi="Verdana"/>
                <w:b/>
                <w:bCs/>
                <w:color w:val="auto"/>
                <w:sz w:val="18"/>
                <w:szCs w:val="18"/>
              </w:rPr>
            </w:pPr>
            <w:hyperlink w:anchor="C09" w:history="1">
              <w:r w:rsidR="00F053C3" w:rsidRPr="5CB4B133">
                <w:rPr>
                  <w:rStyle w:val="Hyperlink"/>
                  <w:rFonts w:ascii="Verdana" w:hAnsi="Verdana"/>
                  <w:b/>
                  <w:bCs/>
                  <w:sz w:val="18"/>
                  <w:szCs w:val="18"/>
                </w:rPr>
                <w:t>C.09</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249755E2"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C.08</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CC67726" w14:textId="1782932E" w:rsidR="00F053C3" w:rsidRPr="00A2798F" w:rsidRDefault="00F053C3" w:rsidP="00960A93">
            <w:pPr>
              <w:pStyle w:val="Default"/>
              <w:spacing w:after="60"/>
              <w:rPr>
                <w:rFonts w:ascii="Verdana" w:hAnsi="Verdana"/>
                <w:b/>
                <w:bCs/>
                <w:color w:val="auto"/>
                <w:sz w:val="18"/>
                <w:szCs w:val="18"/>
                <w:lang w:val="it-IT"/>
              </w:rPr>
            </w:pPr>
            <w:r w:rsidRPr="00A2798F">
              <w:rPr>
                <w:rFonts w:ascii="Verdana" w:hAnsi="Verdana"/>
                <w:color w:val="auto"/>
                <w:sz w:val="18"/>
                <w:szCs w:val="18"/>
                <w:lang w:val="it-IT"/>
              </w:rPr>
              <w:t>GDP</w:t>
            </w:r>
            <w:r w:rsidR="00960A93" w:rsidRPr="00A2798F">
              <w:rPr>
                <w:rFonts w:ascii="Verdana" w:hAnsi="Verdana"/>
                <w:color w:val="auto"/>
                <w:sz w:val="18"/>
                <w:szCs w:val="18"/>
                <w:lang w:val="it-IT"/>
              </w:rPr>
              <w:t xml:space="preserve"> per capita</w:t>
            </w:r>
          </w:p>
        </w:tc>
      </w:tr>
      <w:tr w:rsidR="005873FC" w:rsidRPr="00ED2A3A" w14:paraId="144F73DC" w14:textId="77777777" w:rsidTr="240ABBB4">
        <w:tc>
          <w:tcPr>
            <w:tcW w:w="1901" w:type="dxa"/>
            <w:vMerge/>
            <w:tcBorders>
              <w:left w:val="single" w:sz="8" w:space="0" w:color="4F81BD"/>
              <w:right w:val="single" w:sz="8" w:space="0" w:color="4F81BD"/>
            </w:tcBorders>
          </w:tcPr>
          <w:p w14:paraId="576F0268" w14:textId="77777777" w:rsidR="00F053C3" w:rsidRPr="00A2798F" w:rsidRDefault="00F053C3" w:rsidP="00325330">
            <w:pPr>
              <w:pStyle w:val="Default"/>
              <w:spacing w:after="60"/>
              <w:rPr>
                <w:rFonts w:ascii="Verdana" w:hAnsi="Verdana"/>
                <w:b/>
                <w:color w:val="auto"/>
                <w:sz w:val="18"/>
                <w:szCs w:val="18"/>
                <w:lang w:val="it-IT"/>
              </w:rPr>
            </w:pPr>
          </w:p>
        </w:tc>
        <w:tc>
          <w:tcPr>
            <w:tcW w:w="1184" w:type="dxa"/>
            <w:tcBorders>
              <w:top w:val="single" w:sz="8" w:space="0" w:color="4F81BD"/>
              <w:left w:val="single" w:sz="8" w:space="0" w:color="4F81BD"/>
              <w:bottom w:val="single" w:sz="8" w:space="0" w:color="4F81BD"/>
              <w:right w:val="single" w:sz="8" w:space="0" w:color="4F81BD"/>
            </w:tcBorders>
          </w:tcPr>
          <w:p w14:paraId="58BC34DC" w14:textId="3DB368E5" w:rsidR="00F053C3" w:rsidRDefault="00AA07F1" w:rsidP="003C473C">
            <w:pPr>
              <w:pStyle w:val="Default"/>
              <w:spacing w:after="60"/>
              <w:jc w:val="center"/>
              <w:rPr>
                <w:rFonts w:ascii="Verdana" w:hAnsi="Verdana"/>
                <w:b/>
                <w:bCs/>
                <w:color w:val="auto"/>
                <w:sz w:val="18"/>
                <w:szCs w:val="18"/>
              </w:rPr>
            </w:pPr>
            <w:hyperlink w:anchor="I25" w:history="1">
              <w:r w:rsidR="003C473C" w:rsidRPr="5CB4B133">
                <w:rPr>
                  <w:rStyle w:val="Hyperlink"/>
                  <w:rFonts w:ascii="Verdana" w:hAnsi="Verdana"/>
                  <w:b/>
                  <w:bCs/>
                  <w:sz w:val="18"/>
                  <w:szCs w:val="18"/>
                </w:rPr>
                <w:t>I.2</w:t>
              </w:r>
              <w:r w:rsidR="003C473C">
                <w:rPr>
                  <w:rStyle w:val="Hyperlink"/>
                  <w:rFonts w:ascii="Verdana" w:hAnsi="Verdana"/>
                  <w:b/>
                  <w:bCs/>
                  <w:sz w:val="18"/>
                  <w:szCs w:val="18"/>
                </w:rPr>
                <w:t>7</w:t>
              </w:r>
            </w:hyperlink>
          </w:p>
        </w:tc>
        <w:tc>
          <w:tcPr>
            <w:tcW w:w="1059" w:type="dxa"/>
            <w:tcBorders>
              <w:top w:val="single" w:sz="8" w:space="0" w:color="4F81BD"/>
              <w:left w:val="single" w:sz="8" w:space="0" w:color="4F81BD"/>
              <w:bottom w:val="single" w:sz="8" w:space="0" w:color="4F81BD"/>
              <w:right w:val="single" w:sz="8" w:space="0" w:color="4F81BD"/>
            </w:tcBorders>
          </w:tcPr>
          <w:p w14:paraId="4744B709" w14:textId="77777777" w:rsidR="00F053C3" w:rsidRPr="00ED2A3A" w:rsidRDefault="00AA07F1" w:rsidP="5CB4B133">
            <w:pPr>
              <w:pStyle w:val="Default"/>
              <w:spacing w:after="60"/>
              <w:jc w:val="center"/>
              <w:rPr>
                <w:rFonts w:ascii="Verdana" w:hAnsi="Verdana"/>
                <w:b/>
                <w:bCs/>
                <w:color w:val="auto"/>
                <w:sz w:val="18"/>
                <w:szCs w:val="18"/>
              </w:rPr>
            </w:pPr>
            <w:hyperlink w:anchor="C10" w:history="1">
              <w:r w:rsidR="00F053C3" w:rsidRPr="5CB4B133">
                <w:rPr>
                  <w:rStyle w:val="Hyperlink"/>
                  <w:rFonts w:ascii="Verdana" w:hAnsi="Verdana"/>
                  <w:b/>
                  <w:bCs/>
                  <w:sz w:val="18"/>
                  <w:szCs w:val="18"/>
                </w:rPr>
                <w:t>C.10</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22EA950"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C.09</w:t>
            </w:r>
          </w:p>
        </w:tc>
        <w:tc>
          <w:tcPr>
            <w:tcW w:w="3621" w:type="dxa"/>
            <w:tcBorders>
              <w:top w:val="single" w:sz="8" w:space="0" w:color="4F81BD"/>
              <w:left w:val="single" w:sz="8" w:space="0" w:color="4F81BD"/>
              <w:bottom w:val="single" w:sz="8" w:space="0" w:color="4F81BD"/>
            </w:tcBorders>
            <w:shd w:val="clear" w:color="auto" w:fill="auto"/>
          </w:tcPr>
          <w:p w14:paraId="4322421F"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Poverty rate</w:t>
            </w:r>
          </w:p>
        </w:tc>
      </w:tr>
      <w:tr w:rsidR="00415F92" w:rsidRPr="00ED2A3A" w14:paraId="34D350EB" w14:textId="77777777" w:rsidTr="240ABBB4">
        <w:tc>
          <w:tcPr>
            <w:tcW w:w="1901" w:type="dxa"/>
            <w:vMerge/>
            <w:tcBorders>
              <w:left w:val="single" w:sz="8" w:space="0" w:color="4F81BD"/>
            </w:tcBorders>
          </w:tcPr>
          <w:p w14:paraId="471C752B" w14:textId="77777777" w:rsidR="00415F92" w:rsidRDefault="00415F92"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tcBorders>
          </w:tcPr>
          <w:p w14:paraId="29C7DFF1" w14:textId="77777777" w:rsidR="00415F92" w:rsidRDefault="00415F92" w:rsidP="00F053C3">
            <w:pPr>
              <w:pStyle w:val="Default"/>
              <w:spacing w:after="60"/>
              <w:jc w:val="center"/>
              <w:rPr>
                <w:rFonts w:ascii="Verdana" w:hAnsi="Verdana"/>
                <w:b/>
                <w:color w:val="auto"/>
                <w:sz w:val="18"/>
                <w:szCs w:val="18"/>
              </w:rPr>
            </w:pPr>
          </w:p>
        </w:tc>
        <w:tc>
          <w:tcPr>
            <w:tcW w:w="1059" w:type="dxa"/>
            <w:vMerge w:val="restart"/>
            <w:tcBorders>
              <w:top w:val="single" w:sz="8" w:space="0" w:color="4F81BD"/>
              <w:left w:val="single" w:sz="8" w:space="0" w:color="4F81BD"/>
              <w:right w:val="single" w:sz="8" w:space="0" w:color="4F81BD"/>
            </w:tcBorders>
          </w:tcPr>
          <w:p w14:paraId="73E6FAE9" w14:textId="77777777" w:rsidR="00415F92" w:rsidRPr="00ED2A3A" w:rsidRDefault="00AA07F1" w:rsidP="5CB4B133">
            <w:pPr>
              <w:pStyle w:val="Default"/>
              <w:spacing w:after="60"/>
              <w:jc w:val="center"/>
              <w:rPr>
                <w:rFonts w:ascii="Verdana" w:hAnsi="Verdana"/>
                <w:b/>
                <w:bCs/>
                <w:color w:val="auto"/>
                <w:sz w:val="18"/>
                <w:szCs w:val="18"/>
              </w:rPr>
            </w:pPr>
            <w:hyperlink w:anchor="C11" w:history="1">
              <w:r w:rsidR="00415F92" w:rsidRPr="5CB4B133">
                <w:rPr>
                  <w:rStyle w:val="Hyperlink"/>
                  <w:rFonts w:ascii="Verdana" w:hAnsi="Verdana"/>
                  <w:b/>
                  <w:bCs/>
                  <w:sz w:val="18"/>
                  <w:szCs w:val="18"/>
                </w:rPr>
                <w:t>C.11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F34BF17" w14:textId="77777777" w:rsidR="00415F92" w:rsidRPr="00ED2A3A" w:rsidRDefault="00415F92"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593DEB3" w14:textId="77777777" w:rsidR="00415F92" w:rsidRPr="00ED2A3A" w:rsidRDefault="00415F92" w:rsidP="00FA7243">
            <w:pPr>
              <w:pStyle w:val="Default"/>
              <w:spacing w:after="60"/>
              <w:rPr>
                <w:rFonts w:ascii="Verdana" w:hAnsi="Verdana"/>
                <w:b/>
                <w:bCs/>
                <w:color w:val="auto"/>
                <w:sz w:val="18"/>
                <w:szCs w:val="18"/>
              </w:rPr>
            </w:pPr>
            <w:r>
              <w:rPr>
                <w:rFonts w:ascii="Verdana" w:hAnsi="Verdana"/>
                <w:color w:val="auto"/>
                <w:sz w:val="18"/>
                <w:szCs w:val="18"/>
              </w:rPr>
              <w:t>Gross value added</w:t>
            </w:r>
          </w:p>
        </w:tc>
      </w:tr>
      <w:tr w:rsidR="00415F92" w:rsidRPr="00ED2A3A" w14:paraId="7D04FBE8" w14:textId="77777777" w:rsidTr="240ABBB4">
        <w:tc>
          <w:tcPr>
            <w:tcW w:w="1901" w:type="dxa"/>
            <w:vMerge/>
            <w:tcBorders>
              <w:left w:val="single" w:sz="8" w:space="0" w:color="4F81BD"/>
            </w:tcBorders>
          </w:tcPr>
          <w:p w14:paraId="29D423AF" w14:textId="77777777" w:rsidR="00415F92" w:rsidRDefault="00415F92" w:rsidP="00325330">
            <w:pPr>
              <w:pStyle w:val="Default"/>
              <w:spacing w:after="60"/>
              <w:rPr>
                <w:rFonts w:ascii="Verdana" w:hAnsi="Verdana"/>
                <w:b/>
                <w:color w:val="auto"/>
                <w:sz w:val="18"/>
                <w:szCs w:val="18"/>
              </w:rPr>
            </w:pPr>
          </w:p>
        </w:tc>
        <w:tc>
          <w:tcPr>
            <w:tcW w:w="1184" w:type="dxa"/>
            <w:tcBorders>
              <w:left w:val="single" w:sz="8" w:space="0" w:color="4F81BD"/>
            </w:tcBorders>
          </w:tcPr>
          <w:p w14:paraId="4A69C205" w14:textId="77777777" w:rsidR="00415F92" w:rsidRDefault="00415F92"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tcPr>
          <w:p w14:paraId="564524AA" w14:textId="77777777" w:rsidR="00415F92" w:rsidRDefault="00415F92"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59C6859" w14:textId="77777777" w:rsidR="00415F92" w:rsidRPr="00ED2A3A" w:rsidRDefault="00415F92"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C5BE8F6"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By sector</w:t>
            </w:r>
          </w:p>
        </w:tc>
      </w:tr>
      <w:tr w:rsidR="00415F92" w:rsidRPr="00ED2A3A" w14:paraId="28E78C3C" w14:textId="77777777" w:rsidTr="240ABBB4">
        <w:tc>
          <w:tcPr>
            <w:tcW w:w="1901" w:type="dxa"/>
            <w:vMerge/>
            <w:tcBorders>
              <w:left w:val="single" w:sz="8" w:space="0" w:color="4F81BD"/>
            </w:tcBorders>
          </w:tcPr>
          <w:p w14:paraId="4340EB9E" w14:textId="77777777" w:rsidR="00415F92" w:rsidRDefault="00415F92" w:rsidP="00FA7243">
            <w:pPr>
              <w:pStyle w:val="Default"/>
              <w:spacing w:after="60"/>
              <w:rPr>
                <w:rFonts w:ascii="Verdana" w:hAnsi="Verdana"/>
                <w:b/>
                <w:color w:val="auto"/>
                <w:sz w:val="18"/>
                <w:szCs w:val="18"/>
              </w:rPr>
            </w:pPr>
          </w:p>
        </w:tc>
        <w:tc>
          <w:tcPr>
            <w:tcW w:w="1184" w:type="dxa"/>
            <w:tcBorders>
              <w:left w:val="single" w:sz="8" w:space="0" w:color="4F81BD"/>
            </w:tcBorders>
          </w:tcPr>
          <w:p w14:paraId="2C9BDB73" w14:textId="77777777" w:rsidR="00415F92" w:rsidRDefault="00415F92"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tcPr>
          <w:p w14:paraId="723E9674" w14:textId="77777777" w:rsidR="00415F92" w:rsidRDefault="00415F92"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61ECB83" w14:textId="77777777" w:rsidR="00415F92" w:rsidRPr="00ED2A3A" w:rsidRDefault="00415F92"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67245AB"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By type of region</w:t>
            </w:r>
          </w:p>
        </w:tc>
      </w:tr>
      <w:tr w:rsidR="00415F92" w:rsidRPr="00ED2A3A" w14:paraId="31863CE5" w14:textId="77777777" w:rsidTr="240ABBB4">
        <w:tc>
          <w:tcPr>
            <w:tcW w:w="1901" w:type="dxa"/>
            <w:vMerge/>
            <w:tcBorders>
              <w:left w:val="single" w:sz="8" w:space="0" w:color="4F81BD"/>
            </w:tcBorders>
          </w:tcPr>
          <w:p w14:paraId="55FBAED7" w14:textId="77777777" w:rsidR="00415F92" w:rsidRDefault="00415F92" w:rsidP="00325330">
            <w:pPr>
              <w:pStyle w:val="Default"/>
              <w:spacing w:after="60"/>
              <w:rPr>
                <w:rFonts w:ascii="Verdana" w:hAnsi="Verdana"/>
                <w:b/>
                <w:color w:val="auto"/>
                <w:sz w:val="18"/>
                <w:szCs w:val="18"/>
              </w:rPr>
            </w:pPr>
          </w:p>
        </w:tc>
        <w:tc>
          <w:tcPr>
            <w:tcW w:w="1184" w:type="dxa"/>
            <w:tcBorders>
              <w:left w:val="single" w:sz="8" w:space="0" w:color="4F81BD"/>
            </w:tcBorders>
          </w:tcPr>
          <w:p w14:paraId="336F4E2A" w14:textId="77777777" w:rsidR="00415F92" w:rsidRDefault="00415F92" w:rsidP="00FA7243">
            <w:pPr>
              <w:pStyle w:val="Default"/>
              <w:spacing w:after="60"/>
              <w:jc w:val="center"/>
              <w:rPr>
                <w:rFonts w:ascii="Verdana" w:hAnsi="Verdana"/>
                <w:b/>
                <w:color w:val="auto"/>
                <w:sz w:val="18"/>
                <w:szCs w:val="18"/>
              </w:rPr>
            </w:pPr>
          </w:p>
        </w:tc>
        <w:tc>
          <w:tcPr>
            <w:tcW w:w="1059" w:type="dxa"/>
            <w:vMerge/>
            <w:tcBorders>
              <w:left w:val="single" w:sz="8" w:space="0" w:color="4F81BD"/>
              <w:right w:val="single" w:sz="8" w:space="0" w:color="4F81BD"/>
            </w:tcBorders>
            <w:shd w:val="clear" w:color="auto" w:fill="FFFFFF" w:themeFill="background1"/>
          </w:tcPr>
          <w:p w14:paraId="501675DA" w14:textId="77777777" w:rsidR="00415F92" w:rsidRPr="00DE120F" w:rsidRDefault="00415F92" w:rsidP="00FA724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8B408CF" w14:textId="77777777" w:rsidR="00415F92" w:rsidRPr="00ED2A3A" w:rsidRDefault="00415F92"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DC2B427"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In agriculture</w:t>
            </w:r>
          </w:p>
        </w:tc>
      </w:tr>
      <w:tr w:rsidR="00415F92" w:rsidRPr="00ED2A3A" w14:paraId="12B4E46C" w14:textId="77777777" w:rsidTr="240ABBB4">
        <w:tc>
          <w:tcPr>
            <w:tcW w:w="1901" w:type="dxa"/>
            <w:vMerge/>
            <w:tcBorders>
              <w:left w:val="single" w:sz="8" w:space="0" w:color="4F81BD"/>
              <w:bottom w:val="single" w:sz="8" w:space="0" w:color="4F81BD"/>
            </w:tcBorders>
          </w:tcPr>
          <w:p w14:paraId="05DAF96F" w14:textId="77777777" w:rsidR="00415F92" w:rsidRDefault="00415F92" w:rsidP="00325330">
            <w:pPr>
              <w:pStyle w:val="Default"/>
              <w:spacing w:after="60"/>
              <w:rPr>
                <w:rFonts w:ascii="Verdana" w:hAnsi="Verdana"/>
                <w:b/>
                <w:color w:val="auto"/>
                <w:sz w:val="18"/>
                <w:szCs w:val="18"/>
              </w:rPr>
            </w:pPr>
          </w:p>
        </w:tc>
        <w:tc>
          <w:tcPr>
            <w:tcW w:w="1184" w:type="dxa"/>
            <w:tcBorders>
              <w:left w:val="single" w:sz="8" w:space="0" w:color="4F81BD"/>
              <w:bottom w:val="single" w:sz="8" w:space="0" w:color="4F81BD"/>
            </w:tcBorders>
          </w:tcPr>
          <w:p w14:paraId="3C9FBB71" w14:textId="77777777" w:rsidR="00415F92" w:rsidRDefault="00AA07F1" w:rsidP="5CB4B133">
            <w:pPr>
              <w:pStyle w:val="Default"/>
              <w:spacing w:after="60"/>
              <w:jc w:val="center"/>
              <w:rPr>
                <w:rFonts w:ascii="Verdana" w:hAnsi="Verdana"/>
                <w:b/>
                <w:bCs/>
                <w:color w:val="auto"/>
                <w:sz w:val="18"/>
                <w:szCs w:val="18"/>
              </w:rPr>
            </w:pPr>
            <w:hyperlink w:anchor="I08" w:history="1">
              <w:r w:rsidR="00415F92" w:rsidRPr="5CB4B133">
                <w:rPr>
                  <w:rStyle w:val="Hyperlink"/>
                  <w:rFonts w:ascii="Verdana" w:hAnsi="Verdana"/>
                  <w:b/>
                  <w:bCs/>
                  <w:sz w:val="18"/>
                  <w:szCs w:val="18"/>
                </w:rPr>
                <w:t>I.8</w:t>
              </w:r>
            </w:hyperlink>
          </w:p>
        </w:tc>
        <w:tc>
          <w:tcPr>
            <w:tcW w:w="1059" w:type="dxa"/>
            <w:vMerge/>
            <w:tcBorders>
              <w:left w:val="single" w:sz="8" w:space="0" w:color="4F81BD"/>
              <w:bottom w:val="single" w:sz="8" w:space="0" w:color="4F81BD"/>
              <w:right w:val="single" w:sz="8" w:space="0" w:color="4F81BD"/>
            </w:tcBorders>
          </w:tcPr>
          <w:p w14:paraId="56E6A6A8" w14:textId="77777777" w:rsidR="00415F92" w:rsidRDefault="00415F92" w:rsidP="00F053C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994553E" w14:textId="77777777" w:rsidR="00415F92" w:rsidRPr="00ED2A3A" w:rsidRDefault="00415F92"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R.03_PI</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A972009" w14:textId="77777777" w:rsidR="00415F92" w:rsidRPr="00ED2A3A" w:rsidRDefault="00415F92" w:rsidP="00FA7243">
            <w:pPr>
              <w:pStyle w:val="Default"/>
              <w:spacing w:after="60"/>
              <w:rPr>
                <w:rFonts w:ascii="Verdana" w:hAnsi="Verdana"/>
                <w:color w:val="auto"/>
                <w:sz w:val="18"/>
                <w:szCs w:val="18"/>
              </w:rPr>
            </w:pPr>
            <w:r>
              <w:rPr>
                <w:rFonts w:ascii="Verdana" w:hAnsi="Verdana"/>
                <w:color w:val="auto"/>
                <w:sz w:val="18"/>
                <w:szCs w:val="18"/>
              </w:rPr>
              <w:t>For primary producers</w:t>
            </w:r>
          </w:p>
        </w:tc>
      </w:tr>
      <w:tr w:rsidR="005873FC" w:rsidRPr="00ED2A3A" w14:paraId="09144F7A" w14:textId="77777777" w:rsidTr="240ABBB4">
        <w:tc>
          <w:tcPr>
            <w:tcW w:w="1901" w:type="dxa"/>
            <w:vMerge w:val="restart"/>
            <w:tcBorders>
              <w:top w:val="single" w:sz="8" w:space="0" w:color="4F81BD"/>
              <w:left w:val="single" w:sz="8" w:space="0" w:color="4F81BD"/>
            </w:tcBorders>
          </w:tcPr>
          <w:p w14:paraId="40ABAD1F"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Farms and farmers</w:t>
            </w:r>
          </w:p>
        </w:tc>
        <w:tc>
          <w:tcPr>
            <w:tcW w:w="1184" w:type="dxa"/>
            <w:tcBorders>
              <w:top w:val="single" w:sz="8" w:space="0" w:color="4F81BD"/>
              <w:left w:val="single" w:sz="8" w:space="0" w:color="4F81BD"/>
            </w:tcBorders>
          </w:tcPr>
          <w:p w14:paraId="151D465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1F206DC5" w14:textId="77777777" w:rsidR="00F053C3" w:rsidRPr="00ED2A3A" w:rsidRDefault="00AA07F1" w:rsidP="5CB4B133">
            <w:pPr>
              <w:pStyle w:val="Default"/>
              <w:spacing w:after="60"/>
              <w:jc w:val="center"/>
              <w:rPr>
                <w:rFonts w:ascii="Verdana" w:hAnsi="Verdana"/>
                <w:b/>
                <w:bCs/>
                <w:color w:val="auto"/>
                <w:sz w:val="18"/>
                <w:szCs w:val="18"/>
              </w:rPr>
            </w:pPr>
            <w:hyperlink w:anchor="C12" w:history="1">
              <w:r w:rsidR="00F053C3" w:rsidRPr="5CB4B133">
                <w:rPr>
                  <w:rStyle w:val="Hyperlink"/>
                  <w:rFonts w:ascii="Verdana" w:hAnsi="Verdana"/>
                  <w:b/>
                  <w:bCs/>
                  <w:sz w:val="18"/>
                  <w:szCs w:val="18"/>
                </w:rPr>
                <w:t>C.12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A1FE334"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C.17</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45C040D"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holdings (farms)</w:t>
            </w:r>
          </w:p>
        </w:tc>
      </w:tr>
      <w:tr w:rsidR="005873FC" w:rsidRPr="00ED2A3A" w14:paraId="1298DB44" w14:textId="77777777" w:rsidTr="240ABBB4">
        <w:tc>
          <w:tcPr>
            <w:tcW w:w="1901" w:type="dxa"/>
            <w:vMerge/>
            <w:tcBorders>
              <w:left w:val="single" w:sz="8" w:space="0" w:color="4F81BD"/>
              <w:right w:val="single" w:sz="8" w:space="0" w:color="4F81BD"/>
            </w:tcBorders>
          </w:tcPr>
          <w:p w14:paraId="6B39AC65"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right w:val="single" w:sz="8" w:space="0" w:color="4F81BD"/>
            </w:tcBorders>
          </w:tcPr>
          <w:p w14:paraId="1E979DEC"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9922AB2" w14:textId="77777777" w:rsidR="00F053C3" w:rsidRPr="00ED2A3A" w:rsidRDefault="00AA07F1" w:rsidP="5CB4B133">
            <w:pPr>
              <w:pStyle w:val="Default"/>
              <w:spacing w:after="60"/>
              <w:jc w:val="center"/>
              <w:rPr>
                <w:rFonts w:ascii="Verdana" w:hAnsi="Verdana"/>
                <w:b/>
                <w:bCs/>
                <w:color w:val="auto"/>
                <w:sz w:val="18"/>
                <w:szCs w:val="18"/>
              </w:rPr>
            </w:pPr>
            <w:hyperlink w:anchor="C13" w:history="1">
              <w:r w:rsidR="00F053C3" w:rsidRPr="5CB4B133">
                <w:rPr>
                  <w:rStyle w:val="Hyperlink"/>
                  <w:rFonts w:ascii="Verdana" w:hAnsi="Verdana"/>
                  <w:b/>
                  <w:bCs/>
                  <w:sz w:val="18"/>
                  <w:szCs w:val="18"/>
                </w:rPr>
                <w:t>C.13</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77CBED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C.22</w:t>
            </w:r>
          </w:p>
        </w:tc>
        <w:tc>
          <w:tcPr>
            <w:tcW w:w="3621" w:type="dxa"/>
            <w:tcBorders>
              <w:top w:val="single" w:sz="8" w:space="0" w:color="4F81BD"/>
              <w:left w:val="single" w:sz="8" w:space="0" w:color="4F81BD"/>
              <w:bottom w:val="single" w:sz="8" w:space="0" w:color="4F81BD"/>
            </w:tcBorders>
            <w:shd w:val="clear" w:color="auto" w:fill="auto"/>
          </w:tcPr>
          <w:p w14:paraId="47B1FF38"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Farm labour force</w:t>
            </w:r>
          </w:p>
        </w:tc>
      </w:tr>
      <w:tr w:rsidR="005873FC" w:rsidRPr="00ED2A3A" w14:paraId="29BAE9B6" w14:textId="77777777" w:rsidTr="240ABBB4">
        <w:tc>
          <w:tcPr>
            <w:tcW w:w="1901" w:type="dxa"/>
            <w:vMerge/>
            <w:tcBorders>
              <w:left w:val="single" w:sz="8" w:space="0" w:color="4F81BD"/>
            </w:tcBorders>
          </w:tcPr>
          <w:p w14:paraId="0D2083F7"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3373606A"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6C46997F" w14:textId="77777777" w:rsidR="00F053C3" w:rsidRPr="00ED2A3A" w:rsidRDefault="00AA07F1" w:rsidP="5CB4B133">
            <w:pPr>
              <w:pStyle w:val="Default"/>
              <w:spacing w:after="60"/>
              <w:jc w:val="center"/>
              <w:rPr>
                <w:rFonts w:ascii="Verdana" w:hAnsi="Verdana"/>
                <w:b/>
                <w:bCs/>
                <w:color w:val="auto"/>
                <w:sz w:val="18"/>
                <w:szCs w:val="18"/>
              </w:rPr>
            </w:pPr>
            <w:hyperlink w:anchor="C14" w:history="1">
              <w:r w:rsidR="00F053C3" w:rsidRPr="5CB4B133">
                <w:rPr>
                  <w:rStyle w:val="Hyperlink"/>
                  <w:rFonts w:ascii="Verdana" w:hAnsi="Verdana"/>
                  <w:b/>
                  <w:bCs/>
                  <w:sz w:val="18"/>
                  <w:szCs w:val="18"/>
                </w:rPr>
                <w:t>C.14</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B7B98E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C.23</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FA64BE7"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Age structure of farm managers</w:t>
            </w:r>
          </w:p>
        </w:tc>
      </w:tr>
      <w:tr w:rsidR="005873FC" w:rsidRPr="00ED2A3A" w14:paraId="6D6A18D6" w14:textId="77777777" w:rsidTr="240ABBB4">
        <w:tc>
          <w:tcPr>
            <w:tcW w:w="1901" w:type="dxa"/>
            <w:vMerge/>
            <w:tcBorders>
              <w:left w:val="single" w:sz="8" w:space="0" w:color="4F81BD"/>
              <w:right w:val="single" w:sz="8" w:space="0" w:color="4F81BD"/>
            </w:tcBorders>
          </w:tcPr>
          <w:p w14:paraId="02A4AA49"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right w:val="single" w:sz="8" w:space="0" w:color="4F81BD"/>
            </w:tcBorders>
          </w:tcPr>
          <w:p w14:paraId="02256AB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07BD129" w14:textId="77777777" w:rsidR="00F053C3" w:rsidRPr="00ED2A3A" w:rsidRDefault="00AA07F1" w:rsidP="5CB4B133">
            <w:pPr>
              <w:pStyle w:val="Default"/>
              <w:spacing w:after="60"/>
              <w:jc w:val="center"/>
              <w:rPr>
                <w:rFonts w:ascii="Verdana" w:hAnsi="Verdana"/>
                <w:b/>
                <w:bCs/>
                <w:color w:val="auto"/>
                <w:sz w:val="18"/>
                <w:szCs w:val="18"/>
              </w:rPr>
            </w:pPr>
            <w:hyperlink w:anchor="C15" w:history="1">
              <w:r w:rsidR="00F053C3" w:rsidRPr="5CB4B133">
                <w:rPr>
                  <w:rStyle w:val="Hyperlink"/>
                  <w:rFonts w:ascii="Verdana" w:hAnsi="Verdana"/>
                  <w:b/>
                  <w:bCs/>
                  <w:sz w:val="18"/>
                  <w:szCs w:val="18"/>
                </w:rPr>
                <w:t>C.15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9140B33"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C.24</w:t>
            </w:r>
          </w:p>
        </w:tc>
        <w:tc>
          <w:tcPr>
            <w:tcW w:w="3621" w:type="dxa"/>
            <w:tcBorders>
              <w:top w:val="single" w:sz="8" w:space="0" w:color="4F81BD"/>
              <w:left w:val="single" w:sz="8" w:space="0" w:color="4F81BD"/>
              <w:bottom w:val="single" w:sz="8" w:space="0" w:color="4F81BD"/>
            </w:tcBorders>
            <w:shd w:val="clear" w:color="auto" w:fill="auto"/>
          </w:tcPr>
          <w:p w14:paraId="70FE78B8"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training of farm managers</w:t>
            </w:r>
          </w:p>
        </w:tc>
      </w:tr>
      <w:tr w:rsidR="005873FC" w:rsidRPr="00ED2A3A" w14:paraId="3D556E41" w14:textId="77777777" w:rsidTr="240ABBB4">
        <w:tc>
          <w:tcPr>
            <w:tcW w:w="1901" w:type="dxa"/>
            <w:vMerge/>
            <w:tcBorders>
              <w:left w:val="single" w:sz="8" w:space="0" w:color="4F81BD"/>
              <w:bottom w:val="single" w:sz="8" w:space="0" w:color="4F81BD"/>
            </w:tcBorders>
          </w:tcPr>
          <w:p w14:paraId="1A47BC76"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bottom w:val="single" w:sz="8" w:space="0" w:color="4F81BD"/>
            </w:tcBorders>
          </w:tcPr>
          <w:p w14:paraId="4D15B1F0" w14:textId="26CBE0C0" w:rsidR="00F053C3" w:rsidRDefault="00AA07F1" w:rsidP="003C473C">
            <w:pPr>
              <w:pStyle w:val="Default"/>
              <w:spacing w:after="60"/>
              <w:jc w:val="center"/>
              <w:rPr>
                <w:rFonts w:ascii="Verdana" w:hAnsi="Verdana"/>
                <w:b/>
                <w:bCs/>
                <w:color w:val="auto"/>
                <w:sz w:val="18"/>
                <w:szCs w:val="18"/>
              </w:rPr>
            </w:pPr>
            <w:hyperlink w:anchor="I21" w:history="1">
              <w:r w:rsidR="003C473C" w:rsidRPr="003C473C">
                <w:rPr>
                  <w:rStyle w:val="Hyperlink"/>
                  <w:rFonts w:ascii="Verdana" w:hAnsi="Verdana"/>
                  <w:b/>
                  <w:bCs/>
                  <w:sz w:val="18"/>
                  <w:szCs w:val="18"/>
                </w:rPr>
                <w:t>I.23</w:t>
              </w:r>
            </w:hyperlink>
          </w:p>
        </w:tc>
        <w:tc>
          <w:tcPr>
            <w:tcW w:w="1059" w:type="dxa"/>
            <w:tcBorders>
              <w:top w:val="single" w:sz="8" w:space="0" w:color="4F81BD"/>
              <w:left w:val="single" w:sz="8" w:space="0" w:color="4F81BD"/>
              <w:bottom w:val="single" w:sz="8" w:space="0" w:color="4F81BD"/>
              <w:right w:val="single" w:sz="8" w:space="0" w:color="4F81BD"/>
            </w:tcBorders>
          </w:tcPr>
          <w:p w14:paraId="5458316F" w14:textId="77777777" w:rsidR="00F053C3" w:rsidRDefault="00AA07F1" w:rsidP="5CB4B133">
            <w:pPr>
              <w:pStyle w:val="Default"/>
              <w:spacing w:after="60"/>
              <w:jc w:val="center"/>
              <w:rPr>
                <w:rFonts w:ascii="Verdana" w:hAnsi="Verdana"/>
                <w:b/>
                <w:bCs/>
                <w:color w:val="auto"/>
                <w:sz w:val="18"/>
                <w:szCs w:val="18"/>
              </w:rPr>
            </w:pPr>
            <w:hyperlink w:anchor="C16" w:history="1">
              <w:r w:rsidR="00F053C3" w:rsidRPr="5CB4B133">
                <w:rPr>
                  <w:rStyle w:val="Hyperlink"/>
                  <w:rFonts w:ascii="Verdana" w:hAnsi="Verdana"/>
                  <w:b/>
                  <w:bCs/>
                  <w:sz w:val="18"/>
                  <w:szCs w:val="18"/>
                </w:rPr>
                <w:t>C.16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66D42B8"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8A56D0D" w14:textId="71B2BB23" w:rsidR="00F053C3" w:rsidRDefault="00F053C3" w:rsidP="000723BC">
            <w:pPr>
              <w:pStyle w:val="Default"/>
              <w:spacing w:after="60"/>
              <w:rPr>
                <w:rFonts w:ascii="Verdana" w:hAnsi="Verdana"/>
                <w:color w:val="auto"/>
                <w:sz w:val="18"/>
                <w:szCs w:val="18"/>
              </w:rPr>
            </w:pPr>
            <w:r>
              <w:rPr>
                <w:rFonts w:ascii="Verdana" w:hAnsi="Verdana"/>
                <w:color w:val="auto"/>
                <w:sz w:val="18"/>
                <w:szCs w:val="18"/>
              </w:rPr>
              <w:t>New farm</w:t>
            </w:r>
            <w:r w:rsidR="00EC12C5">
              <w:rPr>
                <w:rFonts w:ascii="Verdana" w:hAnsi="Verdana"/>
                <w:color w:val="auto"/>
                <w:sz w:val="18"/>
                <w:szCs w:val="18"/>
              </w:rPr>
              <w:t xml:space="preserve"> manag</w:t>
            </w:r>
            <w:r>
              <w:rPr>
                <w:rFonts w:ascii="Verdana" w:hAnsi="Verdana"/>
                <w:color w:val="auto"/>
                <w:sz w:val="18"/>
                <w:szCs w:val="18"/>
              </w:rPr>
              <w:t>ers</w:t>
            </w:r>
            <w:r w:rsidR="00E11F80">
              <w:rPr>
                <w:rFonts w:ascii="Verdana" w:hAnsi="Verdana"/>
                <w:color w:val="auto"/>
                <w:sz w:val="18"/>
                <w:szCs w:val="18"/>
              </w:rPr>
              <w:t xml:space="preserve"> and new young farm managers</w:t>
            </w:r>
          </w:p>
        </w:tc>
      </w:tr>
      <w:tr w:rsidR="00A959CE" w:rsidRPr="00ED2A3A" w14:paraId="54E60539" w14:textId="77777777" w:rsidTr="240ABBB4">
        <w:tc>
          <w:tcPr>
            <w:tcW w:w="1901" w:type="dxa"/>
            <w:vMerge w:val="restart"/>
            <w:tcBorders>
              <w:right w:val="single" w:sz="8" w:space="0" w:color="4F81BD"/>
            </w:tcBorders>
          </w:tcPr>
          <w:p w14:paraId="117387FC" w14:textId="77777777" w:rsidR="00A959CE" w:rsidRDefault="00A959CE" w:rsidP="5CB4B133">
            <w:pPr>
              <w:pStyle w:val="Default"/>
              <w:spacing w:after="60"/>
              <w:rPr>
                <w:rFonts w:ascii="Verdana" w:hAnsi="Verdana"/>
                <w:b/>
                <w:bCs/>
                <w:color w:val="auto"/>
                <w:sz w:val="18"/>
                <w:szCs w:val="18"/>
              </w:rPr>
            </w:pPr>
            <w:r w:rsidRPr="5CB4B133">
              <w:rPr>
                <w:rFonts w:ascii="Verdana" w:hAnsi="Verdana"/>
                <w:b/>
                <w:bCs/>
                <w:color w:val="auto"/>
                <w:sz w:val="18"/>
                <w:szCs w:val="18"/>
              </w:rPr>
              <w:t>Agricultural land</w:t>
            </w:r>
          </w:p>
        </w:tc>
        <w:tc>
          <w:tcPr>
            <w:tcW w:w="1184" w:type="dxa"/>
            <w:tcBorders>
              <w:top w:val="single" w:sz="8" w:space="0" w:color="4F81BD"/>
              <w:bottom w:val="single" w:sz="8" w:space="0" w:color="4F81BD"/>
              <w:right w:val="single" w:sz="8" w:space="0" w:color="4F81BD"/>
            </w:tcBorders>
          </w:tcPr>
          <w:p w14:paraId="18349642" w14:textId="77777777" w:rsidR="00A959CE"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4750EEF" w14:textId="77777777" w:rsidR="00A959CE" w:rsidRPr="00ED2A3A" w:rsidRDefault="00AA07F1" w:rsidP="5CB4B133">
            <w:pPr>
              <w:pStyle w:val="Default"/>
              <w:spacing w:after="60"/>
              <w:jc w:val="center"/>
              <w:rPr>
                <w:rFonts w:ascii="Verdana" w:hAnsi="Verdana"/>
                <w:b/>
                <w:bCs/>
                <w:color w:val="auto"/>
                <w:sz w:val="18"/>
                <w:szCs w:val="18"/>
              </w:rPr>
            </w:pPr>
            <w:hyperlink w:anchor="C17" w:history="1">
              <w:r w:rsidR="00A959CE" w:rsidRPr="5CB4B133">
                <w:rPr>
                  <w:rStyle w:val="Hyperlink"/>
                  <w:rFonts w:ascii="Verdana" w:hAnsi="Verdana"/>
                  <w:b/>
                  <w:bCs/>
                  <w:sz w:val="18"/>
                  <w:szCs w:val="18"/>
                </w:rPr>
                <w:t>C.17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9CAC011"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C.18</w:t>
            </w:r>
          </w:p>
        </w:tc>
        <w:tc>
          <w:tcPr>
            <w:tcW w:w="3621" w:type="dxa"/>
            <w:tcBorders>
              <w:top w:val="single" w:sz="8" w:space="0" w:color="4F81BD"/>
              <w:left w:val="single" w:sz="8" w:space="0" w:color="4F81BD"/>
              <w:bottom w:val="single" w:sz="8" w:space="0" w:color="4F81BD"/>
            </w:tcBorders>
            <w:shd w:val="clear" w:color="auto" w:fill="auto"/>
          </w:tcPr>
          <w:p w14:paraId="42370C77" w14:textId="7679EB21" w:rsidR="00A959CE" w:rsidRPr="00ED2A3A" w:rsidRDefault="00C74FB1" w:rsidP="00FA7243">
            <w:pPr>
              <w:pStyle w:val="Default"/>
              <w:spacing w:after="60"/>
              <w:rPr>
                <w:rFonts w:ascii="Verdana" w:hAnsi="Verdana"/>
                <w:b/>
                <w:bCs/>
                <w:color w:val="auto"/>
                <w:sz w:val="18"/>
                <w:szCs w:val="18"/>
              </w:rPr>
            </w:pPr>
            <w:r>
              <w:rPr>
                <w:rFonts w:ascii="Verdana" w:hAnsi="Verdana"/>
                <w:color w:val="auto"/>
                <w:sz w:val="18"/>
                <w:szCs w:val="18"/>
              </w:rPr>
              <w:t>Utilised a</w:t>
            </w:r>
            <w:r w:rsidR="00A959CE" w:rsidRPr="00ED2A3A">
              <w:rPr>
                <w:rFonts w:ascii="Verdana" w:hAnsi="Verdana"/>
                <w:color w:val="auto"/>
                <w:sz w:val="18"/>
                <w:szCs w:val="18"/>
              </w:rPr>
              <w:t>gricultural area</w:t>
            </w:r>
          </w:p>
        </w:tc>
      </w:tr>
      <w:tr w:rsidR="00A959CE" w:rsidRPr="00ED2A3A" w14:paraId="775030F4" w14:textId="77777777" w:rsidTr="240ABBB4">
        <w:tc>
          <w:tcPr>
            <w:tcW w:w="1901" w:type="dxa"/>
            <w:vMerge/>
            <w:tcBorders>
              <w:right w:val="single" w:sz="8" w:space="0" w:color="4F81BD"/>
            </w:tcBorders>
          </w:tcPr>
          <w:p w14:paraId="17634D4D"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bottom w:val="single" w:sz="8" w:space="0" w:color="4F81BD"/>
              <w:right w:val="single" w:sz="8" w:space="0" w:color="4F81BD"/>
            </w:tcBorders>
          </w:tcPr>
          <w:p w14:paraId="57994489" w14:textId="77777777" w:rsidR="00A959CE"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2DE71323" w14:textId="77777777" w:rsidR="00A959CE" w:rsidRPr="00ED2A3A" w:rsidRDefault="00AA07F1" w:rsidP="5CB4B133">
            <w:pPr>
              <w:pStyle w:val="Default"/>
              <w:spacing w:after="60"/>
              <w:jc w:val="center"/>
              <w:rPr>
                <w:rFonts w:ascii="Verdana" w:hAnsi="Verdana"/>
                <w:b/>
                <w:bCs/>
                <w:color w:val="auto"/>
                <w:sz w:val="18"/>
                <w:szCs w:val="18"/>
              </w:rPr>
            </w:pPr>
            <w:hyperlink w:anchor="C18" w:history="1">
              <w:r w:rsidR="00A959CE" w:rsidRPr="5CB4B133">
                <w:rPr>
                  <w:rStyle w:val="Hyperlink"/>
                  <w:rFonts w:ascii="Verdana" w:hAnsi="Verdana"/>
                  <w:b/>
                  <w:bCs/>
                  <w:sz w:val="18"/>
                  <w:szCs w:val="18"/>
                </w:rPr>
                <w:t>C.18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4D5F79D"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C.20</w:t>
            </w:r>
          </w:p>
        </w:tc>
        <w:tc>
          <w:tcPr>
            <w:tcW w:w="3621" w:type="dxa"/>
            <w:tcBorders>
              <w:top w:val="single" w:sz="8" w:space="0" w:color="4F81BD"/>
              <w:left w:val="single" w:sz="8" w:space="0" w:color="4F81BD"/>
              <w:bottom w:val="single" w:sz="8" w:space="0" w:color="4F81BD"/>
            </w:tcBorders>
            <w:shd w:val="clear" w:color="auto" w:fill="auto"/>
          </w:tcPr>
          <w:p w14:paraId="6F8909F7" w14:textId="77777777" w:rsidR="00A959CE" w:rsidRPr="00ED2A3A" w:rsidRDefault="00A959CE" w:rsidP="00FA7243">
            <w:pPr>
              <w:pStyle w:val="Default"/>
              <w:spacing w:after="60"/>
              <w:rPr>
                <w:rFonts w:ascii="Verdana" w:hAnsi="Verdana"/>
                <w:b/>
                <w:bCs/>
                <w:color w:val="auto"/>
                <w:sz w:val="18"/>
                <w:szCs w:val="18"/>
              </w:rPr>
            </w:pPr>
            <w:r w:rsidRPr="00ED2A3A">
              <w:rPr>
                <w:rFonts w:ascii="Verdana" w:hAnsi="Verdana"/>
                <w:color w:val="auto"/>
                <w:sz w:val="18"/>
                <w:szCs w:val="18"/>
              </w:rPr>
              <w:t>Irriga</w:t>
            </w:r>
            <w:r>
              <w:rPr>
                <w:rFonts w:ascii="Verdana" w:hAnsi="Verdana"/>
                <w:color w:val="auto"/>
                <w:sz w:val="18"/>
                <w:szCs w:val="18"/>
              </w:rPr>
              <w:t>ble</w:t>
            </w:r>
            <w:r w:rsidRPr="00ED2A3A">
              <w:rPr>
                <w:rFonts w:ascii="Verdana" w:hAnsi="Verdana"/>
                <w:color w:val="auto"/>
                <w:sz w:val="18"/>
                <w:szCs w:val="18"/>
              </w:rPr>
              <w:t xml:space="preserve"> land</w:t>
            </w:r>
          </w:p>
        </w:tc>
      </w:tr>
      <w:tr w:rsidR="00A959CE" w:rsidRPr="00ED2A3A" w14:paraId="5B2E406F" w14:textId="77777777" w:rsidTr="240ABBB4">
        <w:tc>
          <w:tcPr>
            <w:tcW w:w="1901" w:type="dxa"/>
            <w:vMerge/>
            <w:tcBorders>
              <w:right w:val="single" w:sz="8" w:space="0" w:color="4F81BD"/>
            </w:tcBorders>
          </w:tcPr>
          <w:p w14:paraId="5A72F3F4"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705C677" w14:textId="77777777" w:rsidR="00A959CE"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039B6926" w14:textId="77777777" w:rsidR="00A959CE" w:rsidRPr="00ED2A3A" w:rsidRDefault="00AA07F1" w:rsidP="5CB4B133">
            <w:pPr>
              <w:pStyle w:val="Default"/>
              <w:spacing w:after="60"/>
              <w:jc w:val="center"/>
              <w:rPr>
                <w:rFonts w:ascii="Verdana" w:hAnsi="Verdana"/>
                <w:b/>
                <w:bCs/>
                <w:color w:val="auto"/>
                <w:sz w:val="18"/>
                <w:szCs w:val="18"/>
              </w:rPr>
            </w:pPr>
            <w:hyperlink w:anchor="C19" w:history="1">
              <w:r w:rsidR="00A959CE" w:rsidRPr="5CB4B133">
                <w:rPr>
                  <w:rStyle w:val="Hyperlink"/>
                  <w:rFonts w:ascii="Verdana" w:hAnsi="Verdana"/>
                  <w:b/>
                  <w:bCs/>
                  <w:sz w:val="18"/>
                  <w:szCs w:val="18"/>
                </w:rPr>
                <w:t>C.19</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C1D86D5"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C.34</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3CA83C8" w14:textId="77777777" w:rsidR="00A959CE" w:rsidRPr="00ED2A3A" w:rsidRDefault="00A959CE" w:rsidP="00FA7243">
            <w:pPr>
              <w:pStyle w:val="Default"/>
              <w:spacing w:after="60"/>
              <w:rPr>
                <w:rFonts w:ascii="Verdana" w:hAnsi="Verdana"/>
                <w:b/>
                <w:bCs/>
                <w:color w:val="auto"/>
                <w:sz w:val="18"/>
                <w:szCs w:val="18"/>
              </w:rPr>
            </w:pPr>
            <w:r>
              <w:rPr>
                <w:rFonts w:ascii="Verdana" w:hAnsi="Verdana"/>
                <w:color w:val="auto"/>
                <w:sz w:val="18"/>
                <w:szCs w:val="18"/>
              </w:rPr>
              <w:t xml:space="preserve">Farming in </w:t>
            </w:r>
            <w:r w:rsidRPr="00ED2A3A">
              <w:rPr>
                <w:rFonts w:ascii="Verdana" w:hAnsi="Verdana"/>
                <w:color w:val="auto"/>
                <w:sz w:val="18"/>
                <w:szCs w:val="18"/>
              </w:rPr>
              <w:t>Natura 2000 areas</w:t>
            </w:r>
          </w:p>
        </w:tc>
      </w:tr>
      <w:tr w:rsidR="00A959CE" w:rsidRPr="00ED2A3A" w14:paraId="53A23101" w14:textId="77777777" w:rsidTr="240ABBB4">
        <w:tc>
          <w:tcPr>
            <w:tcW w:w="1901" w:type="dxa"/>
            <w:vMerge/>
            <w:tcBorders>
              <w:right w:val="single" w:sz="8" w:space="0" w:color="4F81BD"/>
            </w:tcBorders>
          </w:tcPr>
          <w:p w14:paraId="186AC5AF"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32E7881" w14:textId="77777777" w:rsidR="00A959CE" w:rsidRPr="00517426" w:rsidRDefault="00A959CE"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8D1D3F7" w14:textId="77777777" w:rsidR="00A959CE" w:rsidRPr="00ED2A3A" w:rsidRDefault="00AA07F1" w:rsidP="5CB4B133">
            <w:pPr>
              <w:pStyle w:val="Default"/>
              <w:spacing w:after="60"/>
              <w:jc w:val="center"/>
              <w:rPr>
                <w:rFonts w:ascii="Verdana" w:hAnsi="Verdana"/>
                <w:b/>
                <w:bCs/>
                <w:color w:val="auto"/>
                <w:sz w:val="18"/>
                <w:szCs w:val="18"/>
              </w:rPr>
            </w:pPr>
            <w:hyperlink w:anchor="C20" w:history="1">
              <w:r w:rsidR="00A959CE" w:rsidRPr="5CB4B133">
                <w:rPr>
                  <w:rStyle w:val="Hyperlink"/>
                  <w:rFonts w:ascii="Verdana" w:hAnsi="Verdana"/>
                  <w:b/>
                  <w:bCs/>
                  <w:sz w:val="18"/>
                  <w:szCs w:val="18"/>
                </w:rPr>
                <w:t>C.20</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4BD822B" w14:textId="77777777" w:rsidR="00A959CE" w:rsidRPr="00ED2A3A" w:rsidRDefault="00A959CE"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C.32</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537AAD9" w14:textId="07551B10" w:rsidR="00A959CE" w:rsidRPr="00ED2A3A" w:rsidRDefault="00A959CE" w:rsidP="008C318A">
            <w:pPr>
              <w:pStyle w:val="Default"/>
              <w:spacing w:after="60"/>
              <w:rPr>
                <w:rFonts w:ascii="Verdana" w:hAnsi="Verdana"/>
                <w:b/>
                <w:bCs/>
                <w:color w:val="auto"/>
                <w:sz w:val="18"/>
                <w:szCs w:val="18"/>
              </w:rPr>
            </w:pPr>
            <w:r w:rsidRPr="00ED2A3A">
              <w:rPr>
                <w:rFonts w:ascii="Verdana" w:hAnsi="Verdana"/>
                <w:sz w:val="18"/>
                <w:szCs w:val="18"/>
              </w:rPr>
              <w:t>Areas facing natural and other specific constraints</w:t>
            </w:r>
          </w:p>
        </w:tc>
      </w:tr>
      <w:tr w:rsidR="00A959CE" w:rsidRPr="00ED2A3A" w14:paraId="6A3E7A95" w14:textId="77777777" w:rsidTr="240ABBB4">
        <w:tc>
          <w:tcPr>
            <w:tcW w:w="1901" w:type="dxa"/>
            <w:vMerge/>
            <w:tcBorders>
              <w:right w:val="single" w:sz="8" w:space="0" w:color="4F81BD"/>
            </w:tcBorders>
          </w:tcPr>
          <w:p w14:paraId="103EDBF7"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6895C16" w14:textId="3E3E58D5" w:rsidR="00A959CE" w:rsidRDefault="00AA07F1" w:rsidP="003C473C">
            <w:pPr>
              <w:pStyle w:val="Default"/>
              <w:spacing w:after="60"/>
              <w:jc w:val="center"/>
              <w:rPr>
                <w:rFonts w:ascii="Verdana" w:hAnsi="Verdana"/>
                <w:b/>
                <w:bCs/>
                <w:color w:val="auto"/>
                <w:sz w:val="18"/>
                <w:szCs w:val="18"/>
              </w:rPr>
            </w:pPr>
            <w:hyperlink w:anchor="I20" w:history="1">
              <w:r w:rsidR="003C473C" w:rsidRPr="5CB4B133">
                <w:rPr>
                  <w:rStyle w:val="Hyperlink"/>
                  <w:rFonts w:ascii="Verdana" w:hAnsi="Verdana"/>
                  <w:b/>
                  <w:bCs/>
                  <w:sz w:val="18"/>
                  <w:szCs w:val="18"/>
                </w:rPr>
                <w:t>I.2</w:t>
              </w:r>
              <w:r w:rsidR="003C473C">
                <w:rPr>
                  <w:rStyle w:val="Hyperlink"/>
                  <w:rFonts w:ascii="Verdana" w:hAnsi="Verdana"/>
                  <w:b/>
                  <w:bCs/>
                  <w:sz w:val="18"/>
                  <w:szCs w:val="18"/>
                </w:rPr>
                <w:t>1</w:t>
              </w:r>
            </w:hyperlink>
          </w:p>
        </w:tc>
        <w:tc>
          <w:tcPr>
            <w:tcW w:w="1059" w:type="dxa"/>
            <w:tcBorders>
              <w:top w:val="single" w:sz="8" w:space="0" w:color="4F81BD"/>
              <w:left w:val="single" w:sz="8" w:space="0" w:color="4F81BD"/>
              <w:bottom w:val="single" w:sz="8" w:space="0" w:color="4F81BD"/>
              <w:right w:val="single" w:sz="8" w:space="0" w:color="4F81BD"/>
            </w:tcBorders>
          </w:tcPr>
          <w:p w14:paraId="6E9E8B29" w14:textId="77777777" w:rsidR="00A959CE" w:rsidRDefault="00AA07F1" w:rsidP="5CB4B133">
            <w:pPr>
              <w:pStyle w:val="Default"/>
              <w:spacing w:after="60"/>
              <w:jc w:val="center"/>
              <w:rPr>
                <w:rFonts w:ascii="Verdana" w:hAnsi="Verdana"/>
                <w:b/>
                <w:bCs/>
                <w:color w:val="auto"/>
                <w:sz w:val="18"/>
                <w:szCs w:val="18"/>
              </w:rPr>
            </w:pPr>
            <w:hyperlink w:anchor="C21" w:history="1">
              <w:r w:rsidR="00A959CE" w:rsidRPr="5CB4B133">
                <w:rPr>
                  <w:rStyle w:val="Hyperlink"/>
                  <w:rFonts w:ascii="Verdana" w:hAnsi="Verdana"/>
                  <w:b/>
                  <w:bCs/>
                  <w:sz w:val="18"/>
                  <w:szCs w:val="18"/>
                </w:rPr>
                <w:t>C.21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34D958F" w14:textId="77777777" w:rsidR="00A959CE" w:rsidRDefault="00A959CE"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26F7DEB" w14:textId="77777777" w:rsidR="00A959CE" w:rsidRDefault="00A959CE" w:rsidP="00FA7243">
            <w:pPr>
              <w:pStyle w:val="Default"/>
              <w:spacing w:after="60"/>
              <w:rPr>
                <w:rFonts w:ascii="Verdana" w:hAnsi="Verdana"/>
                <w:color w:val="auto"/>
                <w:sz w:val="18"/>
                <w:szCs w:val="18"/>
              </w:rPr>
            </w:pPr>
            <w:r>
              <w:rPr>
                <w:rFonts w:ascii="Verdana" w:hAnsi="Verdana"/>
                <w:color w:val="auto"/>
                <w:sz w:val="18"/>
                <w:szCs w:val="18"/>
              </w:rPr>
              <w:t>Agricultural land covered with landscape features</w:t>
            </w:r>
          </w:p>
        </w:tc>
      </w:tr>
      <w:tr w:rsidR="00A959CE" w:rsidRPr="00ED2A3A" w14:paraId="7125BD81" w14:textId="77777777" w:rsidTr="240ABBB4">
        <w:tc>
          <w:tcPr>
            <w:tcW w:w="1901" w:type="dxa"/>
            <w:vMerge/>
            <w:tcBorders>
              <w:bottom w:val="single" w:sz="8" w:space="0" w:color="4F81BD"/>
              <w:right w:val="single" w:sz="8" w:space="0" w:color="4F81BD"/>
            </w:tcBorders>
          </w:tcPr>
          <w:p w14:paraId="48807F73" w14:textId="77777777" w:rsidR="00A959CE" w:rsidRDefault="00A959CE"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4A64296" w14:textId="78E2C95A" w:rsidR="00A959CE" w:rsidRPr="006C7209" w:rsidRDefault="00AA07F1" w:rsidP="0079001D">
            <w:pPr>
              <w:pStyle w:val="Default"/>
              <w:spacing w:after="60"/>
              <w:jc w:val="center"/>
              <w:rPr>
                <w:rFonts w:ascii="Verdana" w:hAnsi="Verdana"/>
                <w:b/>
                <w:bCs/>
                <w:sz w:val="18"/>
                <w:szCs w:val="18"/>
              </w:rPr>
            </w:pPr>
            <w:hyperlink w:anchor="I20a" w:history="1">
              <w:r w:rsidR="0079001D" w:rsidRPr="3B80D187">
                <w:rPr>
                  <w:rStyle w:val="Hyperlink"/>
                  <w:rFonts w:ascii="Verdana" w:hAnsi="Verdana"/>
                  <w:b/>
                  <w:bCs/>
                  <w:sz w:val="18"/>
                  <w:szCs w:val="18"/>
                </w:rPr>
                <w:t>I.2</w:t>
              </w:r>
              <w:r w:rsidR="0079001D">
                <w:rPr>
                  <w:rStyle w:val="Hyperlink"/>
                  <w:rFonts w:ascii="Verdana" w:hAnsi="Verdana"/>
                  <w:b/>
                  <w:bCs/>
                  <w:sz w:val="18"/>
                  <w:szCs w:val="18"/>
                </w:rPr>
                <w:t>2</w:t>
              </w:r>
            </w:hyperlink>
          </w:p>
        </w:tc>
        <w:tc>
          <w:tcPr>
            <w:tcW w:w="1059" w:type="dxa"/>
            <w:tcBorders>
              <w:top w:val="single" w:sz="8" w:space="0" w:color="4F81BD"/>
              <w:left w:val="single" w:sz="8" w:space="0" w:color="4F81BD"/>
              <w:bottom w:val="single" w:sz="8" w:space="0" w:color="4F81BD"/>
              <w:right w:val="single" w:sz="8" w:space="0" w:color="4F81BD"/>
            </w:tcBorders>
          </w:tcPr>
          <w:p w14:paraId="795525DE" w14:textId="32E47822" w:rsidR="00A959CE" w:rsidRPr="00466E21" w:rsidRDefault="00AA07F1" w:rsidP="002F2870">
            <w:pPr>
              <w:pStyle w:val="Default"/>
              <w:spacing w:after="60"/>
              <w:jc w:val="center"/>
              <w:rPr>
                <w:rFonts w:ascii="Verdana" w:hAnsi="Verdana"/>
                <w:b/>
                <w:bCs/>
                <w:sz w:val="18"/>
                <w:szCs w:val="18"/>
              </w:rPr>
            </w:pPr>
            <w:hyperlink w:anchor="C21a" w:history="1">
              <w:r w:rsidR="00466E21" w:rsidRPr="3B80D187">
                <w:rPr>
                  <w:rStyle w:val="Hyperlink"/>
                  <w:rFonts w:ascii="Verdana" w:hAnsi="Verdana"/>
                  <w:b/>
                  <w:bCs/>
                  <w:sz w:val="18"/>
                  <w:szCs w:val="18"/>
                </w:rPr>
                <w:t>C.2</w:t>
              </w:r>
              <w:r w:rsidR="002F2870">
                <w:rPr>
                  <w:rStyle w:val="Hyperlink"/>
                  <w:rFonts w:ascii="Verdana" w:hAnsi="Verdana"/>
                  <w:b/>
                  <w:bCs/>
                  <w:sz w:val="18"/>
                  <w:szCs w:val="18"/>
                </w:rPr>
                <w:t>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529AAA63" w14:textId="54E85EC7" w:rsidR="00A959CE" w:rsidRPr="00CD6691" w:rsidRDefault="006179F2" w:rsidP="3B80D187">
            <w:pPr>
              <w:pStyle w:val="Default"/>
              <w:spacing w:after="60"/>
              <w:jc w:val="center"/>
              <w:rPr>
                <w:rFonts w:ascii="Verdana" w:hAnsi="Verdana"/>
                <w:b/>
                <w:bCs/>
                <w:color w:val="auto"/>
                <w:sz w:val="18"/>
                <w:szCs w:val="18"/>
              </w:rPr>
            </w:pPr>
            <w:r w:rsidRPr="3B80D187">
              <w:rPr>
                <w:rFonts w:ascii="Verdana" w:hAnsi="Verdana"/>
                <w:b/>
                <w:bCs/>
                <w:color w:val="auto"/>
                <w:sz w:val="18"/>
                <w:szCs w:val="18"/>
              </w:rPr>
              <w:t>R.11</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28771CF" w14:textId="45495807" w:rsidR="00A959CE" w:rsidRDefault="008F581F" w:rsidP="00FA7243">
            <w:pPr>
              <w:pStyle w:val="Default"/>
              <w:spacing w:after="60"/>
              <w:rPr>
                <w:rFonts w:ascii="Verdana" w:hAnsi="Verdana"/>
                <w:color w:val="auto"/>
                <w:sz w:val="18"/>
                <w:szCs w:val="18"/>
              </w:rPr>
            </w:pPr>
            <w:r>
              <w:rPr>
                <w:rFonts w:ascii="Verdana" w:hAnsi="Verdana"/>
                <w:color w:val="auto"/>
                <w:sz w:val="18"/>
                <w:szCs w:val="18"/>
              </w:rPr>
              <w:t>Crop diversity</w:t>
            </w:r>
          </w:p>
        </w:tc>
      </w:tr>
      <w:tr w:rsidR="005873FC" w:rsidRPr="00ED2A3A" w14:paraId="434738B2" w14:textId="77777777" w:rsidTr="240ABBB4">
        <w:tc>
          <w:tcPr>
            <w:tcW w:w="1901" w:type="dxa"/>
            <w:vMerge w:val="restart"/>
            <w:tcBorders>
              <w:top w:val="single" w:sz="8" w:space="0" w:color="4F81BD"/>
              <w:left w:val="single" w:sz="8" w:space="0" w:color="4F81BD"/>
            </w:tcBorders>
          </w:tcPr>
          <w:p w14:paraId="79F19AA4"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Livestock</w:t>
            </w:r>
          </w:p>
        </w:tc>
        <w:tc>
          <w:tcPr>
            <w:tcW w:w="1184" w:type="dxa"/>
            <w:tcBorders>
              <w:top w:val="single" w:sz="8" w:space="0" w:color="4F81BD"/>
              <w:left w:val="single" w:sz="8" w:space="0" w:color="4F81BD"/>
            </w:tcBorders>
          </w:tcPr>
          <w:p w14:paraId="44C670BA"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0BDF5FD2" w14:textId="01E16E8C" w:rsidR="00F053C3" w:rsidRPr="00ED2A3A" w:rsidRDefault="00AA07F1" w:rsidP="002F2870">
            <w:pPr>
              <w:pStyle w:val="Default"/>
              <w:spacing w:after="60"/>
              <w:jc w:val="center"/>
              <w:rPr>
                <w:rFonts w:ascii="Verdana" w:hAnsi="Verdana"/>
                <w:b/>
                <w:bCs/>
                <w:color w:val="auto"/>
                <w:sz w:val="18"/>
                <w:szCs w:val="18"/>
              </w:rPr>
            </w:pPr>
            <w:hyperlink w:anchor="C22"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3</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36BC360"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C.21</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832E350" w14:textId="1A69343D" w:rsidR="00F053C3" w:rsidRPr="00ED2A3A" w:rsidRDefault="00F053C3" w:rsidP="000723BC">
            <w:pPr>
              <w:pStyle w:val="Default"/>
              <w:spacing w:after="60"/>
              <w:rPr>
                <w:rFonts w:ascii="Verdana" w:hAnsi="Verdana"/>
                <w:b/>
                <w:bCs/>
                <w:color w:val="auto"/>
                <w:sz w:val="18"/>
                <w:szCs w:val="18"/>
              </w:rPr>
            </w:pPr>
            <w:r w:rsidRPr="00FA7243">
              <w:rPr>
                <w:rFonts w:ascii="Verdana" w:hAnsi="Verdana"/>
                <w:color w:val="auto"/>
                <w:sz w:val="18"/>
                <w:szCs w:val="18"/>
              </w:rPr>
              <w:t xml:space="preserve">Livestock </w:t>
            </w:r>
            <w:r w:rsidR="00EC12C5">
              <w:rPr>
                <w:rFonts w:ascii="Verdana" w:hAnsi="Verdana"/>
                <w:color w:val="auto"/>
                <w:sz w:val="18"/>
                <w:szCs w:val="18"/>
              </w:rPr>
              <w:t>units</w:t>
            </w:r>
          </w:p>
        </w:tc>
      </w:tr>
      <w:tr w:rsidR="005873FC" w:rsidRPr="00ED2A3A" w14:paraId="2A27E818" w14:textId="77777777" w:rsidTr="240ABBB4">
        <w:tc>
          <w:tcPr>
            <w:tcW w:w="1901" w:type="dxa"/>
            <w:vMerge/>
            <w:tcBorders>
              <w:left w:val="single" w:sz="8" w:space="0" w:color="4F81BD"/>
              <w:bottom w:val="single" w:sz="4" w:space="0" w:color="4472C4"/>
            </w:tcBorders>
          </w:tcPr>
          <w:p w14:paraId="1E56ED31"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bottom w:val="single" w:sz="4" w:space="0" w:color="4472C4" w:themeColor="accent5"/>
            </w:tcBorders>
          </w:tcPr>
          <w:p w14:paraId="07D63331"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4" w:space="0" w:color="4472C4" w:themeColor="accent5"/>
              <w:right w:val="single" w:sz="8" w:space="0" w:color="4F81BD"/>
            </w:tcBorders>
          </w:tcPr>
          <w:p w14:paraId="3F768FBB" w14:textId="405A9B32" w:rsidR="00F053C3" w:rsidRDefault="00AA07F1" w:rsidP="002F2870">
            <w:pPr>
              <w:pStyle w:val="Default"/>
              <w:spacing w:after="60"/>
              <w:jc w:val="center"/>
              <w:rPr>
                <w:rFonts w:ascii="Verdana" w:hAnsi="Verdana"/>
                <w:b/>
                <w:bCs/>
                <w:color w:val="auto"/>
                <w:sz w:val="18"/>
                <w:szCs w:val="18"/>
              </w:rPr>
            </w:pPr>
            <w:hyperlink w:anchor="C23"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4</w:t>
            </w:r>
          </w:p>
        </w:tc>
        <w:tc>
          <w:tcPr>
            <w:tcW w:w="1334" w:type="dxa"/>
            <w:gridSpan w:val="2"/>
            <w:tcBorders>
              <w:top w:val="single" w:sz="8" w:space="0" w:color="4F81BD"/>
              <w:left w:val="single" w:sz="8" w:space="0" w:color="4F81BD"/>
              <w:bottom w:val="single" w:sz="4" w:space="0" w:color="4472C4" w:themeColor="accent5"/>
              <w:right w:val="single" w:sz="8" w:space="0" w:color="4F81BD"/>
            </w:tcBorders>
            <w:shd w:val="clear" w:color="auto" w:fill="auto"/>
          </w:tcPr>
          <w:p w14:paraId="4274C3DD"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4" w:space="0" w:color="4472C4" w:themeColor="accent5"/>
              <w:right w:val="single" w:sz="8" w:space="0" w:color="4F81BD"/>
            </w:tcBorders>
            <w:shd w:val="clear" w:color="auto" w:fill="auto"/>
          </w:tcPr>
          <w:p w14:paraId="148AC157"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Livestock density</w:t>
            </w:r>
          </w:p>
        </w:tc>
      </w:tr>
      <w:tr w:rsidR="005873FC" w:rsidRPr="00ED2A3A" w14:paraId="1BFF80EC" w14:textId="77777777" w:rsidTr="240ABBB4">
        <w:tc>
          <w:tcPr>
            <w:tcW w:w="1901" w:type="dxa"/>
            <w:vMerge w:val="restart"/>
            <w:tcBorders>
              <w:top w:val="single" w:sz="4" w:space="0" w:color="4472C4" w:themeColor="accent5"/>
              <w:left w:val="single" w:sz="8" w:space="0" w:color="4F81BD"/>
            </w:tcBorders>
          </w:tcPr>
          <w:p w14:paraId="57FFB11E"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lastRenderedPageBreak/>
              <w:t>Agricultural and farm income</w:t>
            </w:r>
          </w:p>
        </w:tc>
        <w:tc>
          <w:tcPr>
            <w:tcW w:w="1184" w:type="dxa"/>
            <w:tcBorders>
              <w:top w:val="single" w:sz="4" w:space="0" w:color="4472C4" w:themeColor="accent5"/>
              <w:left w:val="single" w:sz="8" w:space="0" w:color="4F81BD"/>
              <w:bottom w:val="single" w:sz="8" w:space="0" w:color="4F81BD"/>
            </w:tcBorders>
          </w:tcPr>
          <w:p w14:paraId="073AA1EB" w14:textId="77777777" w:rsidR="00F053C3" w:rsidRDefault="00AA07F1" w:rsidP="5CB4B133">
            <w:pPr>
              <w:pStyle w:val="Default"/>
              <w:spacing w:after="60"/>
              <w:jc w:val="center"/>
              <w:rPr>
                <w:rFonts w:ascii="Verdana" w:hAnsi="Verdana"/>
                <w:b/>
                <w:bCs/>
                <w:color w:val="auto"/>
                <w:sz w:val="18"/>
                <w:szCs w:val="18"/>
              </w:rPr>
            </w:pPr>
            <w:hyperlink w:anchor="I03" w:history="1">
              <w:r w:rsidR="00F053C3" w:rsidRPr="5CB4B133">
                <w:rPr>
                  <w:rStyle w:val="Hyperlink"/>
                  <w:rFonts w:ascii="Verdana" w:hAnsi="Verdana"/>
                  <w:b/>
                  <w:bCs/>
                  <w:sz w:val="18"/>
                  <w:szCs w:val="18"/>
                </w:rPr>
                <w:t>I.3</w:t>
              </w:r>
            </w:hyperlink>
          </w:p>
        </w:tc>
        <w:tc>
          <w:tcPr>
            <w:tcW w:w="1059" w:type="dxa"/>
            <w:tcBorders>
              <w:top w:val="single" w:sz="4" w:space="0" w:color="4472C4" w:themeColor="accent5"/>
              <w:left w:val="single" w:sz="8" w:space="0" w:color="4F81BD"/>
              <w:bottom w:val="single" w:sz="8" w:space="0" w:color="4F81BD"/>
              <w:right w:val="single" w:sz="8" w:space="0" w:color="4F81BD"/>
            </w:tcBorders>
          </w:tcPr>
          <w:p w14:paraId="6F627BED" w14:textId="6F0098B1" w:rsidR="00F053C3" w:rsidRPr="00ED2A3A" w:rsidRDefault="00AA07F1" w:rsidP="002F2870">
            <w:pPr>
              <w:pStyle w:val="Default"/>
              <w:spacing w:after="60"/>
              <w:jc w:val="center"/>
              <w:rPr>
                <w:rFonts w:ascii="Verdana" w:hAnsi="Verdana"/>
                <w:b/>
                <w:bCs/>
                <w:color w:val="auto"/>
                <w:sz w:val="18"/>
                <w:szCs w:val="18"/>
              </w:rPr>
            </w:pPr>
            <w:hyperlink w:anchor="C24"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5</w:t>
            </w:r>
          </w:p>
        </w:tc>
        <w:tc>
          <w:tcPr>
            <w:tcW w:w="1334" w:type="dxa"/>
            <w:gridSpan w:val="2"/>
            <w:tcBorders>
              <w:top w:val="single" w:sz="4" w:space="0" w:color="4472C4" w:themeColor="accent5"/>
              <w:left w:val="single" w:sz="8" w:space="0" w:color="4F81BD"/>
              <w:bottom w:val="single" w:sz="8" w:space="0" w:color="4F81BD"/>
              <w:right w:val="single" w:sz="8" w:space="0" w:color="4F81BD"/>
            </w:tcBorders>
            <w:shd w:val="clear" w:color="auto" w:fill="auto"/>
          </w:tcPr>
          <w:p w14:paraId="30391ED9"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C.25</w:t>
            </w:r>
          </w:p>
        </w:tc>
        <w:tc>
          <w:tcPr>
            <w:tcW w:w="3621" w:type="dxa"/>
            <w:tcBorders>
              <w:top w:val="single" w:sz="4" w:space="0" w:color="4472C4" w:themeColor="accent5"/>
              <w:left w:val="single" w:sz="8" w:space="0" w:color="4F81BD"/>
              <w:bottom w:val="single" w:sz="8" w:space="0" w:color="4F81BD"/>
              <w:right w:val="single" w:sz="8" w:space="0" w:color="4F81BD"/>
            </w:tcBorders>
            <w:shd w:val="clear" w:color="auto" w:fill="auto"/>
          </w:tcPr>
          <w:p w14:paraId="1A61261A"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factor income</w:t>
            </w:r>
          </w:p>
        </w:tc>
      </w:tr>
      <w:tr w:rsidR="005873FC" w:rsidRPr="00ED2A3A" w14:paraId="49204AE4" w14:textId="77777777" w:rsidTr="240ABBB4">
        <w:tc>
          <w:tcPr>
            <w:tcW w:w="1901" w:type="dxa"/>
            <w:vMerge/>
            <w:tcBorders>
              <w:left w:val="single" w:sz="8" w:space="0" w:color="4F81BD"/>
              <w:right w:val="single" w:sz="8" w:space="0" w:color="4F81BD"/>
            </w:tcBorders>
          </w:tcPr>
          <w:p w14:paraId="3401B088"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nil"/>
              <w:right w:val="single" w:sz="8" w:space="0" w:color="4F81BD"/>
            </w:tcBorders>
          </w:tcPr>
          <w:p w14:paraId="3FDE203B" w14:textId="77777777" w:rsidR="00F053C3" w:rsidRDefault="00AA07F1" w:rsidP="5CB4B133">
            <w:pPr>
              <w:pStyle w:val="Default"/>
              <w:spacing w:after="60"/>
              <w:jc w:val="center"/>
              <w:rPr>
                <w:rFonts w:ascii="Verdana" w:hAnsi="Verdana"/>
                <w:b/>
                <w:bCs/>
                <w:color w:val="auto"/>
                <w:sz w:val="18"/>
                <w:szCs w:val="18"/>
              </w:rPr>
            </w:pPr>
            <w:hyperlink w:anchor="I02" w:history="1">
              <w:r w:rsidR="00161B7C" w:rsidRPr="5CB4B133">
                <w:rPr>
                  <w:rStyle w:val="Hyperlink"/>
                  <w:rFonts w:ascii="Verdana" w:hAnsi="Verdana"/>
                  <w:b/>
                  <w:bCs/>
                  <w:sz w:val="18"/>
                  <w:szCs w:val="18"/>
                </w:rPr>
                <w:t>I.2</w:t>
              </w:r>
            </w:hyperlink>
          </w:p>
        </w:tc>
        <w:tc>
          <w:tcPr>
            <w:tcW w:w="1059" w:type="dxa"/>
            <w:tcBorders>
              <w:top w:val="single" w:sz="8" w:space="0" w:color="4F81BD"/>
              <w:left w:val="single" w:sz="8" w:space="0" w:color="4F81BD"/>
              <w:bottom w:val="nil"/>
              <w:right w:val="single" w:sz="8" w:space="0" w:color="4F81BD"/>
            </w:tcBorders>
          </w:tcPr>
          <w:p w14:paraId="47875492" w14:textId="04EEB2BE" w:rsidR="00F053C3" w:rsidRPr="00ED2A3A" w:rsidRDefault="00AA07F1" w:rsidP="002F2870">
            <w:pPr>
              <w:pStyle w:val="Default"/>
              <w:spacing w:after="60"/>
              <w:jc w:val="center"/>
              <w:rPr>
                <w:rFonts w:ascii="Verdana" w:hAnsi="Verdana"/>
                <w:b/>
                <w:bCs/>
                <w:color w:val="auto"/>
                <w:sz w:val="18"/>
                <w:szCs w:val="18"/>
              </w:rPr>
            </w:pPr>
            <w:hyperlink w:anchor="C25"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6</w:t>
            </w:r>
          </w:p>
        </w:tc>
        <w:tc>
          <w:tcPr>
            <w:tcW w:w="1334" w:type="dxa"/>
            <w:gridSpan w:val="2"/>
            <w:tcBorders>
              <w:top w:val="single" w:sz="8" w:space="0" w:color="4F81BD"/>
              <w:left w:val="single" w:sz="8" w:space="0" w:color="4F81BD"/>
              <w:bottom w:val="nil"/>
              <w:right w:val="single" w:sz="8" w:space="0" w:color="4F81BD"/>
            </w:tcBorders>
            <w:shd w:val="clear" w:color="auto" w:fill="auto"/>
          </w:tcPr>
          <w:p w14:paraId="2DC4366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C.26</w:t>
            </w:r>
          </w:p>
        </w:tc>
        <w:tc>
          <w:tcPr>
            <w:tcW w:w="3621" w:type="dxa"/>
            <w:tcBorders>
              <w:top w:val="single" w:sz="8" w:space="0" w:color="4F81BD"/>
              <w:left w:val="single" w:sz="8" w:space="0" w:color="4F81BD"/>
              <w:bottom w:val="single" w:sz="8" w:space="0" w:color="4F81BD"/>
            </w:tcBorders>
            <w:shd w:val="clear" w:color="auto" w:fill="auto"/>
          </w:tcPr>
          <w:p w14:paraId="5B683E06" w14:textId="7812989A" w:rsidR="00F053C3" w:rsidRPr="00ED2A3A" w:rsidRDefault="00EC026F" w:rsidP="00FA7243">
            <w:pPr>
              <w:pStyle w:val="Default"/>
              <w:spacing w:after="60"/>
              <w:rPr>
                <w:rFonts w:ascii="Verdana" w:hAnsi="Verdana"/>
                <w:b/>
                <w:bCs/>
                <w:color w:val="auto"/>
                <w:sz w:val="18"/>
                <w:szCs w:val="18"/>
              </w:rPr>
            </w:pPr>
            <w:r>
              <w:rPr>
                <w:rFonts w:ascii="Verdana" w:hAnsi="Verdana"/>
                <w:color w:val="auto"/>
                <w:sz w:val="18"/>
                <w:szCs w:val="18"/>
              </w:rPr>
              <w:t>Comparison of agricultural income with non-agricultural labour costs</w:t>
            </w:r>
          </w:p>
        </w:tc>
      </w:tr>
      <w:tr w:rsidR="005873FC" w:rsidRPr="00ED2A3A" w14:paraId="2C54592E" w14:textId="77777777" w:rsidTr="240ABBB4">
        <w:tc>
          <w:tcPr>
            <w:tcW w:w="1901" w:type="dxa"/>
            <w:vMerge/>
            <w:tcBorders>
              <w:left w:val="single" w:sz="8" w:space="0" w:color="4F81BD"/>
            </w:tcBorders>
          </w:tcPr>
          <w:p w14:paraId="76E5D714"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tcBorders>
          </w:tcPr>
          <w:p w14:paraId="6A791AB1"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nil"/>
              <w:right w:val="single" w:sz="8" w:space="0" w:color="4F81BD"/>
            </w:tcBorders>
          </w:tcPr>
          <w:p w14:paraId="4301DF07" w14:textId="544BE0FD" w:rsidR="00F053C3" w:rsidRDefault="00AA07F1" w:rsidP="002F2870">
            <w:pPr>
              <w:pStyle w:val="Default"/>
              <w:spacing w:after="60"/>
              <w:jc w:val="center"/>
              <w:rPr>
                <w:rFonts w:ascii="Verdana" w:hAnsi="Verdana"/>
                <w:b/>
                <w:bCs/>
                <w:color w:val="auto"/>
                <w:sz w:val="18"/>
                <w:szCs w:val="18"/>
              </w:rPr>
            </w:pPr>
            <w:hyperlink w:anchor="C26"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7</w:t>
            </w:r>
          </w:p>
        </w:tc>
        <w:tc>
          <w:tcPr>
            <w:tcW w:w="1334" w:type="dxa"/>
            <w:gridSpan w:val="2"/>
            <w:tcBorders>
              <w:top w:val="single" w:sz="8" w:space="0" w:color="4F81BD"/>
              <w:left w:val="single" w:sz="8" w:space="0" w:color="4F81BD"/>
              <w:bottom w:val="nil"/>
              <w:right w:val="single" w:sz="8" w:space="0" w:color="4F81BD"/>
            </w:tcBorders>
            <w:shd w:val="clear" w:color="auto" w:fill="auto"/>
          </w:tcPr>
          <w:p w14:paraId="39D5EA82"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E924455" w14:textId="7C753A89" w:rsidR="00F053C3" w:rsidRDefault="00F053C3" w:rsidP="00EC12C5">
            <w:pPr>
              <w:pStyle w:val="Default"/>
              <w:spacing w:after="60"/>
              <w:rPr>
                <w:rFonts w:ascii="Verdana" w:hAnsi="Verdana"/>
                <w:color w:val="auto"/>
                <w:sz w:val="18"/>
                <w:szCs w:val="18"/>
              </w:rPr>
            </w:pPr>
            <w:r>
              <w:rPr>
                <w:rFonts w:ascii="Verdana" w:hAnsi="Verdana"/>
                <w:color w:val="auto"/>
                <w:sz w:val="18"/>
                <w:szCs w:val="18"/>
              </w:rPr>
              <w:t xml:space="preserve">Farm </w:t>
            </w:r>
            <w:r w:rsidR="00EC12C5">
              <w:rPr>
                <w:rFonts w:ascii="Verdana" w:hAnsi="Verdana"/>
                <w:color w:val="auto"/>
                <w:sz w:val="18"/>
                <w:szCs w:val="18"/>
              </w:rPr>
              <w:t>income</w:t>
            </w:r>
          </w:p>
        </w:tc>
      </w:tr>
      <w:tr w:rsidR="005873FC" w:rsidRPr="00ED2A3A" w14:paraId="3900B206" w14:textId="77777777" w:rsidTr="240ABBB4">
        <w:tc>
          <w:tcPr>
            <w:tcW w:w="1901" w:type="dxa"/>
            <w:vMerge/>
            <w:tcBorders>
              <w:left w:val="single" w:sz="8" w:space="0" w:color="4F81BD"/>
            </w:tcBorders>
          </w:tcPr>
          <w:p w14:paraId="3AEE0D8E"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598AE43D" w14:textId="77777777" w:rsidR="00F053C3" w:rsidRDefault="00AA07F1" w:rsidP="5CB4B133">
            <w:pPr>
              <w:pStyle w:val="Default"/>
              <w:spacing w:after="60"/>
              <w:jc w:val="center"/>
              <w:rPr>
                <w:rFonts w:ascii="Verdana" w:hAnsi="Verdana"/>
                <w:b/>
                <w:bCs/>
                <w:color w:val="auto"/>
                <w:sz w:val="18"/>
                <w:szCs w:val="18"/>
              </w:rPr>
            </w:pPr>
            <w:hyperlink w:anchor="I04" w:history="1">
              <w:r w:rsidR="00F053C3" w:rsidRPr="5CB4B133">
                <w:rPr>
                  <w:rStyle w:val="Hyperlink"/>
                  <w:rFonts w:ascii="Verdana" w:hAnsi="Verdana"/>
                  <w:b/>
                  <w:bCs/>
                  <w:sz w:val="18"/>
                  <w:szCs w:val="18"/>
                </w:rPr>
                <w:t>I.4</w:t>
              </w:r>
            </w:hyperlink>
          </w:p>
        </w:tc>
        <w:tc>
          <w:tcPr>
            <w:tcW w:w="1059" w:type="dxa"/>
            <w:tcBorders>
              <w:top w:val="nil"/>
              <w:left w:val="single" w:sz="8" w:space="0" w:color="4F81BD"/>
              <w:bottom w:val="nil"/>
              <w:right w:val="single" w:sz="8" w:space="0" w:color="4F81BD"/>
            </w:tcBorders>
          </w:tcPr>
          <w:p w14:paraId="4062E854"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2D77B522"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46CB24A"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type of farming</w:t>
            </w:r>
          </w:p>
        </w:tc>
      </w:tr>
      <w:tr w:rsidR="005873FC" w:rsidRPr="00ED2A3A" w14:paraId="0EEAE45A" w14:textId="77777777" w:rsidTr="240ABBB4">
        <w:tc>
          <w:tcPr>
            <w:tcW w:w="1901" w:type="dxa"/>
            <w:vMerge/>
            <w:tcBorders>
              <w:left w:val="single" w:sz="8" w:space="0" w:color="4F81BD"/>
            </w:tcBorders>
          </w:tcPr>
          <w:p w14:paraId="6ABA74A8"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0E1A4121" w14:textId="77777777" w:rsidR="00F053C3"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20413847"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0118B27F"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B84562E"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region</w:t>
            </w:r>
          </w:p>
        </w:tc>
      </w:tr>
      <w:tr w:rsidR="005873FC" w:rsidRPr="00ED2A3A" w14:paraId="7BB8A608" w14:textId="77777777" w:rsidTr="240ABBB4">
        <w:tc>
          <w:tcPr>
            <w:tcW w:w="1901" w:type="dxa"/>
            <w:vMerge/>
            <w:tcBorders>
              <w:left w:val="single" w:sz="8" w:space="0" w:color="4F81BD"/>
            </w:tcBorders>
          </w:tcPr>
          <w:p w14:paraId="6447142B"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tcBorders>
          </w:tcPr>
          <w:p w14:paraId="15DD920C" w14:textId="77777777" w:rsidR="00F053C3"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70389F0A"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473A23D1"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C7CD308"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by farm size</w:t>
            </w:r>
          </w:p>
        </w:tc>
      </w:tr>
      <w:tr w:rsidR="005873FC" w:rsidRPr="00ED2A3A" w14:paraId="773A9133" w14:textId="77777777" w:rsidTr="240ABBB4">
        <w:tc>
          <w:tcPr>
            <w:tcW w:w="1901" w:type="dxa"/>
            <w:vMerge/>
            <w:tcBorders>
              <w:left w:val="single" w:sz="8" w:space="0" w:color="4F81BD"/>
              <w:bottom w:val="single" w:sz="8" w:space="0" w:color="4F81BD"/>
            </w:tcBorders>
          </w:tcPr>
          <w:p w14:paraId="75C66FB9" w14:textId="77777777" w:rsidR="00F053C3" w:rsidRDefault="00F053C3" w:rsidP="00325330">
            <w:pPr>
              <w:pStyle w:val="Default"/>
              <w:spacing w:after="60"/>
              <w:rPr>
                <w:rFonts w:ascii="Verdana" w:hAnsi="Verdana"/>
                <w:b/>
                <w:color w:val="auto"/>
                <w:sz w:val="18"/>
                <w:szCs w:val="18"/>
              </w:rPr>
            </w:pPr>
          </w:p>
        </w:tc>
        <w:tc>
          <w:tcPr>
            <w:tcW w:w="1184" w:type="dxa"/>
            <w:tcBorders>
              <w:left w:val="single" w:sz="8" w:space="0" w:color="4F81BD"/>
              <w:bottom w:val="single" w:sz="8" w:space="0" w:color="4F81BD"/>
            </w:tcBorders>
          </w:tcPr>
          <w:p w14:paraId="58B8FEEC" w14:textId="77777777" w:rsidR="00F053C3" w:rsidRDefault="00AA07F1" w:rsidP="5CB4B133">
            <w:pPr>
              <w:pStyle w:val="Default"/>
              <w:spacing w:after="60"/>
              <w:jc w:val="center"/>
              <w:rPr>
                <w:rFonts w:ascii="Verdana" w:hAnsi="Verdana"/>
                <w:b/>
                <w:bCs/>
                <w:color w:val="auto"/>
                <w:sz w:val="18"/>
                <w:szCs w:val="18"/>
              </w:rPr>
            </w:pPr>
            <w:hyperlink w:anchor="I05" w:history="1">
              <w:r w:rsidR="00F053C3" w:rsidRPr="5CB4B133">
                <w:rPr>
                  <w:rStyle w:val="Hyperlink"/>
                  <w:rFonts w:ascii="Verdana" w:hAnsi="Verdana"/>
                  <w:b/>
                  <w:bCs/>
                  <w:sz w:val="18"/>
                  <w:szCs w:val="18"/>
                </w:rPr>
                <w:t>I.5</w:t>
              </w:r>
            </w:hyperlink>
          </w:p>
        </w:tc>
        <w:tc>
          <w:tcPr>
            <w:tcW w:w="1059" w:type="dxa"/>
            <w:tcBorders>
              <w:top w:val="nil"/>
              <w:left w:val="single" w:sz="8" w:space="0" w:color="4F81BD"/>
              <w:bottom w:val="single" w:sz="8" w:space="0" w:color="4F81BD"/>
              <w:right w:val="single" w:sz="8" w:space="0" w:color="4F81BD"/>
            </w:tcBorders>
          </w:tcPr>
          <w:p w14:paraId="4C18812B"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single" w:sz="8" w:space="0" w:color="4F81BD"/>
              <w:right w:val="single" w:sz="8" w:space="0" w:color="4F81BD"/>
            </w:tcBorders>
            <w:shd w:val="clear" w:color="auto" w:fill="auto"/>
          </w:tcPr>
          <w:p w14:paraId="63203BDD"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6A5870B" w14:textId="66FBF600" w:rsidR="00F053C3" w:rsidRDefault="00F053C3" w:rsidP="00FA7243">
            <w:pPr>
              <w:pStyle w:val="Default"/>
              <w:spacing w:after="60"/>
              <w:rPr>
                <w:rFonts w:ascii="Verdana" w:hAnsi="Verdana"/>
                <w:color w:val="auto"/>
                <w:sz w:val="18"/>
                <w:szCs w:val="18"/>
              </w:rPr>
            </w:pPr>
            <w:r>
              <w:rPr>
                <w:rFonts w:ascii="Verdana" w:hAnsi="Verdana"/>
                <w:color w:val="auto"/>
                <w:sz w:val="18"/>
                <w:szCs w:val="18"/>
              </w:rPr>
              <w:t xml:space="preserve">in </w:t>
            </w:r>
            <w:r w:rsidR="00C13871">
              <w:rPr>
                <w:rFonts w:ascii="Verdana" w:hAnsi="Verdana"/>
                <w:sz w:val="18"/>
                <w:szCs w:val="18"/>
              </w:rPr>
              <w:t>a</w:t>
            </w:r>
            <w:r w:rsidRPr="00ED2A3A">
              <w:rPr>
                <w:rFonts w:ascii="Verdana" w:hAnsi="Verdana"/>
                <w:sz w:val="18"/>
                <w:szCs w:val="18"/>
              </w:rPr>
              <w:t xml:space="preserve">reas facing natural and </w:t>
            </w:r>
            <w:r>
              <w:rPr>
                <w:rFonts w:ascii="Verdana" w:hAnsi="Verdana"/>
                <w:sz w:val="18"/>
                <w:szCs w:val="18"/>
              </w:rPr>
              <w:t>other specific constraints</w:t>
            </w:r>
          </w:p>
        </w:tc>
      </w:tr>
      <w:tr w:rsidR="005873FC" w:rsidRPr="00ED2A3A" w14:paraId="6F0DFB96" w14:textId="77777777" w:rsidTr="240ABBB4">
        <w:tc>
          <w:tcPr>
            <w:tcW w:w="1901" w:type="dxa"/>
            <w:tcBorders>
              <w:right w:val="single" w:sz="8" w:space="0" w:color="4F81BD"/>
            </w:tcBorders>
          </w:tcPr>
          <w:p w14:paraId="1CE15A6C" w14:textId="77777777" w:rsidR="00F053C3" w:rsidRDefault="00F053C3" w:rsidP="00FA7243">
            <w:pPr>
              <w:pStyle w:val="Default"/>
              <w:spacing w:after="60"/>
              <w:rPr>
                <w:rFonts w:ascii="Verdana" w:hAnsi="Verdana"/>
                <w:b/>
                <w:color w:val="auto"/>
                <w:sz w:val="18"/>
                <w:szCs w:val="18"/>
              </w:rPr>
            </w:pPr>
          </w:p>
        </w:tc>
        <w:tc>
          <w:tcPr>
            <w:tcW w:w="1184" w:type="dxa"/>
            <w:tcBorders>
              <w:right w:val="single" w:sz="8" w:space="0" w:color="4F81BD"/>
            </w:tcBorders>
          </w:tcPr>
          <w:p w14:paraId="0C56B5AF"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584A2E2" w14:textId="7E032C10" w:rsidR="00F053C3" w:rsidRPr="00ED2A3A" w:rsidRDefault="00AA07F1" w:rsidP="002F2870">
            <w:pPr>
              <w:pStyle w:val="Default"/>
              <w:spacing w:after="60"/>
              <w:jc w:val="center"/>
              <w:rPr>
                <w:rFonts w:ascii="Verdana" w:hAnsi="Verdana"/>
                <w:b/>
                <w:bCs/>
                <w:color w:val="auto"/>
                <w:sz w:val="18"/>
                <w:szCs w:val="18"/>
              </w:rPr>
            </w:pPr>
            <w:hyperlink w:anchor="C27"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8</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C69ADA9"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C.28</w:t>
            </w:r>
          </w:p>
        </w:tc>
        <w:tc>
          <w:tcPr>
            <w:tcW w:w="3621" w:type="dxa"/>
            <w:tcBorders>
              <w:top w:val="single" w:sz="8" w:space="0" w:color="4F81BD"/>
              <w:left w:val="single" w:sz="8" w:space="0" w:color="4F81BD"/>
              <w:bottom w:val="single" w:sz="8" w:space="0" w:color="4F81BD"/>
            </w:tcBorders>
            <w:shd w:val="clear" w:color="auto" w:fill="auto"/>
          </w:tcPr>
          <w:p w14:paraId="7D382C72"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Gross fixed capital formation in agriculture</w:t>
            </w:r>
          </w:p>
        </w:tc>
      </w:tr>
      <w:tr w:rsidR="005873FC" w:rsidRPr="00ED2A3A" w14:paraId="7884C9B0" w14:textId="77777777" w:rsidTr="240ABBB4">
        <w:tc>
          <w:tcPr>
            <w:tcW w:w="1901" w:type="dxa"/>
            <w:vMerge w:val="restart"/>
            <w:tcBorders>
              <w:top w:val="single" w:sz="8" w:space="0" w:color="4F81BD"/>
              <w:left w:val="single" w:sz="8" w:space="0" w:color="4F81BD"/>
            </w:tcBorders>
          </w:tcPr>
          <w:p w14:paraId="0679922C"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Agricultural productivity</w:t>
            </w:r>
          </w:p>
        </w:tc>
        <w:tc>
          <w:tcPr>
            <w:tcW w:w="1184" w:type="dxa"/>
            <w:tcBorders>
              <w:top w:val="single" w:sz="8" w:space="0" w:color="4F81BD"/>
              <w:left w:val="single" w:sz="8" w:space="0" w:color="4F81BD"/>
              <w:bottom w:val="single" w:sz="8" w:space="0" w:color="4F81BD"/>
            </w:tcBorders>
          </w:tcPr>
          <w:p w14:paraId="00E94C06" w14:textId="77777777" w:rsidR="00F053C3" w:rsidRDefault="00AA07F1" w:rsidP="5CB4B133">
            <w:pPr>
              <w:pStyle w:val="Default"/>
              <w:spacing w:after="60"/>
              <w:jc w:val="center"/>
              <w:rPr>
                <w:rFonts w:ascii="Verdana" w:hAnsi="Verdana"/>
                <w:b/>
                <w:bCs/>
                <w:color w:val="auto"/>
                <w:sz w:val="18"/>
                <w:szCs w:val="18"/>
              </w:rPr>
            </w:pPr>
            <w:hyperlink w:anchor="I06" w:history="1">
              <w:r w:rsidR="00F053C3" w:rsidRPr="5CB4B133">
                <w:rPr>
                  <w:rStyle w:val="Hyperlink"/>
                  <w:rFonts w:ascii="Verdana" w:hAnsi="Verdana"/>
                  <w:b/>
                  <w:bCs/>
                  <w:sz w:val="18"/>
                  <w:szCs w:val="18"/>
                </w:rPr>
                <w:t>I.6</w:t>
              </w:r>
            </w:hyperlink>
          </w:p>
        </w:tc>
        <w:tc>
          <w:tcPr>
            <w:tcW w:w="1059" w:type="dxa"/>
            <w:tcBorders>
              <w:top w:val="single" w:sz="8" w:space="0" w:color="4F81BD"/>
              <w:left w:val="single" w:sz="8" w:space="0" w:color="4F81BD"/>
              <w:bottom w:val="single" w:sz="8" w:space="0" w:color="4F81BD"/>
              <w:right w:val="single" w:sz="8" w:space="0" w:color="4F81BD"/>
            </w:tcBorders>
          </w:tcPr>
          <w:p w14:paraId="111631D6" w14:textId="5ABE6011" w:rsidR="00F053C3" w:rsidRPr="00ED2A3A" w:rsidRDefault="00AA07F1" w:rsidP="002F2870">
            <w:pPr>
              <w:pStyle w:val="Default"/>
              <w:spacing w:after="60"/>
              <w:jc w:val="center"/>
              <w:rPr>
                <w:rFonts w:ascii="Verdana" w:hAnsi="Verdana"/>
                <w:b/>
                <w:bCs/>
                <w:color w:val="auto"/>
                <w:sz w:val="18"/>
                <w:szCs w:val="18"/>
              </w:rPr>
            </w:pPr>
            <w:hyperlink w:anchor="C28" w:history="1">
              <w:r w:rsidR="00F053C3" w:rsidRPr="5CB4B133">
                <w:rPr>
                  <w:rStyle w:val="Hyperlink"/>
                  <w:rFonts w:ascii="Verdana" w:hAnsi="Verdana"/>
                  <w:b/>
                  <w:bCs/>
                  <w:sz w:val="18"/>
                  <w:szCs w:val="18"/>
                </w:rPr>
                <w:t>C.2</w:t>
              </w:r>
            </w:hyperlink>
            <w:r w:rsidR="002F2870">
              <w:rPr>
                <w:rStyle w:val="Hyperlink"/>
                <w:rFonts w:ascii="Verdana" w:hAnsi="Verdana"/>
                <w:b/>
                <w:bCs/>
                <w:sz w:val="18"/>
                <w:szCs w:val="18"/>
              </w:rPr>
              <w:t>9</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B82A64D"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C.27</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E32A8DB"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Total factor productivity in agriculture</w:t>
            </w:r>
          </w:p>
        </w:tc>
      </w:tr>
      <w:tr w:rsidR="005873FC" w:rsidRPr="00ED2A3A" w14:paraId="16EDCAD2" w14:textId="77777777" w:rsidTr="240ABBB4">
        <w:tc>
          <w:tcPr>
            <w:tcW w:w="1901" w:type="dxa"/>
            <w:vMerge/>
            <w:tcBorders>
              <w:left w:val="single" w:sz="8" w:space="0" w:color="4F81BD"/>
            </w:tcBorders>
          </w:tcPr>
          <w:p w14:paraId="193A4B5E"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nil"/>
            </w:tcBorders>
          </w:tcPr>
          <w:p w14:paraId="6C6A1450"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nil"/>
              <w:right w:val="single" w:sz="8" w:space="0" w:color="4F81BD"/>
            </w:tcBorders>
          </w:tcPr>
          <w:p w14:paraId="3C9A1F9F" w14:textId="54784890" w:rsidR="00F053C3" w:rsidRDefault="00AA07F1" w:rsidP="002F2870">
            <w:pPr>
              <w:pStyle w:val="Default"/>
              <w:spacing w:after="60"/>
              <w:jc w:val="center"/>
              <w:rPr>
                <w:rFonts w:ascii="Verdana" w:hAnsi="Verdana"/>
                <w:b/>
                <w:bCs/>
                <w:color w:val="auto"/>
                <w:sz w:val="18"/>
                <w:szCs w:val="18"/>
              </w:rPr>
            </w:pPr>
            <w:hyperlink w:anchor="C29" w:history="1">
              <w:r w:rsidR="00F053C3" w:rsidRPr="5CB4B133">
                <w:rPr>
                  <w:rStyle w:val="Hyperlink"/>
                  <w:rFonts w:ascii="Verdana" w:hAnsi="Verdana"/>
                  <w:b/>
                  <w:bCs/>
                  <w:sz w:val="18"/>
                  <w:szCs w:val="18"/>
                </w:rPr>
                <w:t>C.</w:t>
              </w:r>
              <w:r w:rsidR="002F2870">
                <w:rPr>
                  <w:rStyle w:val="Hyperlink"/>
                  <w:rFonts w:ascii="Verdana" w:hAnsi="Verdana"/>
                  <w:b/>
                  <w:bCs/>
                  <w:sz w:val="18"/>
                  <w:szCs w:val="18"/>
                </w:rPr>
                <w:t>30</w:t>
              </w:r>
            </w:hyperlink>
          </w:p>
        </w:tc>
        <w:tc>
          <w:tcPr>
            <w:tcW w:w="1334" w:type="dxa"/>
            <w:gridSpan w:val="2"/>
            <w:tcBorders>
              <w:top w:val="single" w:sz="8" w:space="0" w:color="4F81BD"/>
              <w:left w:val="single" w:sz="8" w:space="0" w:color="4F81BD"/>
              <w:bottom w:val="nil"/>
              <w:right w:val="single" w:sz="8" w:space="0" w:color="4F81BD"/>
            </w:tcBorders>
            <w:shd w:val="clear" w:color="auto" w:fill="auto"/>
          </w:tcPr>
          <w:p w14:paraId="7FBBF997" w14:textId="77777777" w:rsidR="00F053C3" w:rsidRPr="00ED2A3A"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9630619" w14:textId="77777777" w:rsidR="00F053C3" w:rsidRPr="00ED2A3A" w:rsidRDefault="00F053C3" w:rsidP="00FA7243">
            <w:pPr>
              <w:pStyle w:val="Default"/>
              <w:spacing w:after="60"/>
              <w:rPr>
                <w:rFonts w:ascii="Verdana" w:hAnsi="Verdana"/>
                <w:color w:val="auto"/>
                <w:sz w:val="18"/>
                <w:szCs w:val="18"/>
              </w:rPr>
            </w:pPr>
            <w:r>
              <w:rPr>
                <w:rFonts w:ascii="Verdana" w:hAnsi="Verdana"/>
                <w:color w:val="auto"/>
                <w:sz w:val="18"/>
                <w:szCs w:val="18"/>
              </w:rPr>
              <w:t>Labour productivity</w:t>
            </w:r>
          </w:p>
        </w:tc>
      </w:tr>
      <w:tr w:rsidR="005873FC" w:rsidRPr="00ED2A3A" w14:paraId="037E3D54" w14:textId="77777777" w:rsidTr="240ABBB4">
        <w:tc>
          <w:tcPr>
            <w:tcW w:w="1901" w:type="dxa"/>
            <w:vMerge/>
            <w:tcBorders>
              <w:left w:val="single" w:sz="8" w:space="0" w:color="4F81BD"/>
              <w:right w:val="single" w:sz="8" w:space="0" w:color="4F81BD"/>
            </w:tcBorders>
          </w:tcPr>
          <w:p w14:paraId="3B8A96AF" w14:textId="77777777" w:rsidR="00F053C3" w:rsidRPr="00ED2A3A"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nil"/>
              <w:right w:val="single" w:sz="8" w:space="0" w:color="4F81BD"/>
            </w:tcBorders>
          </w:tcPr>
          <w:p w14:paraId="4EC37A7C" w14:textId="77777777" w:rsidR="00F053C3" w:rsidRPr="00ED2A3A"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3C3EC8C1" w14:textId="77777777" w:rsidR="00F053C3" w:rsidRPr="00ED2A3A"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4FA8688F"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C.14</w:t>
            </w:r>
          </w:p>
        </w:tc>
        <w:tc>
          <w:tcPr>
            <w:tcW w:w="3621" w:type="dxa"/>
            <w:tcBorders>
              <w:top w:val="single" w:sz="8" w:space="0" w:color="4F81BD"/>
              <w:left w:val="single" w:sz="8" w:space="0" w:color="4F81BD"/>
              <w:bottom w:val="single" w:sz="8" w:space="0" w:color="4F81BD"/>
            </w:tcBorders>
            <w:shd w:val="clear" w:color="auto" w:fill="auto"/>
          </w:tcPr>
          <w:p w14:paraId="0AC004A1"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in agriculture</w:t>
            </w:r>
          </w:p>
        </w:tc>
      </w:tr>
      <w:tr w:rsidR="005873FC" w:rsidRPr="00ED2A3A" w14:paraId="0F712970" w14:textId="77777777" w:rsidTr="240ABBB4">
        <w:tc>
          <w:tcPr>
            <w:tcW w:w="1901" w:type="dxa"/>
            <w:vMerge/>
            <w:tcBorders>
              <w:left w:val="single" w:sz="8" w:space="0" w:color="4F81BD"/>
            </w:tcBorders>
          </w:tcPr>
          <w:p w14:paraId="1D0372C5" w14:textId="77777777" w:rsidR="00F053C3" w:rsidRPr="00ED2A3A"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nil"/>
            </w:tcBorders>
          </w:tcPr>
          <w:p w14:paraId="2856AC56" w14:textId="77777777" w:rsidR="00F053C3" w:rsidRPr="00ED2A3A"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nil"/>
              <w:right w:val="single" w:sz="8" w:space="0" w:color="4F81BD"/>
            </w:tcBorders>
          </w:tcPr>
          <w:p w14:paraId="201E1EA2" w14:textId="77777777" w:rsidR="00F053C3" w:rsidRPr="00ED2A3A"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3E89F9F4"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C.15</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E46DBF5"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in forestry</w:t>
            </w:r>
          </w:p>
        </w:tc>
      </w:tr>
      <w:tr w:rsidR="005873FC" w:rsidRPr="00ED2A3A" w14:paraId="0BC7B48C" w14:textId="77777777" w:rsidTr="240ABBB4">
        <w:tc>
          <w:tcPr>
            <w:tcW w:w="1901" w:type="dxa"/>
            <w:vMerge/>
            <w:tcBorders>
              <w:left w:val="single" w:sz="8" w:space="0" w:color="4F81BD"/>
              <w:right w:val="single" w:sz="8" w:space="0" w:color="4F81BD"/>
            </w:tcBorders>
          </w:tcPr>
          <w:p w14:paraId="034F6297" w14:textId="77777777" w:rsidR="00F053C3" w:rsidRPr="00ED2A3A"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single" w:sz="8" w:space="0" w:color="4F81BD"/>
              <w:right w:val="single" w:sz="8" w:space="0" w:color="4F81BD"/>
            </w:tcBorders>
          </w:tcPr>
          <w:p w14:paraId="1785F77A" w14:textId="77777777" w:rsidR="00F053C3" w:rsidRPr="00ED2A3A" w:rsidRDefault="00F053C3" w:rsidP="00FA7243">
            <w:pPr>
              <w:pStyle w:val="Default"/>
              <w:spacing w:after="60"/>
              <w:jc w:val="center"/>
              <w:rPr>
                <w:rFonts w:ascii="Verdana" w:hAnsi="Verdana"/>
                <w:b/>
                <w:color w:val="auto"/>
                <w:sz w:val="18"/>
                <w:szCs w:val="18"/>
              </w:rPr>
            </w:pPr>
          </w:p>
        </w:tc>
        <w:tc>
          <w:tcPr>
            <w:tcW w:w="1059" w:type="dxa"/>
            <w:tcBorders>
              <w:top w:val="nil"/>
              <w:left w:val="single" w:sz="8" w:space="0" w:color="4F81BD"/>
              <w:bottom w:val="single" w:sz="8" w:space="0" w:color="4F81BD"/>
              <w:right w:val="single" w:sz="8" w:space="0" w:color="4F81BD"/>
            </w:tcBorders>
          </w:tcPr>
          <w:p w14:paraId="0973B4C7" w14:textId="77777777" w:rsidR="00F053C3" w:rsidRPr="00ED2A3A"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single" w:sz="8" w:space="0" w:color="4F81BD"/>
              <w:right w:val="single" w:sz="8" w:space="0" w:color="4F81BD"/>
            </w:tcBorders>
            <w:shd w:val="clear" w:color="auto" w:fill="auto"/>
          </w:tcPr>
          <w:p w14:paraId="36EAFC4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C.16</w:t>
            </w:r>
          </w:p>
        </w:tc>
        <w:tc>
          <w:tcPr>
            <w:tcW w:w="3621" w:type="dxa"/>
            <w:tcBorders>
              <w:top w:val="single" w:sz="8" w:space="0" w:color="4F81BD"/>
              <w:left w:val="single" w:sz="8" w:space="0" w:color="4F81BD"/>
              <w:bottom w:val="single" w:sz="8" w:space="0" w:color="4F81BD"/>
            </w:tcBorders>
            <w:shd w:val="clear" w:color="auto" w:fill="auto"/>
          </w:tcPr>
          <w:p w14:paraId="6FDCFC4B"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in the food industry</w:t>
            </w:r>
          </w:p>
        </w:tc>
      </w:tr>
      <w:tr w:rsidR="005873FC" w:rsidRPr="00ED2A3A" w14:paraId="3D6E0325" w14:textId="77777777" w:rsidTr="240ABBB4">
        <w:tc>
          <w:tcPr>
            <w:tcW w:w="1901" w:type="dxa"/>
            <w:tcBorders>
              <w:top w:val="single" w:sz="8" w:space="0" w:color="4F81BD"/>
              <w:left w:val="single" w:sz="8" w:space="0" w:color="4F81BD"/>
              <w:bottom w:val="single" w:sz="8" w:space="0" w:color="4F81BD"/>
            </w:tcBorders>
          </w:tcPr>
          <w:p w14:paraId="07661689"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Agricultural trade</w:t>
            </w:r>
          </w:p>
        </w:tc>
        <w:tc>
          <w:tcPr>
            <w:tcW w:w="1184" w:type="dxa"/>
            <w:tcBorders>
              <w:top w:val="single" w:sz="8" w:space="0" w:color="4F81BD"/>
              <w:left w:val="single" w:sz="8" w:space="0" w:color="4F81BD"/>
              <w:bottom w:val="single" w:sz="8" w:space="0" w:color="4F81BD"/>
            </w:tcBorders>
          </w:tcPr>
          <w:p w14:paraId="727B37AB" w14:textId="77777777" w:rsidR="00F053C3" w:rsidRDefault="00AA07F1" w:rsidP="5CB4B133">
            <w:pPr>
              <w:pStyle w:val="Default"/>
              <w:spacing w:after="60"/>
              <w:jc w:val="center"/>
              <w:rPr>
                <w:rFonts w:ascii="Verdana" w:hAnsi="Verdana"/>
                <w:b/>
                <w:bCs/>
                <w:color w:val="auto"/>
                <w:sz w:val="18"/>
                <w:szCs w:val="18"/>
              </w:rPr>
            </w:pPr>
            <w:hyperlink w:anchor="I07" w:history="1">
              <w:r w:rsidR="00F053C3" w:rsidRPr="5CB4B133">
                <w:rPr>
                  <w:rStyle w:val="Hyperlink"/>
                  <w:rFonts w:ascii="Verdana" w:hAnsi="Verdana"/>
                  <w:b/>
                  <w:bCs/>
                  <w:sz w:val="18"/>
                  <w:szCs w:val="18"/>
                </w:rPr>
                <w:t>I.7</w:t>
              </w:r>
            </w:hyperlink>
          </w:p>
        </w:tc>
        <w:tc>
          <w:tcPr>
            <w:tcW w:w="1059" w:type="dxa"/>
            <w:tcBorders>
              <w:top w:val="single" w:sz="8" w:space="0" w:color="4F81BD"/>
              <w:left w:val="single" w:sz="8" w:space="0" w:color="4F81BD"/>
              <w:bottom w:val="single" w:sz="8" w:space="0" w:color="4F81BD"/>
              <w:right w:val="single" w:sz="8" w:space="0" w:color="4F81BD"/>
            </w:tcBorders>
          </w:tcPr>
          <w:p w14:paraId="7C139A45" w14:textId="258494BB" w:rsidR="00F053C3" w:rsidRDefault="00AA07F1" w:rsidP="002F2870">
            <w:pPr>
              <w:pStyle w:val="Default"/>
              <w:spacing w:after="60"/>
              <w:jc w:val="center"/>
              <w:rPr>
                <w:rFonts w:ascii="Verdana" w:hAnsi="Verdana"/>
                <w:b/>
                <w:bCs/>
                <w:color w:val="auto"/>
                <w:sz w:val="18"/>
                <w:szCs w:val="18"/>
              </w:rPr>
            </w:pPr>
            <w:hyperlink w:anchor="C30" w:history="1">
              <w:r w:rsidR="00F053C3" w:rsidRPr="5CB4B133">
                <w:rPr>
                  <w:rStyle w:val="Hyperlink"/>
                  <w:rFonts w:ascii="Verdana" w:hAnsi="Verdana"/>
                  <w:b/>
                  <w:bCs/>
                  <w:sz w:val="18"/>
                  <w:szCs w:val="18"/>
                </w:rPr>
                <w:t>C.3</w:t>
              </w:r>
            </w:hyperlink>
            <w:r w:rsidR="002F2870">
              <w:rPr>
                <w:rStyle w:val="Hyperlink"/>
                <w:rFonts w:ascii="Verdana" w:hAnsi="Verdana"/>
                <w:b/>
                <w:bCs/>
                <w:sz w:val="18"/>
                <w:szCs w:val="18"/>
              </w:rPr>
              <w:t>1</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71252B6"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I.06</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4FBDD85" w14:textId="33B5A704" w:rsidR="00F053C3" w:rsidRDefault="00F053C3" w:rsidP="00FA7243">
            <w:pPr>
              <w:pStyle w:val="Default"/>
              <w:spacing w:after="60"/>
              <w:rPr>
                <w:rFonts w:ascii="Verdana" w:hAnsi="Verdana"/>
                <w:color w:val="auto"/>
                <w:sz w:val="18"/>
                <w:szCs w:val="18"/>
              </w:rPr>
            </w:pPr>
            <w:r>
              <w:rPr>
                <w:rFonts w:ascii="Verdana" w:hAnsi="Verdana"/>
                <w:color w:val="auto"/>
                <w:sz w:val="18"/>
                <w:szCs w:val="18"/>
              </w:rPr>
              <w:t>Agricultural imports and exports</w:t>
            </w:r>
          </w:p>
        </w:tc>
      </w:tr>
      <w:tr w:rsidR="005873FC" w:rsidRPr="00ED2A3A" w14:paraId="7B22D844" w14:textId="77777777" w:rsidTr="240ABBB4">
        <w:tc>
          <w:tcPr>
            <w:tcW w:w="1901" w:type="dxa"/>
            <w:tcBorders>
              <w:right w:val="single" w:sz="8" w:space="0" w:color="4F81BD"/>
            </w:tcBorders>
          </w:tcPr>
          <w:p w14:paraId="407B7563"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Other gainful activities</w:t>
            </w:r>
          </w:p>
        </w:tc>
        <w:tc>
          <w:tcPr>
            <w:tcW w:w="1184" w:type="dxa"/>
            <w:tcBorders>
              <w:bottom w:val="single" w:sz="8" w:space="0" w:color="4F81BD"/>
              <w:right w:val="single" w:sz="8" w:space="0" w:color="4F81BD"/>
            </w:tcBorders>
          </w:tcPr>
          <w:p w14:paraId="5B5333BA"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21F43B77" w14:textId="6A4A8A4B" w:rsidR="00F053C3" w:rsidRPr="00ED2A3A" w:rsidRDefault="00AA07F1" w:rsidP="002F2870">
            <w:pPr>
              <w:pStyle w:val="Default"/>
              <w:spacing w:after="60"/>
              <w:jc w:val="center"/>
              <w:rPr>
                <w:rFonts w:ascii="Verdana" w:hAnsi="Verdana"/>
                <w:b/>
                <w:bCs/>
                <w:color w:val="auto"/>
                <w:sz w:val="18"/>
                <w:szCs w:val="18"/>
              </w:rPr>
            </w:pPr>
            <w:hyperlink w:anchor="C31" w:history="1">
              <w:r w:rsidR="00F053C3" w:rsidRPr="5CB4B133">
                <w:rPr>
                  <w:rStyle w:val="Hyperlink"/>
                  <w:rFonts w:ascii="Verdana" w:hAnsi="Verdana"/>
                  <w:b/>
                  <w:bCs/>
                  <w:sz w:val="18"/>
                  <w:szCs w:val="18"/>
                </w:rPr>
                <w:t>C.3</w:t>
              </w:r>
              <w:r w:rsidR="002F2870">
                <w:rPr>
                  <w:rStyle w:val="Hyperlink"/>
                  <w:rFonts w:ascii="Verdana" w:hAnsi="Verdana"/>
                  <w:b/>
                  <w:bCs/>
                  <w:sz w:val="18"/>
                  <w:szCs w:val="18"/>
                </w:rPr>
                <w:t>2</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19A165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C.30</w:t>
            </w:r>
          </w:p>
        </w:tc>
        <w:tc>
          <w:tcPr>
            <w:tcW w:w="3621" w:type="dxa"/>
            <w:tcBorders>
              <w:top w:val="single" w:sz="8" w:space="0" w:color="4F81BD"/>
              <w:left w:val="single" w:sz="8" w:space="0" w:color="4F81BD"/>
              <w:bottom w:val="single" w:sz="8" w:space="0" w:color="4F81BD"/>
            </w:tcBorders>
            <w:shd w:val="clear" w:color="auto" w:fill="auto"/>
          </w:tcPr>
          <w:p w14:paraId="7F585787"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Tourism infrastructure</w:t>
            </w:r>
          </w:p>
        </w:tc>
      </w:tr>
      <w:tr w:rsidR="005873FC" w:rsidRPr="00ED2A3A" w14:paraId="425D2C13" w14:textId="77777777" w:rsidTr="240ABBB4">
        <w:tc>
          <w:tcPr>
            <w:tcW w:w="1901" w:type="dxa"/>
            <w:vMerge w:val="restart"/>
            <w:tcBorders>
              <w:top w:val="single" w:sz="8" w:space="0" w:color="4F81BD"/>
              <w:left w:val="single" w:sz="8" w:space="0" w:color="4F81BD"/>
            </w:tcBorders>
          </w:tcPr>
          <w:p w14:paraId="02CF9D3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Farming practices</w:t>
            </w:r>
          </w:p>
        </w:tc>
        <w:tc>
          <w:tcPr>
            <w:tcW w:w="1184" w:type="dxa"/>
            <w:tcBorders>
              <w:top w:val="single" w:sz="8" w:space="0" w:color="4F81BD"/>
              <w:left w:val="single" w:sz="8" w:space="0" w:color="4F81BD"/>
              <w:bottom w:val="single" w:sz="8" w:space="0" w:color="4F81BD"/>
            </w:tcBorders>
          </w:tcPr>
          <w:p w14:paraId="71CF3233" w14:textId="48A86092" w:rsidR="00F053C3" w:rsidRDefault="00F053C3" w:rsidP="00CA7C12">
            <w:pPr>
              <w:pStyle w:val="Default"/>
              <w:spacing w:after="60"/>
              <w:jc w:val="center"/>
              <w:rPr>
                <w:rFonts w:ascii="Verdana" w:hAnsi="Verdana"/>
                <w:b/>
                <w:bCs/>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34C5CBF6" w14:textId="7E8DAE81" w:rsidR="00F053C3" w:rsidRPr="00ED2A3A" w:rsidRDefault="00AA07F1" w:rsidP="002F2870">
            <w:pPr>
              <w:pStyle w:val="Default"/>
              <w:spacing w:after="60"/>
              <w:jc w:val="center"/>
              <w:rPr>
                <w:rFonts w:ascii="Verdana" w:hAnsi="Verdana"/>
                <w:b/>
                <w:bCs/>
                <w:color w:val="auto"/>
                <w:sz w:val="18"/>
                <w:szCs w:val="18"/>
              </w:rPr>
            </w:pPr>
            <w:hyperlink w:anchor="C32" w:history="1">
              <w:r w:rsidR="00F053C3" w:rsidRPr="5CB4B133">
                <w:rPr>
                  <w:rStyle w:val="Hyperlink"/>
                  <w:rFonts w:ascii="Verdana" w:hAnsi="Verdana"/>
                  <w:b/>
                  <w:bCs/>
                  <w:sz w:val="18"/>
                  <w:szCs w:val="18"/>
                </w:rPr>
                <w:t>C.3</w:t>
              </w:r>
              <w:r w:rsidR="002F2870">
                <w:rPr>
                  <w:rStyle w:val="Hyperlink"/>
                  <w:rFonts w:ascii="Verdana" w:hAnsi="Verdana"/>
                  <w:b/>
                  <w:bCs/>
                  <w:sz w:val="18"/>
                  <w:szCs w:val="18"/>
                </w:rPr>
                <w:t>3</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232E6978"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C.19</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690F6E9"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Agricultural area under organic farming</w:t>
            </w:r>
          </w:p>
        </w:tc>
      </w:tr>
      <w:tr w:rsidR="005873FC" w:rsidRPr="00ED2A3A" w14:paraId="17BC3A21" w14:textId="77777777" w:rsidTr="240ABBB4">
        <w:tc>
          <w:tcPr>
            <w:tcW w:w="1901" w:type="dxa"/>
            <w:vMerge/>
            <w:tcBorders>
              <w:left w:val="single" w:sz="8" w:space="0" w:color="4F81BD"/>
              <w:right w:val="single" w:sz="8" w:space="0" w:color="4F81BD"/>
            </w:tcBorders>
          </w:tcPr>
          <w:p w14:paraId="0B70B02B"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right w:val="single" w:sz="8" w:space="0" w:color="4F81BD"/>
            </w:tcBorders>
          </w:tcPr>
          <w:p w14:paraId="7D231E3C"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474BE1FA" w14:textId="1C6C9987" w:rsidR="00F053C3" w:rsidRPr="00ED2A3A" w:rsidRDefault="00AA07F1" w:rsidP="002F2870">
            <w:pPr>
              <w:pStyle w:val="Default"/>
              <w:spacing w:after="60"/>
              <w:jc w:val="center"/>
              <w:rPr>
                <w:rFonts w:ascii="Verdana" w:hAnsi="Verdana"/>
                <w:b/>
                <w:bCs/>
                <w:color w:val="auto"/>
                <w:sz w:val="18"/>
                <w:szCs w:val="18"/>
              </w:rPr>
            </w:pPr>
            <w:hyperlink w:anchor="C33" w:history="1">
              <w:r w:rsidR="00F053C3" w:rsidRPr="5CB4B133">
                <w:rPr>
                  <w:rStyle w:val="Hyperlink"/>
                  <w:rFonts w:ascii="Verdana" w:hAnsi="Verdana"/>
                  <w:b/>
                  <w:bCs/>
                  <w:sz w:val="18"/>
                  <w:szCs w:val="18"/>
                </w:rPr>
                <w:t>C.3</w:t>
              </w:r>
              <w:r w:rsidR="002F2870">
                <w:rPr>
                  <w:rStyle w:val="Hyperlink"/>
                  <w:rFonts w:ascii="Verdana" w:hAnsi="Verdana"/>
                  <w:b/>
                  <w:bCs/>
                  <w:sz w:val="18"/>
                  <w:szCs w:val="18"/>
                </w:rPr>
                <w:t>4</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529092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C.33</w:t>
            </w:r>
          </w:p>
        </w:tc>
        <w:tc>
          <w:tcPr>
            <w:tcW w:w="3621" w:type="dxa"/>
            <w:tcBorders>
              <w:top w:val="single" w:sz="8" w:space="0" w:color="4F81BD"/>
              <w:left w:val="single" w:sz="8" w:space="0" w:color="4F81BD"/>
              <w:bottom w:val="single" w:sz="8" w:space="0" w:color="4F81BD"/>
            </w:tcBorders>
            <w:shd w:val="clear" w:color="auto" w:fill="auto"/>
          </w:tcPr>
          <w:p w14:paraId="525165D3"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Farming intensity</w:t>
            </w:r>
          </w:p>
        </w:tc>
      </w:tr>
      <w:tr w:rsidR="005873FC" w:rsidRPr="00ED2A3A" w14:paraId="6DEAEB9E" w14:textId="77777777" w:rsidTr="240ABBB4">
        <w:tc>
          <w:tcPr>
            <w:tcW w:w="1901" w:type="dxa"/>
            <w:vMerge/>
            <w:tcBorders>
              <w:left w:val="single" w:sz="8" w:space="0" w:color="4F81BD"/>
              <w:bottom w:val="single" w:sz="8" w:space="0" w:color="4F81BD"/>
            </w:tcBorders>
          </w:tcPr>
          <w:p w14:paraId="2B0EBBBD"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6F44FA87" w14:textId="0D4AA3E4" w:rsidR="00F053C3" w:rsidRDefault="00AA07F1" w:rsidP="003C473C">
            <w:pPr>
              <w:pStyle w:val="Default"/>
              <w:spacing w:after="60"/>
              <w:jc w:val="center"/>
              <w:rPr>
                <w:rFonts w:ascii="Verdana" w:hAnsi="Verdana"/>
                <w:b/>
                <w:bCs/>
                <w:color w:val="auto"/>
                <w:sz w:val="18"/>
                <w:szCs w:val="18"/>
              </w:rPr>
            </w:pPr>
            <w:hyperlink w:anchor="I28" w:history="1">
              <w:r w:rsidR="003C473C" w:rsidRPr="5CB4B133">
                <w:rPr>
                  <w:rStyle w:val="Hyperlink"/>
                  <w:rFonts w:ascii="Verdana" w:hAnsi="Verdana"/>
                  <w:b/>
                  <w:bCs/>
                  <w:sz w:val="18"/>
                  <w:szCs w:val="18"/>
                </w:rPr>
                <w:t>I.2</w:t>
              </w:r>
              <w:r w:rsidR="003C473C">
                <w:rPr>
                  <w:rStyle w:val="Hyperlink"/>
                  <w:rFonts w:ascii="Verdana" w:hAnsi="Verdana"/>
                  <w:b/>
                  <w:bCs/>
                  <w:sz w:val="18"/>
                  <w:szCs w:val="18"/>
                </w:rPr>
                <w:t>9</w:t>
              </w:r>
            </w:hyperlink>
          </w:p>
        </w:tc>
        <w:tc>
          <w:tcPr>
            <w:tcW w:w="1059" w:type="dxa"/>
            <w:tcBorders>
              <w:top w:val="single" w:sz="8" w:space="0" w:color="4F81BD"/>
              <w:left w:val="single" w:sz="8" w:space="0" w:color="4F81BD"/>
              <w:bottom w:val="single" w:sz="8" w:space="0" w:color="4F81BD"/>
              <w:right w:val="single" w:sz="8" w:space="0" w:color="4F81BD"/>
            </w:tcBorders>
          </w:tcPr>
          <w:p w14:paraId="444C0813" w14:textId="037E1F20" w:rsidR="00F053C3" w:rsidRDefault="00AA07F1" w:rsidP="002F2870">
            <w:pPr>
              <w:pStyle w:val="Default"/>
              <w:spacing w:after="60"/>
              <w:jc w:val="center"/>
              <w:rPr>
                <w:rFonts w:ascii="Verdana" w:hAnsi="Verdana"/>
                <w:b/>
                <w:bCs/>
                <w:color w:val="auto"/>
                <w:sz w:val="18"/>
                <w:szCs w:val="18"/>
              </w:rPr>
            </w:pPr>
            <w:hyperlink w:anchor="C34" w:history="1">
              <w:r w:rsidR="00F053C3" w:rsidRPr="5CB4B133">
                <w:rPr>
                  <w:rStyle w:val="Hyperlink"/>
                  <w:rFonts w:ascii="Verdana" w:hAnsi="Verdana"/>
                  <w:b/>
                  <w:bCs/>
                  <w:sz w:val="18"/>
                  <w:szCs w:val="18"/>
                </w:rPr>
                <w:t>C.3</w:t>
              </w:r>
              <w:r w:rsidR="002F2870">
                <w:rPr>
                  <w:rStyle w:val="Hyperlink"/>
                  <w:rFonts w:ascii="Verdana" w:hAnsi="Verdana"/>
                  <w:b/>
                  <w:bCs/>
                  <w:sz w:val="18"/>
                  <w:szCs w:val="18"/>
                </w:rPr>
                <w:t>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3DEA4A2"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R.09_PI</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F5EAB9F" w14:textId="41A842F8" w:rsidR="00F053C3" w:rsidRDefault="00F053C3" w:rsidP="00C13871">
            <w:pPr>
              <w:pStyle w:val="Default"/>
              <w:spacing w:after="60"/>
              <w:rPr>
                <w:rFonts w:ascii="Verdana" w:hAnsi="Verdana"/>
                <w:color w:val="auto"/>
                <w:sz w:val="18"/>
                <w:szCs w:val="18"/>
              </w:rPr>
            </w:pPr>
            <w:r>
              <w:rPr>
                <w:rFonts w:ascii="Verdana" w:hAnsi="Verdana"/>
                <w:color w:val="auto"/>
                <w:sz w:val="18"/>
                <w:szCs w:val="18"/>
              </w:rPr>
              <w:t xml:space="preserve">Value of production under </w:t>
            </w:r>
            <w:r w:rsidR="00C13871">
              <w:rPr>
                <w:rFonts w:ascii="Verdana" w:hAnsi="Verdana"/>
                <w:color w:val="auto"/>
                <w:sz w:val="18"/>
                <w:szCs w:val="18"/>
              </w:rPr>
              <w:t xml:space="preserve">Union </w:t>
            </w:r>
            <w:r>
              <w:rPr>
                <w:rFonts w:ascii="Verdana" w:hAnsi="Verdana"/>
                <w:color w:val="auto"/>
                <w:sz w:val="18"/>
                <w:szCs w:val="18"/>
              </w:rPr>
              <w:t>quality schemes</w:t>
            </w:r>
            <w:r w:rsidR="00CE3685">
              <w:rPr>
                <w:rFonts w:ascii="Verdana" w:hAnsi="Verdana"/>
                <w:color w:val="auto"/>
                <w:sz w:val="18"/>
                <w:szCs w:val="18"/>
              </w:rPr>
              <w:t xml:space="preserve"> and </w:t>
            </w:r>
            <w:r w:rsidR="00C13871">
              <w:rPr>
                <w:rFonts w:ascii="Verdana" w:hAnsi="Verdana"/>
                <w:color w:val="auto"/>
                <w:sz w:val="18"/>
                <w:szCs w:val="18"/>
              </w:rPr>
              <w:t xml:space="preserve">of </w:t>
            </w:r>
            <w:r w:rsidR="00CE3685">
              <w:rPr>
                <w:rFonts w:ascii="Verdana" w:hAnsi="Verdana"/>
                <w:color w:val="auto"/>
                <w:sz w:val="18"/>
                <w:szCs w:val="18"/>
              </w:rPr>
              <w:t>organic</w:t>
            </w:r>
            <w:r w:rsidR="00C13871">
              <w:rPr>
                <w:rFonts w:ascii="Verdana" w:hAnsi="Verdana"/>
                <w:color w:val="auto"/>
                <w:sz w:val="18"/>
                <w:szCs w:val="18"/>
              </w:rPr>
              <w:t xml:space="preserve"> production</w:t>
            </w:r>
          </w:p>
        </w:tc>
      </w:tr>
      <w:tr w:rsidR="005873FC" w:rsidRPr="00ED2A3A" w14:paraId="0C95FD82" w14:textId="77777777" w:rsidTr="240ABBB4">
        <w:tc>
          <w:tcPr>
            <w:tcW w:w="1901" w:type="dxa"/>
            <w:vMerge w:val="restart"/>
            <w:tcBorders>
              <w:right w:val="single" w:sz="8" w:space="0" w:color="4F81BD"/>
            </w:tcBorders>
          </w:tcPr>
          <w:p w14:paraId="685E0C26"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Biodiversity</w:t>
            </w:r>
          </w:p>
        </w:tc>
        <w:tc>
          <w:tcPr>
            <w:tcW w:w="1184" w:type="dxa"/>
            <w:tcBorders>
              <w:top w:val="single" w:sz="8" w:space="0" w:color="4F81BD"/>
              <w:bottom w:val="single" w:sz="8" w:space="0" w:color="4F81BD"/>
              <w:right w:val="single" w:sz="8" w:space="0" w:color="4F81BD"/>
            </w:tcBorders>
          </w:tcPr>
          <w:p w14:paraId="7B050277" w14:textId="187CB212" w:rsidR="00F053C3" w:rsidRDefault="00AA07F1" w:rsidP="0079001D">
            <w:pPr>
              <w:pStyle w:val="Default"/>
              <w:spacing w:after="60"/>
              <w:jc w:val="center"/>
              <w:rPr>
                <w:rFonts w:ascii="Verdana" w:hAnsi="Verdana"/>
                <w:b/>
                <w:bCs/>
                <w:color w:val="auto"/>
                <w:sz w:val="18"/>
                <w:szCs w:val="18"/>
              </w:rPr>
            </w:pPr>
            <w:hyperlink w:anchor="I18" w:history="1">
              <w:r w:rsidR="0079001D" w:rsidRPr="5CB4B133">
                <w:rPr>
                  <w:rStyle w:val="Hyperlink"/>
                  <w:rFonts w:ascii="Verdana" w:hAnsi="Verdana"/>
                  <w:b/>
                  <w:bCs/>
                  <w:sz w:val="18"/>
                  <w:szCs w:val="18"/>
                </w:rPr>
                <w:t>I.1</w:t>
              </w:r>
              <w:r w:rsidR="0079001D">
                <w:rPr>
                  <w:rStyle w:val="Hyperlink"/>
                  <w:rFonts w:ascii="Verdana" w:hAnsi="Verdana"/>
                  <w:b/>
                  <w:bCs/>
                  <w:sz w:val="18"/>
                  <w:szCs w:val="18"/>
                </w:rPr>
                <w:t>9</w:t>
              </w:r>
            </w:hyperlink>
          </w:p>
        </w:tc>
        <w:tc>
          <w:tcPr>
            <w:tcW w:w="1059" w:type="dxa"/>
            <w:tcBorders>
              <w:top w:val="single" w:sz="8" w:space="0" w:color="4F81BD"/>
              <w:left w:val="single" w:sz="8" w:space="0" w:color="4F81BD"/>
              <w:bottom w:val="single" w:sz="8" w:space="0" w:color="4F81BD"/>
              <w:right w:val="single" w:sz="8" w:space="0" w:color="4F81BD"/>
            </w:tcBorders>
          </w:tcPr>
          <w:p w14:paraId="0A3C8851" w14:textId="02C80CCC" w:rsidR="00F053C3" w:rsidRPr="00ED2A3A" w:rsidRDefault="00AA07F1" w:rsidP="002F2870">
            <w:pPr>
              <w:pStyle w:val="Default"/>
              <w:spacing w:after="60"/>
              <w:jc w:val="center"/>
              <w:rPr>
                <w:rFonts w:ascii="Verdana" w:hAnsi="Verdana"/>
                <w:b/>
                <w:bCs/>
                <w:color w:val="auto"/>
                <w:sz w:val="18"/>
                <w:szCs w:val="18"/>
              </w:rPr>
            </w:pPr>
            <w:hyperlink w:anchor="C35" w:history="1">
              <w:r w:rsidR="00F053C3" w:rsidRPr="5CB4B133">
                <w:rPr>
                  <w:rStyle w:val="Hyperlink"/>
                  <w:rFonts w:ascii="Verdana" w:hAnsi="Verdana"/>
                  <w:b/>
                  <w:bCs/>
                  <w:sz w:val="18"/>
                  <w:szCs w:val="18"/>
                </w:rPr>
                <w:t>C.3</w:t>
              </w:r>
              <w:r w:rsidR="002F2870">
                <w:rPr>
                  <w:rStyle w:val="Hyperlink"/>
                  <w:rFonts w:ascii="Verdana" w:hAnsi="Verdana"/>
                  <w:b/>
                  <w:bCs/>
                  <w:sz w:val="18"/>
                  <w:szCs w:val="18"/>
                </w:rPr>
                <w:t>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F465348"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C.35</w:t>
            </w:r>
          </w:p>
        </w:tc>
        <w:tc>
          <w:tcPr>
            <w:tcW w:w="3621" w:type="dxa"/>
            <w:tcBorders>
              <w:top w:val="single" w:sz="8" w:space="0" w:color="4F81BD"/>
              <w:left w:val="single" w:sz="8" w:space="0" w:color="4F81BD"/>
              <w:bottom w:val="single" w:sz="8" w:space="0" w:color="4F81BD"/>
            </w:tcBorders>
            <w:shd w:val="clear" w:color="auto" w:fill="auto"/>
          </w:tcPr>
          <w:p w14:paraId="57F5D269" w14:textId="39E44AB8" w:rsidR="00F053C3" w:rsidRPr="00ED2A3A" w:rsidRDefault="00F053C3" w:rsidP="00C2687A">
            <w:pPr>
              <w:pStyle w:val="Default"/>
              <w:spacing w:after="60"/>
              <w:rPr>
                <w:rFonts w:ascii="Verdana" w:hAnsi="Verdana"/>
                <w:b/>
                <w:bCs/>
                <w:color w:val="auto"/>
                <w:sz w:val="18"/>
                <w:szCs w:val="18"/>
              </w:rPr>
            </w:pPr>
            <w:r w:rsidRPr="00ED2A3A">
              <w:rPr>
                <w:rFonts w:ascii="Verdana" w:hAnsi="Verdana"/>
                <w:color w:val="auto"/>
                <w:sz w:val="18"/>
                <w:szCs w:val="18"/>
              </w:rPr>
              <w:t xml:space="preserve">Farmland </w:t>
            </w:r>
            <w:r w:rsidR="00CD6691">
              <w:rPr>
                <w:rFonts w:ascii="Verdana" w:hAnsi="Verdana"/>
                <w:color w:val="auto"/>
                <w:sz w:val="18"/>
                <w:szCs w:val="18"/>
              </w:rPr>
              <w:t>B</w:t>
            </w:r>
            <w:r w:rsidRPr="00ED2A3A">
              <w:rPr>
                <w:rFonts w:ascii="Verdana" w:hAnsi="Verdana"/>
                <w:color w:val="auto"/>
                <w:sz w:val="18"/>
                <w:szCs w:val="18"/>
              </w:rPr>
              <w:t xml:space="preserve">ird </w:t>
            </w:r>
            <w:r w:rsidR="00CD6691">
              <w:rPr>
                <w:rFonts w:ascii="Verdana" w:hAnsi="Verdana"/>
                <w:color w:val="auto"/>
                <w:sz w:val="18"/>
                <w:szCs w:val="18"/>
              </w:rPr>
              <w:t>I</w:t>
            </w:r>
            <w:r w:rsidRPr="00ED2A3A">
              <w:rPr>
                <w:rFonts w:ascii="Verdana" w:hAnsi="Verdana"/>
                <w:color w:val="auto"/>
                <w:sz w:val="18"/>
                <w:szCs w:val="18"/>
              </w:rPr>
              <w:t>ndex</w:t>
            </w:r>
          </w:p>
        </w:tc>
      </w:tr>
      <w:tr w:rsidR="005873FC" w:rsidRPr="00ED2A3A" w14:paraId="4B9AB4EA" w14:textId="77777777" w:rsidTr="240ABBB4">
        <w:tc>
          <w:tcPr>
            <w:tcW w:w="1901" w:type="dxa"/>
            <w:vMerge/>
            <w:tcBorders>
              <w:bottom w:val="single" w:sz="8" w:space="0" w:color="4F81BD"/>
              <w:right w:val="single" w:sz="8" w:space="0" w:color="4F81BD"/>
            </w:tcBorders>
          </w:tcPr>
          <w:p w14:paraId="712B2543"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1F416EA8" w14:textId="061349F7" w:rsidR="00F053C3" w:rsidRDefault="00AA07F1" w:rsidP="003C473C">
            <w:pPr>
              <w:pStyle w:val="Default"/>
              <w:spacing w:after="60"/>
              <w:jc w:val="center"/>
              <w:rPr>
                <w:rFonts w:ascii="Verdana" w:hAnsi="Verdana"/>
                <w:b/>
                <w:bCs/>
                <w:color w:val="auto"/>
                <w:sz w:val="18"/>
                <w:szCs w:val="18"/>
              </w:rPr>
            </w:pPr>
            <w:hyperlink w:anchor="I19" w:history="1">
              <w:r w:rsidR="003C473C" w:rsidRPr="5CB4B133">
                <w:rPr>
                  <w:rStyle w:val="Hyperlink"/>
                  <w:rFonts w:ascii="Verdana" w:hAnsi="Verdana"/>
                  <w:b/>
                  <w:bCs/>
                  <w:sz w:val="18"/>
                  <w:szCs w:val="18"/>
                </w:rPr>
                <w:t>I.</w:t>
              </w:r>
              <w:r w:rsidR="003C473C">
                <w:rPr>
                  <w:rStyle w:val="Hyperlink"/>
                  <w:rFonts w:ascii="Verdana" w:hAnsi="Verdana"/>
                  <w:b/>
                  <w:bCs/>
                  <w:sz w:val="18"/>
                  <w:szCs w:val="18"/>
                </w:rPr>
                <w:t>20</w:t>
              </w:r>
            </w:hyperlink>
          </w:p>
        </w:tc>
        <w:tc>
          <w:tcPr>
            <w:tcW w:w="1059" w:type="dxa"/>
            <w:tcBorders>
              <w:top w:val="single" w:sz="8" w:space="0" w:color="4F81BD"/>
              <w:left w:val="single" w:sz="8" w:space="0" w:color="4F81BD"/>
              <w:bottom w:val="single" w:sz="8" w:space="0" w:color="4F81BD"/>
              <w:right w:val="single" w:sz="8" w:space="0" w:color="4F81BD"/>
            </w:tcBorders>
          </w:tcPr>
          <w:p w14:paraId="2C3EEB7D" w14:textId="2D094965" w:rsidR="00F053C3" w:rsidRDefault="00AA07F1" w:rsidP="002F2870">
            <w:pPr>
              <w:pStyle w:val="Default"/>
              <w:spacing w:after="60"/>
              <w:jc w:val="center"/>
              <w:rPr>
                <w:rFonts w:ascii="Verdana" w:hAnsi="Verdana"/>
                <w:b/>
                <w:bCs/>
                <w:color w:val="auto"/>
                <w:sz w:val="18"/>
                <w:szCs w:val="18"/>
              </w:rPr>
            </w:pPr>
            <w:hyperlink w:anchor="C36" w:history="1">
              <w:r w:rsidR="00F053C3" w:rsidRPr="5CB4B133">
                <w:rPr>
                  <w:rStyle w:val="Hyperlink"/>
                  <w:rFonts w:ascii="Verdana" w:hAnsi="Verdana"/>
                  <w:b/>
                  <w:bCs/>
                  <w:sz w:val="18"/>
                  <w:szCs w:val="18"/>
                </w:rPr>
                <w:t>C.3</w:t>
              </w:r>
              <w:r w:rsidR="002F2870">
                <w:rPr>
                  <w:rStyle w:val="Hyperlink"/>
                  <w:rFonts w:ascii="Verdana" w:hAnsi="Verdana"/>
                  <w:b/>
                  <w:bCs/>
                  <w:sz w:val="18"/>
                  <w:szCs w:val="18"/>
                </w:rPr>
                <w:t>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4DCE6B1"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98AC455" w14:textId="78C9033A" w:rsidR="00F053C3" w:rsidRDefault="00F053C3" w:rsidP="00FA7243">
            <w:pPr>
              <w:pStyle w:val="Default"/>
              <w:spacing w:after="60"/>
              <w:rPr>
                <w:rFonts w:ascii="Verdana" w:hAnsi="Verdana"/>
                <w:color w:val="auto"/>
                <w:sz w:val="18"/>
                <w:szCs w:val="18"/>
              </w:rPr>
            </w:pPr>
            <w:r w:rsidRPr="00235234">
              <w:rPr>
                <w:rFonts w:ascii="Verdana" w:hAnsi="Verdana"/>
                <w:color w:val="auto"/>
                <w:sz w:val="18"/>
                <w:szCs w:val="18"/>
              </w:rPr>
              <w:t>Percentage of species and habitats of Community interest related to agriculture with stable or increasing trends</w:t>
            </w:r>
          </w:p>
        </w:tc>
      </w:tr>
      <w:tr w:rsidR="005873FC" w:rsidRPr="00ED2A3A" w14:paraId="49EE5128" w14:textId="77777777" w:rsidTr="240ABBB4">
        <w:tc>
          <w:tcPr>
            <w:tcW w:w="1901" w:type="dxa"/>
            <w:vMerge w:val="restart"/>
            <w:tcBorders>
              <w:top w:val="single" w:sz="8" w:space="0" w:color="4F81BD"/>
              <w:left w:val="single" w:sz="8" w:space="0" w:color="4F81BD"/>
            </w:tcBorders>
          </w:tcPr>
          <w:p w14:paraId="091B4C27"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Water</w:t>
            </w:r>
          </w:p>
        </w:tc>
        <w:tc>
          <w:tcPr>
            <w:tcW w:w="1184" w:type="dxa"/>
            <w:tcBorders>
              <w:top w:val="single" w:sz="8" w:space="0" w:color="4F81BD"/>
              <w:left w:val="single" w:sz="8" w:space="0" w:color="4F81BD"/>
              <w:bottom w:val="single" w:sz="8" w:space="0" w:color="4F81BD"/>
            </w:tcBorders>
          </w:tcPr>
          <w:p w14:paraId="77453128" w14:textId="77777777" w:rsidR="00F053C3" w:rsidRDefault="00AA07F1" w:rsidP="5CB4B133">
            <w:pPr>
              <w:pStyle w:val="Default"/>
              <w:spacing w:after="60"/>
              <w:jc w:val="center"/>
              <w:rPr>
                <w:rFonts w:ascii="Verdana" w:hAnsi="Verdana"/>
                <w:b/>
                <w:bCs/>
                <w:color w:val="auto"/>
                <w:sz w:val="18"/>
                <w:szCs w:val="18"/>
              </w:rPr>
            </w:pPr>
            <w:hyperlink w:anchor="I17" w:history="1">
              <w:r w:rsidR="00F053C3" w:rsidRPr="5CB4B133">
                <w:rPr>
                  <w:rStyle w:val="Hyperlink"/>
                  <w:rFonts w:ascii="Verdana" w:hAnsi="Verdana"/>
                  <w:b/>
                  <w:bCs/>
                  <w:sz w:val="18"/>
                  <w:szCs w:val="18"/>
                </w:rPr>
                <w:t>I.17</w:t>
              </w:r>
            </w:hyperlink>
          </w:p>
        </w:tc>
        <w:tc>
          <w:tcPr>
            <w:tcW w:w="1059" w:type="dxa"/>
            <w:tcBorders>
              <w:top w:val="single" w:sz="8" w:space="0" w:color="4F81BD"/>
              <w:left w:val="single" w:sz="8" w:space="0" w:color="4F81BD"/>
              <w:bottom w:val="single" w:sz="8" w:space="0" w:color="4F81BD"/>
              <w:right w:val="single" w:sz="8" w:space="0" w:color="4F81BD"/>
            </w:tcBorders>
          </w:tcPr>
          <w:p w14:paraId="347BC631" w14:textId="5851782A" w:rsidR="00F053C3" w:rsidRDefault="00AA07F1" w:rsidP="002F2870">
            <w:pPr>
              <w:pStyle w:val="Default"/>
              <w:spacing w:after="60"/>
              <w:jc w:val="center"/>
              <w:rPr>
                <w:rFonts w:ascii="Verdana" w:hAnsi="Verdana"/>
                <w:b/>
                <w:bCs/>
                <w:color w:val="auto"/>
                <w:sz w:val="18"/>
                <w:szCs w:val="18"/>
              </w:rPr>
            </w:pPr>
            <w:hyperlink w:anchor="C37" w:history="1">
              <w:r w:rsidR="00F053C3" w:rsidRPr="5CB4B133">
                <w:rPr>
                  <w:rStyle w:val="Hyperlink"/>
                  <w:rFonts w:ascii="Verdana" w:hAnsi="Verdana"/>
                  <w:b/>
                  <w:bCs/>
                  <w:sz w:val="18"/>
                  <w:szCs w:val="18"/>
                </w:rPr>
                <w:t>C.3</w:t>
              </w:r>
              <w:r w:rsidR="002F2870">
                <w:rPr>
                  <w:rStyle w:val="Hyperlink"/>
                  <w:rFonts w:ascii="Verdana" w:hAnsi="Verdana"/>
                  <w:b/>
                  <w:bCs/>
                  <w:sz w:val="18"/>
                  <w:szCs w:val="18"/>
                </w:rPr>
                <w:t>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0B6F069E"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D5D9372"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Water use in agriculture</w:t>
            </w:r>
          </w:p>
        </w:tc>
      </w:tr>
      <w:tr w:rsidR="005873FC" w:rsidRPr="00ED2A3A" w14:paraId="74703A16" w14:textId="77777777" w:rsidTr="240ABBB4">
        <w:tc>
          <w:tcPr>
            <w:tcW w:w="1901" w:type="dxa"/>
            <w:vMerge/>
            <w:tcBorders>
              <w:left w:val="single" w:sz="8" w:space="0" w:color="4F81BD"/>
            </w:tcBorders>
          </w:tcPr>
          <w:p w14:paraId="56AC5614"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nil"/>
            </w:tcBorders>
          </w:tcPr>
          <w:p w14:paraId="2C6F2258"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nil"/>
              <w:right w:val="single" w:sz="8" w:space="0" w:color="4F81BD"/>
            </w:tcBorders>
          </w:tcPr>
          <w:p w14:paraId="3E856515" w14:textId="487BC03E" w:rsidR="00F053C3" w:rsidRDefault="00AA07F1" w:rsidP="002F2870">
            <w:pPr>
              <w:pStyle w:val="Default"/>
              <w:spacing w:after="60"/>
              <w:jc w:val="center"/>
              <w:rPr>
                <w:rFonts w:ascii="Verdana" w:hAnsi="Verdana"/>
                <w:b/>
                <w:bCs/>
                <w:color w:val="auto"/>
                <w:sz w:val="18"/>
                <w:szCs w:val="18"/>
              </w:rPr>
            </w:pPr>
            <w:hyperlink w:anchor="C38_Gross_Nutrient_Balance" w:history="1">
              <w:r w:rsidR="00F053C3" w:rsidRPr="5CB4B133">
                <w:rPr>
                  <w:rStyle w:val="Hyperlink"/>
                  <w:rFonts w:ascii="Verdana" w:hAnsi="Verdana"/>
                  <w:b/>
                  <w:bCs/>
                  <w:sz w:val="18"/>
                  <w:szCs w:val="18"/>
                </w:rPr>
                <w:t>C.3</w:t>
              </w:r>
              <w:r w:rsidR="002F2870">
                <w:rPr>
                  <w:rStyle w:val="Hyperlink"/>
                  <w:rFonts w:ascii="Verdana" w:hAnsi="Verdana"/>
                  <w:b/>
                  <w:bCs/>
                  <w:sz w:val="18"/>
                  <w:szCs w:val="18"/>
                </w:rPr>
                <w:t>9</w:t>
              </w:r>
            </w:hyperlink>
          </w:p>
        </w:tc>
        <w:tc>
          <w:tcPr>
            <w:tcW w:w="1334" w:type="dxa"/>
            <w:gridSpan w:val="2"/>
            <w:tcBorders>
              <w:top w:val="single" w:sz="8" w:space="0" w:color="4F81BD"/>
              <w:left w:val="single" w:sz="8" w:space="0" w:color="4F81BD"/>
              <w:bottom w:val="nil"/>
              <w:right w:val="single" w:sz="8" w:space="0" w:color="4F81BD"/>
            </w:tcBorders>
            <w:shd w:val="clear" w:color="auto" w:fill="auto"/>
          </w:tcPr>
          <w:p w14:paraId="1E83ABAD"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3C5DC58B"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Water quality</w:t>
            </w:r>
          </w:p>
        </w:tc>
      </w:tr>
      <w:tr w:rsidR="005873FC" w:rsidRPr="009303F8" w14:paraId="06408CD6" w14:textId="77777777" w:rsidTr="240ABBB4">
        <w:tc>
          <w:tcPr>
            <w:tcW w:w="1901" w:type="dxa"/>
            <w:vMerge/>
            <w:tcBorders>
              <w:left w:val="single" w:sz="8" w:space="0" w:color="4F81BD"/>
            </w:tcBorders>
          </w:tcPr>
          <w:p w14:paraId="107160F8" w14:textId="77777777" w:rsidR="00F053C3"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nil"/>
            </w:tcBorders>
          </w:tcPr>
          <w:p w14:paraId="68A1D10C" w14:textId="77777777" w:rsidR="00F053C3" w:rsidRPr="00235F0D" w:rsidRDefault="00AA07F1" w:rsidP="00FA7243">
            <w:pPr>
              <w:pStyle w:val="Default"/>
              <w:spacing w:after="60"/>
              <w:jc w:val="center"/>
              <w:rPr>
                <w:rStyle w:val="Hyperlink"/>
              </w:rPr>
            </w:pPr>
            <w:hyperlink w:anchor="I15" w:history="1">
              <w:r w:rsidR="00F053C3" w:rsidRPr="5CB4B133">
                <w:rPr>
                  <w:rStyle w:val="Hyperlink"/>
                  <w:rFonts w:ascii="Verdana" w:hAnsi="Verdana"/>
                  <w:b/>
                  <w:bCs/>
                  <w:sz w:val="18"/>
                  <w:szCs w:val="18"/>
                </w:rPr>
                <w:t>I.15</w:t>
              </w:r>
            </w:hyperlink>
          </w:p>
        </w:tc>
        <w:tc>
          <w:tcPr>
            <w:tcW w:w="1059" w:type="dxa"/>
            <w:tcBorders>
              <w:top w:val="nil"/>
              <w:left w:val="single" w:sz="8" w:space="0" w:color="4F81BD"/>
              <w:bottom w:val="nil"/>
              <w:right w:val="single" w:sz="8" w:space="0" w:color="4F81BD"/>
            </w:tcBorders>
          </w:tcPr>
          <w:p w14:paraId="22DDBA17" w14:textId="77777777" w:rsidR="00F053C3" w:rsidRDefault="00F053C3" w:rsidP="00F053C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nil"/>
              <w:right w:val="single" w:sz="8" w:space="0" w:color="4F81BD"/>
            </w:tcBorders>
            <w:shd w:val="clear" w:color="auto" w:fill="auto"/>
          </w:tcPr>
          <w:p w14:paraId="2F38BA15"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E47742C" w14:textId="77777777" w:rsidR="00F053C3" w:rsidRPr="009303F8" w:rsidRDefault="00F053C3" w:rsidP="00FA7243">
            <w:pPr>
              <w:pStyle w:val="Default"/>
              <w:spacing w:after="60"/>
              <w:rPr>
                <w:rFonts w:ascii="Verdana" w:hAnsi="Verdana"/>
                <w:color w:val="auto"/>
                <w:sz w:val="18"/>
                <w:szCs w:val="18"/>
                <w:lang w:val="fr-BE"/>
              </w:rPr>
            </w:pPr>
            <w:r w:rsidRPr="009303F8">
              <w:rPr>
                <w:rFonts w:ascii="Verdana" w:hAnsi="Verdana"/>
                <w:color w:val="auto"/>
                <w:sz w:val="18"/>
                <w:szCs w:val="18"/>
                <w:lang w:val="fr-BE"/>
              </w:rPr>
              <w:t>Gross nutrient balance – nitrogen</w:t>
            </w:r>
          </w:p>
        </w:tc>
      </w:tr>
      <w:tr w:rsidR="005873FC" w:rsidRPr="00ED2A3A" w14:paraId="0E0E5786" w14:textId="77777777" w:rsidTr="240ABBB4">
        <w:tc>
          <w:tcPr>
            <w:tcW w:w="1901" w:type="dxa"/>
            <w:vMerge/>
            <w:tcBorders>
              <w:left w:val="single" w:sz="8" w:space="0" w:color="4F81BD"/>
            </w:tcBorders>
          </w:tcPr>
          <w:p w14:paraId="7567A0D7" w14:textId="77777777" w:rsidR="00F053C3" w:rsidRPr="009303F8" w:rsidRDefault="00F053C3" w:rsidP="00325330">
            <w:pPr>
              <w:pStyle w:val="Default"/>
              <w:spacing w:after="60"/>
              <w:rPr>
                <w:rFonts w:ascii="Verdana" w:hAnsi="Verdana"/>
                <w:b/>
                <w:color w:val="auto"/>
                <w:sz w:val="18"/>
                <w:szCs w:val="18"/>
                <w:lang w:val="fr-BE"/>
              </w:rPr>
            </w:pPr>
          </w:p>
        </w:tc>
        <w:tc>
          <w:tcPr>
            <w:tcW w:w="1184" w:type="dxa"/>
            <w:tcBorders>
              <w:top w:val="nil"/>
              <w:left w:val="single" w:sz="8" w:space="0" w:color="4F81BD"/>
              <w:bottom w:val="nil"/>
            </w:tcBorders>
          </w:tcPr>
          <w:p w14:paraId="239253AA" w14:textId="77777777" w:rsidR="00F053C3" w:rsidRPr="00235F0D" w:rsidRDefault="00F053C3" w:rsidP="00FA7243">
            <w:pPr>
              <w:pStyle w:val="Default"/>
              <w:spacing w:after="60"/>
              <w:jc w:val="center"/>
              <w:rPr>
                <w:rStyle w:val="Hyperlink"/>
              </w:rPr>
            </w:pPr>
          </w:p>
        </w:tc>
        <w:tc>
          <w:tcPr>
            <w:tcW w:w="1059" w:type="dxa"/>
            <w:tcBorders>
              <w:top w:val="nil"/>
              <w:left w:val="single" w:sz="8" w:space="0" w:color="4F81BD"/>
              <w:bottom w:val="nil"/>
              <w:right w:val="single" w:sz="8" w:space="0" w:color="4F81BD"/>
            </w:tcBorders>
          </w:tcPr>
          <w:p w14:paraId="3FA06877" w14:textId="77777777" w:rsidR="00F053C3" w:rsidRPr="009303F8" w:rsidRDefault="00F053C3" w:rsidP="00F053C3">
            <w:pPr>
              <w:pStyle w:val="Default"/>
              <w:spacing w:after="60"/>
              <w:jc w:val="center"/>
              <w:rPr>
                <w:rFonts w:ascii="Verdana" w:hAnsi="Verdana"/>
                <w:b/>
                <w:color w:val="auto"/>
                <w:sz w:val="18"/>
                <w:szCs w:val="18"/>
                <w:lang w:val="fr-BE"/>
              </w:rPr>
            </w:pPr>
          </w:p>
        </w:tc>
        <w:tc>
          <w:tcPr>
            <w:tcW w:w="1334" w:type="dxa"/>
            <w:gridSpan w:val="2"/>
            <w:tcBorders>
              <w:top w:val="nil"/>
              <w:left w:val="single" w:sz="8" w:space="0" w:color="4F81BD"/>
              <w:bottom w:val="nil"/>
              <w:right w:val="single" w:sz="8" w:space="0" w:color="4F81BD"/>
            </w:tcBorders>
            <w:shd w:val="clear" w:color="auto" w:fill="auto"/>
          </w:tcPr>
          <w:p w14:paraId="07D4708E"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C.40</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7BEEAA75"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Gross nutrient balance – phosphorus</w:t>
            </w:r>
          </w:p>
        </w:tc>
      </w:tr>
      <w:tr w:rsidR="005873FC" w:rsidRPr="00ED2A3A" w14:paraId="7B9D4438" w14:textId="77777777" w:rsidTr="240ABBB4">
        <w:tc>
          <w:tcPr>
            <w:tcW w:w="1901" w:type="dxa"/>
            <w:vMerge/>
            <w:tcBorders>
              <w:left w:val="single" w:sz="8" w:space="0" w:color="4F81BD"/>
              <w:bottom w:val="single" w:sz="8" w:space="0" w:color="4F81BD"/>
            </w:tcBorders>
          </w:tcPr>
          <w:p w14:paraId="57405D76" w14:textId="77777777" w:rsidR="00F053C3" w:rsidRDefault="00F053C3" w:rsidP="00325330">
            <w:pPr>
              <w:pStyle w:val="Default"/>
              <w:spacing w:after="60"/>
              <w:rPr>
                <w:rFonts w:ascii="Verdana" w:hAnsi="Verdana"/>
                <w:b/>
                <w:color w:val="auto"/>
                <w:sz w:val="18"/>
                <w:szCs w:val="18"/>
              </w:rPr>
            </w:pPr>
          </w:p>
        </w:tc>
        <w:tc>
          <w:tcPr>
            <w:tcW w:w="1184" w:type="dxa"/>
            <w:tcBorders>
              <w:top w:val="nil"/>
              <w:left w:val="single" w:sz="8" w:space="0" w:color="4F81BD"/>
              <w:bottom w:val="single" w:sz="8" w:space="0" w:color="4F81BD"/>
            </w:tcBorders>
          </w:tcPr>
          <w:p w14:paraId="5B4E5108" w14:textId="77777777" w:rsidR="00F053C3" w:rsidRPr="00235F0D" w:rsidRDefault="00AA07F1" w:rsidP="00FA7243">
            <w:pPr>
              <w:pStyle w:val="Default"/>
              <w:spacing w:after="60"/>
              <w:jc w:val="center"/>
              <w:rPr>
                <w:rStyle w:val="Hyperlink"/>
              </w:rPr>
            </w:pPr>
            <w:hyperlink w:anchor="I16" w:history="1">
              <w:r w:rsidR="00F053C3" w:rsidRPr="5CB4B133">
                <w:rPr>
                  <w:rStyle w:val="Hyperlink"/>
                  <w:rFonts w:ascii="Verdana" w:hAnsi="Verdana"/>
                  <w:b/>
                  <w:bCs/>
                  <w:sz w:val="18"/>
                  <w:szCs w:val="18"/>
                </w:rPr>
                <w:t>I.16</w:t>
              </w:r>
            </w:hyperlink>
          </w:p>
        </w:tc>
        <w:tc>
          <w:tcPr>
            <w:tcW w:w="1059" w:type="dxa"/>
            <w:tcBorders>
              <w:top w:val="nil"/>
              <w:left w:val="single" w:sz="8" w:space="0" w:color="4F81BD"/>
              <w:bottom w:val="single" w:sz="8" w:space="0" w:color="4F81BD"/>
              <w:right w:val="single" w:sz="8" w:space="0" w:color="4F81BD"/>
            </w:tcBorders>
          </w:tcPr>
          <w:p w14:paraId="66877F96"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nil"/>
              <w:left w:val="single" w:sz="8" w:space="0" w:color="4F81BD"/>
              <w:bottom w:val="single" w:sz="8" w:space="0" w:color="4F81BD"/>
              <w:right w:val="single" w:sz="8" w:space="0" w:color="4F81BD"/>
            </w:tcBorders>
            <w:shd w:val="clear" w:color="auto" w:fill="auto"/>
          </w:tcPr>
          <w:p w14:paraId="77369BF8"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050A6A50"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Nitrates in ground water</w:t>
            </w:r>
          </w:p>
        </w:tc>
      </w:tr>
      <w:tr w:rsidR="005873FC" w:rsidRPr="00ED2A3A" w14:paraId="38C46336" w14:textId="77777777" w:rsidTr="240ABBB4">
        <w:tc>
          <w:tcPr>
            <w:tcW w:w="1901" w:type="dxa"/>
            <w:vMerge w:val="restart"/>
            <w:tcBorders>
              <w:right w:val="single" w:sz="8" w:space="0" w:color="4F81BD"/>
            </w:tcBorders>
          </w:tcPr>
          <w:p w14:paraId="5B4F0B4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Soil</w:t>
            </w:r>
          </w:p>
        </w:tc>
        <w:tc>
          <w:tcPr>
            <w:tcW w:w="1184" w:type="dxa"/>
            <w:tcBorders>
              <w:top w:val="single" w:sz="8" w:space="0" w:color="4F81BD"/>
              <w:bottom w:val="single" w:sz="8" w:space="0" w:color="4F81BD"/>
              <w:right w:val="single" w:sz="8" w:space="0" w:color="4F81BD"/>
            </w:tcBorders>
          </w:tcPr>
          <w:p w14:paraId="0270BB93" w14:textId="77777777" w:rsidR="00F053C3" w:rsidRDefault="00AA07F1" w:rsidP="5CB4B133">
            <w:pPr>
              <w:pStyle w:val="Default"/>
              <w:spacing w:after="60"/>
              <w:jc w:val="center"/>
              <w:rPr>
                <w:rFonts w:ascii="Verdana" w:hAnsi="Verdana"/>
                <w:b/>
                <w:bCs/>
                <w:color w:val="auto"/>
                <w:sz w:val="18"/>
                <w:szCs w:val="18"/>
              </w:rPr>
            </w:pPr>
            <w:hyperlink w:anchor="I11" w:history="1">
              <w:r w:rsidR="00F053C3" w:rsidRPr="5CB4B133">
                <w:rPr>
                  <w:rStyle w:val="Hyperlink"/>
                  <w:rFonts w:ascii="Verdana" w:hAnsi="Verdana"/>
                  <w:b/>
                  <w:bCs/>
                  <w:sz w:val="18"/>
                  <w:szCs w:val="18"/>
                </w:rPr>
                <w:t>I.11</w:t>
              </w:r>
            </w:hyperlink>
          </w:p>
        </w:tc>
        <w:tc>
          <w:tcPr>
            <w:tcW w:w="1059" w:type="dxa"/>
            <w:tcBorders>
              <w:top w:val="single" w:sz="8" w:space="0" w:color="4F81BD"/>
              <w:left w:val="single" w:sz="8" w:space="0" w:color="4F81BD"/>
              <w:bottom w:val="single" w:sz="8" w:space="0" w:color="4F81BD"/>
              <w:right w:val="single" w:sz="8" w:space="0" w:color="4F81BD"/>
            </w:tcBorders>
          </w:tcPr>
          <w:p w14:paraId="39D8B7E4" w14:textId="4E8AF452" w:rsidR="00F053C3" w:rsidRPr="00ED2A3A" w:rsidRDefault="00AA07F1" w:rsidP="002F2870">
            <w:pPr>
              <w:pStyle w:val="Default"/>
              <w:spacing w:after="60"/>
              <w:jc w:val="center"/>
              <w:rPr>
                <w:rFonts w:ascii="Verdana" w:hAnsi="Verdana"/>
                <w:b/>
                <w:bCs/>
                <w:color w:val="auto"/>
                <w:sz w:val="18"/>
                <w:szCs w:val="18"/>
              </w:rPr>
            </w:pPr>
            <w:hyperlink w:anchor="C39" w:history="1">
              <w:r w:rsidR="00F053C3" w:rsidRPr="5CB4B133">
                <w:rPr>
                  <w:rStyle w:val="Hyperlink"/>
                  <w:rFonts w:ascii="Verdana" w:hAnsi="Verdana"/>
                  <w:b/>
                  <w:bCs/>
                  <w:sz w:val="18"/>
                  <w:szCs w:val="18"/>
                </w:rPr>
                <w:t>C.</w:t>
              </w:r>
              <w:r w:rsidR="002F2870">
                <w:rPr>
                  <w:rStyle w:val="Hyperlink"/>
                  <w:rFonts w:ascii="Verdana" w:hAnsi="Verdana"/>
                  <w:b/>
                  <w:bCs/>
                  <w:sz w:val="18"/>
                  <w:szCs w:val="18"/>
                </w:rPr>
                <w:t>40</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A13763A"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C.41</w:t>
            </w:r>
          </w:p>
        </w:tc>
        <w:tc>
          <w:tcPr>
            <w:tcW w:w="3621" w:type="dxa"/>
            <w:tcBorders>
              <w:top w:val="single" w:sz="8" w:space="0" w:color="4F81BD"/>
              <w:left w:val="single" w:sz="8" w:space="0" w:color="4F81BD"/>
              <w:bottom w:val="single" w:sz="8" w:space="0" w:color="4F81BD"/>
            </w:tcBorders>
            <w:shd w:val="clear" w:color="auto" w:fill="auto"/>
          </w:tcPr>
          <w:p w14:paraId="67AB7C17" w14:textId="77D3ABD8" w:rsidR="00F053C3" w:rsidRPr="00ED2A3A" w:rsidRDefault="00F053C3" w:rsidP="00757390">
            <w:pPr>
              <w:pStyle w:val="Default"/>
              <w:spacing w:after="60"/>
              <w:rPr>
                <w:rFonts w:ascii="Verdana" w:hAnsi="Verdana"/>
                <w:b/>
                <w:bCs/>
                <w:color w:val="auto"/>
                <w:sz w:val="18"/>
                <w:szCs w:val="18"/>
              </w:rPr>
            </w:pPr>
            <w:r w:rsidRPr="00ED2A3A">
              <w:rPr>
                <w:rFonts w:ascii="Verdana" w:hAnsi="Verdana"/>
                <w:color w:val="auto"/>
                <w:sz w:val="18"/>
                <w:szCs w:val="18"/>
              </w:rPr>
              <w:t xml:space="preserve">Soil organic </w:t>
            </w:r>
            <w:r w:rsidR="00757390">
              <w:rPr>
                <w:rFonts w:ascii="Verdana" w:hAnsi="Verdana"/>
                <w:color w:val="auto"/>
                <w:sz w:val="18"/>
                <w:szCs w:val="18"/>
              </w:rPr>
              <w:t xml:space="preserve">carbon </w:t>
            </w:r>
            <w:r w:rsidRPr="00ED2A3A">
              <w:rPr>
                <w:rFonts w:ascii="Verdana" w:hAnsi="Verdana"/>
                <w:color w:val="auto"/>
                <w:sz w:val="18"/>
                <w:szCs w:val="18"/>
              </w:rPr>
              <w:t>in</w:t>
            </w:r>
            <w:r w:rsidR="00757390">
              <w:rPr>
                <w:rFonts w:ascii="Verdana" w:hAnsi="Verdana"/>
                <w:color w:val="auto"/>
                <w:sz w:val="18"/>
                <w:szCs w:val="18"/>
              </w:rPr>
              <w:t xml:space="preserve"> agricultural</w:t>
            </w:r>
            <w:r w:rsidRPr="00ED2A3A">
              <w:rPr>
                <w:rFonts w:ascii="Verdana" w:hAnsi="Verdana"/>
                <w:color w:val="auto"/>
                <w:sz w:val="18"/>
                <w:szCs w:val="18"/>
              </w:rPr>
              <w:t xml:space="preserve"> land</w:t>
            </w:r>
          </w:p>
        </w:tc>
      </w:tr>
      <w:tr w:rsidR="005873FC" w:rsidRPr="00ED2A3A" w14:paraId="03D305BA" w14:textId="77777777" w:rsidTr="240ABBB4">
        <w:tc>
          <w:tcPr>
            <w:tcW w:w="1901" w:type="dxa"/>
            <w:vMerge/>
            <w:tcBorders>
              <w:bottom w:val="single" w:sz="8" w:space="0" w:color="4F81BD"/>
              <w:right w:val="single" w:sz="8" w:space="0" w:color="4F81BD"/>
            </w:tcBorders>
          </w:tcPr>
          <w:p w14:paraId="611ED4D3"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76D7840E" w14:textId="77777777" w:rsidR="00F053C3" w:rsidRDefault="00AA07F1" w:rsidP="5CB4B133">
            <w:pPr>
              <w:pStyle w:val="Default"/>
              <w:spacing w:after="60"/>
              <w:jc w:val="center"/>
              <w:rPr>
                <w:rFonts w:ascii="Verdana" w:hAnsi="Verdana"/>
                <w:b/>
                <w:bCs/>
                <w:color w:val="auto"/>
                <w:sz w:val="18"/>
                <w:szCs w:val="18"/>
              </w:rPr>
            </w:pPr>
            <w:hyperlink w:anchor="I13" w:history="1">
              <w:r w:rsidR="00F053C3" w:rsidRPr="5CB4B133">
                <w:rPr>
                  <w:rStyle w:val="Hyperlink"/>
                  <w:rFonts w:ascii="Verdana" w:hAnsi="Verdana"/>
                  <w:b/>
                  <w:bCs/>
                  <w:sz w:val="18"/>
                  <w:szCs w:val="18"/>
                </w:rPr>
                <w:t>I.13</w:t>
              </w:r>
            </w:hyperlink>
          </w:p>
        </w:tc>
        <w:tc>
          <w:tcPr>
            <w:tcW w:w="1059" w:type="dxa"/>
            <w:tcBorders>
              <w:top w:val="single" w:sz="8" w:space="0" w:color="4F81BD"/>
              <w:left w:val="single" w:sz="8" w:space="0" w:color="4F81BD"/>
              <w:bottom w:val="single" w:sz="8" w:space="0" w:color="4F81BD"/>
              <w:right w:val="single" w:sz="8" w:space="0" w:color="4F81BD"/>
            </w:tcBorders>
          </w:tcPr>
          <w:p w14:paraId="44F21262" w14:textId="43CBD9E9" w:rsidR="00F053C3" w:rsidRPr="00ED2A3A" w:rsidRDefault="00AA07F1" w:rsidP="002F2870">
            <w:pPr>
              <w:pStyle w:val="Default"/>
              <w:spacing w:after="60"/>
              <w:jc w:val="center"/>
              <w:rPr>
                <w:rFonts w:ascii="Verdana" w:hAnsi="Verdana"/>
                <w:b/>
                <w:bCs/>
                <w:color w:val="auto"/>
                <w:sz w:val="18"/>
                <w:szCs w:val="18"/>
              </w:rPr>
            </w:pPr>
            <w:hyperlink w:anchor="C40" w:history="1">
              <w:r w:rsidR="00F053C3" w:rsidRPr="5CB4B133">
                <w:rPr>
                  <w:rStyle w:val="Hyperlink"/>
                  <w:rFonts w:ascii="Verdana" w:hAnsi="Verdana"/>
                  <w:b/>
                  <w:bCs/>
                  <w:sz w:val="18"/>
                  <w:szCs w:val="18"/>
                </w:rPr>
                <w:t>C.4</w:t>
              </w:r>
              <w:r w:rsidR="002F2870">
                <w:rPr>
                  <w:rStyle w:val="Hyperlink"/>
                  <w:rFonts w:ascii="Verdana" w:hAnsi="Verdana"/>
                  <w:b/>
                  <w:bCs/>
                  <w:sz w:val="18"/>
                  <w:szCs w:val="18"/>
                </w:rPr>
                <w:t>1</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5B818D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C.42</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29D9E69"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Soil erosion by water</w:t>
            </w:r>
          </w:p>
        </w:tc>
      </w:tr>
      <w:tr w:rsidR="005873FC" w:rsidRPr="00ED2A3A" w14:paraId="32A2D7CE" w14:textId="77777777" w:rsidTr="240ABBB4">
        <w:tc>
          <w:tcPr>
            <w:tcW w:w="1901" w:type="dxa"/>
            <w:vMerge w:val="restart"/>
            <w:tcBorders>
              <w:right w:val="single" w:sz="8" w:space="0" w:color="4F81BD"/>
            </w:tcBorders>
          </w:tcPr>
          <w:p w14:paraId="518F736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Energy</w:t>
            </w:r>
          </w:p>
        </w:tc>
        <w:tc>
          <w:tcPr>
            <w:tcW w:w="1184" w:type="dxa"/>
            <w:tcBorders>
              <w:top w:val="single" w:sz="8" w:space="0" w:color="4F81BD"/>
              <w:bottom w:val="single" w:sz="8" w:space="0" w:color="4F81BD"/>
              <w:right w:val="single" w:sz="8" w:space="0" w:color="4F81BD"/>
            </w:tcBorders>
          </w:tcPr>
          <w:p w14:paraId="074B3786" w14:textId="77777777" w:rsidR="00F053C3" w:rsidRDefault="00AA07F1" w:rsidP="5CB4B133">
            <w:pPr>
              <w:pStyle w:val="Default"/>
              <w:spacing w:after="60"/>
              <w:jc w:val="center"/>
              <w:rPr>
                <w:rFonts w:ascii="Verdana" w:hAnsi="Verdana"/>
                <w:b/>
                <w:bCs/>
                <w:color w:val="auto"/>
                <w:sz w:val="18"/>
                <w:szCs w:val="18"/>
              </w:rPr>
            </w:pPr>
            <w:hyperlink w:anchor="I12" w:history="1">
              <w:r w:rsidR="00F053C3" w:rsidRPr="5CB4B133">
                <w:rPr>
                  <w:rStyle w:val="Hyperlink"/>
                  <w:rFonts w:ascii="Verdana" w:hAnsi="Verdana"/>
                  <w:b/>
                  <w:bCs/>
                  <w:sz w:val="18"/>
                  <w:szCs w:val="18"/>
                </w:rPr>
                <w:t>I.12</w:t>
              </w:r>
            </w:hyperlink>
          </w:p>
        </w:tc>
        <w:tc>
          <w:tcPr>
            <w:tcW w:w="1059" w:type="dxa"/>
            <w:tcBorders>
              <w:top w:val="single" w:sz="8" w:space="0" w:color="4F81BD"/>
              <w:left w:val="single" w:sz="8" w:space="0" w:color="4F81BD"/>
              <w:bottom w:val="single" w:sz="8" w:space="0" w:color="4F81BD"/>
              <w:right w:val="single" w:sz="8" w:space="0" w:color="4F81BD"/>
            </w:tcBorders>
          </w:tcPr>
          <w:p w14:paraId="6B9DC1E1" w14:textId="7E739D9A" w:rsidR="00F053C3" w:rsidRPr="00ED2A3A" w:rsidRDefault="00AA07F1" w:rsidP="002F2870">
            <w:pPr>
              <w:pStyle w:val="Default"/>
              <w:spacing w:after="60"/>
              <w:jc w:val="center"/>
              <w:rPr>
                <w:rFonts w:ascii="Verdana" w:hAnsi="Verdana"/>
                <w:b/>
                <w:bCs/>
                <w:color w:val="auto"/>
                <w:sz w:val="18"/>
                <w:szCs w:val="18"/>
              </w:rPr>
            </w:pPr>
            <w:hyperlink w:anchor="C41" w:history="1">
              <w:r w:rsidR="00F053C3" w:rsidRPr="5CB4B133">
                <w:rPr>
                  <w:rStyle w:val="Hyperlink"/>
                  <w:rFonts w:ascii="Verdana" w:hAnsi="Verdana"/>
                  <w:b/>
                  <w:bCs/>
                  <w:sz w:val="18"/>
                  <w:szCs w:val="18"/>
                </w:rPr>
                <w:t>C.4</w:t>
              </w:r>
            </w:hyperlink>
            <w:r w:rsidR="002F2870">
              <w:rPr>
                <w:rStyle w:val="Hyperlink"/>
                <w:rFonts w:ascii="Verdana" w:hAnsi="Verdana"/>
                <w:b/>
                <w:bCs/>
                <w:sz w:val="18"/>
                <w:szCs w:val="18"/>
              </w:rPr>
              <w:t>2</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E23C96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C.43</w:t>
            </w:r>
          </w:p>
        </w:tc>
        <w:tc>
          <w:tcPr>
            <w:tcW w:w="3621" w:type="dxa"/>
            <w:tcBorders>
              <w:top w:val="single" w:sz="8" w:space="0" w:color="4F81BD"/>
              <w:left w:val="single" w:sz="8" w:space="0" w:color="4F81BD"/>
              <w:bottom w:val="single" w:sz="8" w:space="0" w:color="4F81BD"/>
            </w:tcBorders>
            <w:shd w:val="clear" w:color="auto" w:fill="auto"/>
          </w:tcPr>
          <w:p w14:paraId="5DF24736" w14:textId="0E747642" w:rsidR="00F053C3" w:rsidRPr="00ED2A3A" w:rsidRDefault="00544397" w:rsidP="00FA7243">
            <w:pPr>
              <w:pStyle w:val="Default"/>
              <w:spacing w:after="60"/>
              <w:rPr>
                <w:rFonts w:ascii="Verdana" w:hAnsi="Verdana"/>
                <w:b/>
                <w:bCs/>
                <w:color w:val="auto"/>
                <w:sz w:val="18"/>
                <w:szCs w:val="18"/>
              </w:rPr>
            </w:pPr>
            <w:r>
              <w:rPr>
                <w:rFonts w:ascii="Verdana" w:hAnsi="Verdana"/>
                <w:color w:val="auto"/>
                <w:sz w:val="18"/>
                <w:szCs w:val="18"/>
              </w:rPr>
              <w:t>Sustainable p</w:t>
            </w:r>
            <w:r w:rsidR="00F053C3" w:rsidRPr="00ED2A3A">
              <w:rPr>
                <w:rFonts w:ascii="Verdana" w:hAnsi="Verdana"/>
                <w:color w:val="auto"/>
                <w:sz w:val="18"/>
                <w:szCs w:val="18"/>
              </w:rPr>
              <w:t>roduction of renewable energy from agriculture and forestry</w:t>
            </w:r>
          </w:p>
        </w:tc>
      </w:tr>
      <w:tr w:rsidR="005873FC" w:rsidRPr="00ED2A3A" w14:paraId="7835780C" w14:textId="77777777" w:rsidTr="240ABBB4">
        <w:tc>
          <w:tcPr>
            <w:tcW w:w="1901" w:type="dxa"/>
            <w:vMerge/>
            <w:tcBorders>
              <w:bottom w:val="single" w:sz="8" w:space="0" w:color="4F81BD"/>
              <w:right w:val="single" w:sz="8" w:space="0" w:color="4F81BD"/>
            </w:tcBorders>
          </w:tcPr>
          <w:p w14:paraId="2C3DD6F9"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5B6CDFD4"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7AD3ABE4" w14:textId="3472149B" w:rsidR="00F053C3" w:rsidRPr="00ED2A3A" w:rsidRDefault="00AA07F1" w:rsidP="002F2870">
            <w:pPr>
              <w:pStyle w:val="Default"/>
              <w:spacing w:after="60"/>
              <w:jc w:val="center"/>
              <w:rPr>
                <w:rFonts w:ascii="Verdana" w:hAnsi="Verdana"/>
                <w:b/>
                <w:bCs/>
                <w:color w:val="auto"/>
                <w:sz w:val="18"/>
                <w:szCs w:val="18"/>
              </w:rPr>
            </w:pPr>
            <w:hyperlink w:anchor="C42" w:history="1">
              <w:r w:rsidR="00F053C3" w:rsidRPr="5CB4B133">
                <w:rPr>
                  <w:rStyle w:val="Hyperlink"/>
                  <w:rFonts w:ascii="Verdana" w:hAnsi="Verdana"/>
                  <w:b/>
                  <w:bCs/>
                  <w:sz w:val="18"/>
                  <w:szCs w:val="18"/>
                </w:rPr>
                <w:t>C.4</w:t>
              </w:r>
            </w:hyperlink>
            <w:r w:rsidR="002F2870">
              <w:rPr>
                <w:rStyle w:val="Hyperlink"/>
                <w:rFonts w:ascii="Verdana" w:hAnsi="Verdana"/>
                <w:b/>
                <w:bCs/>
                <w:sz w:val="18"/>
                <w:szCs w:val="18"/>
              </w:rPr>
              <w:t>3</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25764EE7" w14:textId="77777777" w:rsidR="00F053C3" w:rsidRPr="00ED2A3A"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C.44</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46BDBE2C" w14:textId="77777777" w:rsidR="00F053C3" w:rsidRPr="00ED2A3A" w:rsidRDefault="00F053C3" w:rsidP="00FA7243">
            <w:pPr>
              <w:pStyle w:val="Default"/>
              <w:spacing w:after="60"/>
              <w:rPr>
                <w:rFonts w:ascii="Verdana" w:hAnsi="Verdana"/>
                <w:b/>
                <w:bCs/>
                <w:color w:val="auto"/>
                <w:sz w:val="18"/>
                <w:szCs w:val="18"/>
              </w:rPr>
            </w:pPr>
            <w:r w:rsidRPr="00ED2A3A">
              <w:rPr>
                <w:rFonts w:ascii="Verdana" w:hAnsi="Verdana"/>
                <w:color w:val="auto"/>
                <w:sz w:val="18"/>
                <w:szCs w:val="18"/>
              </w:rPr>
              <w:t xml:space="preserve">Energy use in agriculture, forestry </w:t>
            </w:r>
            <w:r w:rsidRPr="00ED2A3A">
              <w:rPr>
                <w:rFonts w:ascii="Verdana" w:hAnsi="Verdana"/>
                <w:color w:val="auto"/>
                <w:sz w:val="18"/>
                <w:szCs w:val="18"/>
              </w:rPr>
              <w:lastRenderedPageBreak/>
              <w:t>and food industry</w:t>
            </w:r>
          </w:p>
        </w:tc>
      </w:tr>
      <w:tr w:rsidR="005873FC" w:rsidRPr="00ED2A3A" w14:paraId="389E7FDF" w14:textId="77777777" w:rsidTr="240ABBB4">
        <w:tc>
          <w:tcPr>
            <w:tcW w:w="1901" w:type="dxa"/>
            <w:vMerge w:val="restart"/>
            <w:tcBorders>
              <w:right w:val="single" w:sz="8" w:space="0" w:color="4F81BD"/>
            </w:tcBorders>
          </w:tcPr>
          <w:p w14:paraId="364B4AF0" w14:textId="77777777" w:rsidR="00F053C3" w:rsidRDefault="00F053C3" w:rsidP="00FA7243">
            <w:pPr>
              <w:pStyle w:val="Default"/>
              <w:spacing w:after="60"/>
              <w:rPr>
                <w:rFonts w:ascii="Verdana" w:hAnsi="Verdana"/>
                <w:b/>
                <w:bCs/>
                <w:color w:val="auto"/>
                <w:sz w:val="18"/>
                <w:szCs w:val="18"/>
              </w:rPr>
            </w:pPr>
            <w:r>
              <w:rPr>
                <w:rFonts w:ascii="Verdana" w:hAnsi="Verdana"/>
                <w:b/>
                <w:bCs/>
                <w:color w:val="auto"/>
                <w:sz w:val="18"/>
                <w:szCs w:val="18"/>
              </w:rPr>
              <w:lastRenderedPageBreak/>
              <w:t>Climate</w:t>
            </w:r>
          </w:p>
        </w:tc>
        <w:tc>
          <w:tcPr>
            <w:tcW w:w="1184" w:type="dxa"/>
            <w:tcBorders>
              <w:top w:val="single" w:sz="8" w:space="0" w:color="4F81BD"/>
              <w:bottom w:val="single" w:sz="8" w:space="0" w:color="4F81BD"/>
              <w:right w:val="single" w:sz="8" w:space="0" w:color="4F81BD"/>
            </w:tcBorders>
          </w:tcPr>
          <w:p w14:paraId="0186A64B" w14:textId="77777777" w:rsidR="00F053C3" w:rsidRDefault="00AA07F1" w:rsidP="00F053C3">
            <w:pPr>
              <w:pStyle w:val="Default"/>
              <w:spacing w:after="60"/>
              <w:jc w:val="center"/>
              <w:rPr>
                <w:rFonts w:ascii="Verdana" w:hAnsi="Verdana"/>
                <w:b/>
                <w:bCs/>
                <w:color w:val="auto"/>
                <w:sz w:val="18"/>
                <w:szCs w:val="18"/>
              </w:rPr>
            </w:pPr>
            <w:hyperlink w:anchor="I10" w:history="1">
              <w:r w:rsidR="00F053C3" w:rsidRPr="009D7BD8">
                <w:rPr>
                  <w:rStyle w:val="Hyperlink"/>
                  <w:rFonts w:ascii="Verdana" w:hAnsi="Verdana"/>
                  <w:b/>
                  <w:bCs/>
                  <w:sz w:val="18"/>
                  <w:szCs w:val="18"/>
                </w:rPr>
                <w:t>I.10</w:t>
              </w:r>
            </w:hyperlink>
          </w:p>
        </w:tc>
        <w:tc>
          <w:tcPr>
            <w:tcW w:w="1059" w:type="dxa"/>
            <w:tcBorders>
              <w:top w:val="single" w:sz="8" w:space="0" w:color="4F81BD"/>
              <w:left w:val="single" w:sz="8" w:space="0" w:color="4F81BD"/>
              <w:bottom w:val="single" w:sz="8" w:space="0" w:color="4F81BD"/>
              <w:right w:val="single" w:sz="8" w:space="0" w:color="4F81BD"/>
            </w:tcBorders>
          </w:tcPr>
          <w:p w14:paraId="25A63B34" w14:textId="178D5B4C" w:rsidR="00F053C3" w:rsidRPr="00ED2A3A" w:rsidRDefault="00AA07F1" w:rsidP="002F2870">
            <w:pPr>
              <w:pStyle w:val="Default"/>
              <w:spacing w:after="60"/>
              <w:jc w:val="center"/>
              <w:rPr>
                <w:rFonts w:ascii="Verdana" w:hAnsi="Verdana"/>
                <w:b/>
                <w:bCs/>
                <w:color w:val="auto"/>
                <w:sz w:val="18"/>
                <w:szCs w:val="18"/>
              </w:rPr>
            </w:pPr>
            <w:hyperlink w:anchor="C43" w:history="1">
              <w:r w:rsidR="00F053C3" w:rsidRPr="009D7BD8">
                <w:rPr>
                  <w:rStyle w:val="Hyperlink"/>
                  <w:rFonts w:ascii="Verdana" w:hAnsi="Verdana"/>
                  <w:b/>
                  <w:bCs/>
                  <w:sz w:val="18"/>
                  <w:szCs w:val="18"/>
                </w:rPr>
                <w:t>C.4</w:t>
              </w:r>
            </w:hyperlink>
            <w:r w:rsidR="002F2870">
              <w:rPr>
                <w:rStyle w:val="Hyperlink"/>
                <w:rFonts w:ascii="Verdana" w:hAnsi="Verdana"/>
                <w:b/>
                <w:bCs/>
                <w:sz w:val="18"/>
                <w:szCs w:val="18"/>
              </w:rPr>
              <w:t>4</w:t>
            </w: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539F6F5" w14:textId="77777777" w:rsidR="00F053C3" w:rsidRPr="00ED2A3A" w:rsidRDefault="00F053C3" w:rsidP="00FA7243">
            <w:pPr>
              <w:pStyle w:val="Default"/>
              <w:spacing w:after="60"/>
              <w:jc w:val="center"/>
              <w:rPr>
                <w:rFonts w:ascii="Verdana" w:hAnsi="Verdana"/>
                <w:b/>
                <w:bCs/>
                <w:color w:val="auto"/>
                <w:sz w:val="18"/>
                <w:szCs w:val="18"/>
              </w:rPr>
            </w:pPr>
            <w:r w:rsidRPr="00B10D33">
              <w:rPr>
                <w:rFonts w:ascii="Verdana" w:hAnsi="Verdana"/>
                <w:b/>
                <w:bCs/>
                <w:color w:val="auto"/>
                <w:sz w:val="18"/>
                <w:szCs w:val="18"/>
              </w:rPr>
              <w:t>C.45</w:t>
            </w:r>
          </w:p>
        </w:tc>
        <w:tc>
          <w:tcPr>
            <w:tcW w:w="3621" w:type="dxa"/>
            <w:tcBorders>
              <w:top w:val="single" w:sz="8" w:space="0" w:color="4F81BD"/>
              <w:left w:val="single" w:sz="8" w:space="0" w:color="4F81BD"/>
              <w:bottom w:val="single" w:sz="8" w:space="0" w:color="4F81BD"/>
            </w:tcBorders>
            <w:shd w:val="clear" w:color="auto" w:fill="auto"/>
          </w:tcPr>
          <w:p w14:paraId="4BC3FBC5" w14:textId="3C1F1FCF" w:rsidR="00F053C3" w:rsidRPr="00ED2A3A" w:rsidRDefault="00F053C3" w:rsidP="00FA7243">
            <w:pPr>
              <w:pStyle w:val="Default"/>
              <w:spacing w:after="60"/>
              <w:rPr>
                <w:rFonts w:ascii="Verdana" w:hAnsi="Verdana"/>
                <w:b/>
                <w:bCs/>
                <w:color w:val="auto"/>
                <w:sz w:val="18"/>
                <w:szCs w:val="18"/>
              </w:rPr>
            </w:pPr>
            <w:r>
              <w:rPr>
                <w:rFonts w:ascii="Verdana" w:hAnsi="Verdana"/>
                <w:sz w:val="18"/>
                <w:szCs w:val="18"/>
              </w:rPr>
              <w:t>Greenhouse gas emissions</w:t>
            </w:r>
            <w:r w:rsidR="00757390">
              <w:rPr>
                <w:rFonts w:ascii="Verdana" w:hAnsi="Verdana"/>
                <w:sz w:val="18"/>
                <w:szCs w:val="18"/>
              </w:rPr>
              <w:t xml:space="preserve"> from agriculture</w:t>
            </w:r>
          </w:p>
        </w:tc>
      </w:tr>
      <w:tr w:rsidR="005873FC" w:rsidRPr="00ED2A3A" w14:paraId="1D51D271" w14:textId="77777777" w:rsidTr="240ABBB4">
        <w:tc>
          <w:tcPr>
            <w:tcW w:w="1901" w:type="dxa"/>
            <w:vMerge/>
            <w:tcBorders>
              <w:right w:val="single" w:sz="8" w:space="0" w:color="4F81BD"/>
            </w:tcBorders>
          </w:tcPr>
          <w:p w14:paraId="339C568B"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FB0E5BF" w14:textId="77777777" w:rsidR="00F053C3" w:rsidRDefault="00AA07F1" w:rsidP="5CB4B133">
            <w:pPr>
              <w:pStyle w:val="Default"/>
              <w:spacing w:after="60"/>
              <w:jc w:val="center"/>
              <w:rPr>
                <w:rFonts w:ascii="Verdana" w:hAnsi="Verdana"/>
                <w:b/>
                <w:bCs/>
                <w:color w:val="auto"/>
                <w:sz w:val="18"/>
                <w:szCs w:val="18"/>
              </w:rPr>
            </w:pPr>
            <w:hyperlink w:anchor="I09" w:history="1">
              <w:r w:rsidR="00F053C3" w:rsidRPr="5CB4B133">
                <w:rPr>
                  <w:rStyle w:val="Hyperlink"/>
                  <w:rFonts w:ascii="Verdana" w:hAnsi="Verdana"/>
                  <w:b/>
                  <w:bCs/>
                  <w:sz w:val="18"/>
                  <w:szCs w:val="18"/>
                </w:rPr>
                <w:t>I.9</w:t>
              </w:r>
            </w:hyperlink>
          </w:p>
        </w:tc>
        <w:tc>
          <w:tcPr>
            <w:tcW w:w="1059" w:type="dxa"/>
            <w:tcBorders>
              <w:top w:val="single" w:sz="8" w:space="0" w:color="4F81BD"/>
              <w:left w:val="single" w:sz="8" w:space="0" w:color="4F81BD"/>
              <w:bottom w:val="single" w:sz="8" w:space="0" w:color="4F81BD"/>
              <w:right w:val="single" w:sz="8" w:space="0" w:color="4F81BD"/>
            </w:tcBorders>
          </w:tcPr>
          <w:p w14:paraId="106A7C4C" w14:textId="24F4360C" w:rsidR="00F053C3" w:rsidRDefault="00AA07F1" w:rsidP="002F2870">
            <w:pPr>
              <w:pStyle w:val="Default"/>
              <w:spacing w:after="60"/>
              <w:jc w:val="center"/>
              <w:rPr>
                <w:rFonts w:ascii="Verdana" w:hAnsi="Verdana"/>
                <w:b/>
                <w:bCs/>
                <w:color w:val="auto"/>
                <w:sz w:val="18"/>
                <w:szCs w:val="18"/>
              </w:rPr>
            </w:pPr>
            <w:hyperlink w:anchor="C44" w:history="1">
              <w:r w:rsidR="00F053C3" w:rsidRPr="5CB4B133">
                <w:rPr>
                  <w:rStyle w:val="Hyperlink"/>
                  <w:rFonts w:ascii="Verdana" w:hAnsi="Verdana"/>
                  <w:b/>
                  <w:bCs/>
                  <w:sz w:val="18"/>
                  <w:szCs w:val="18"/>
                </w:rPr>
                <w:t>C.4</w:t>
              </w:r>
              <w:r w:rsidR="002F2870">
                <w:rPr>
                  <w:rStyle w:val="Hyperlink"/>
                  <w:rFonts w:ascii="Verdana" w:hAnsi="Verdana"/>
                  <w:b/>
                  <w:bCs/>
                  <w:sz w:val="18"/>
                  <w:szCs w:val="18"/>
                </w:rPr>
                <w:t>5</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02F3404"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0DEB7771" w14:textId="2F260131" w:rsidR="00F053C3" w:rsidRDefault="00757390" w:rsidP="000723BC">
            <w:pPr>
              <w:pStyle w:val="Default"/>
              <w:spacing w:after="60" w:line="276" w:lineRule="auto"/>
              <w:rPr>
                <w:rFonts w:ascii="Verdana" w:hAnsi="Verdana"/>
                <w:color w:val="auto"/>
                <w:sz w:val="18"/>
                <w:szCs w:val="18"/>
              </w:rPr>
            </w:pPr>
            <w:r>
              <w:rPr>
                <w:rFonts w:ascii="Verdana" w:hAnsi="Verdana"/>
                <w:color w:val="auto"/>
                <w:sz w:val="18"/>
                <w:szCs w:val="18"/>
              </w:rPr>
              <w:t>Agricultural sector resilience progress indicator</w:t>
            </w:r>
          </w:p>
        </w:tc>
      </w:tr>
      <w:tr w:rsidR="005873FC" w:rsidRPr="00ED2A3A" w14:paraId="0FF34393" w14:textId="77777777" w:rsidTr="240ABBB4">
        <w:tc>
          <w:tcPr>
            <w:tcW w:w="1901" w:type="dxa"/>
            <w:vMerge/>
            <w:tcBorders>
              <w:bottom w:val="single" w:sz="8" w:space="0" w:color="4F81BD"/>
              <w:right w:val="single" w:sz="8" w:space="0" w:color="4F81BD"/>
            </w:tcBorders>
          </w:tcPr>
          <w:p w14:paraId="6702E8DA" w14:textId="77777777" w:rsidR="00F053C3" w:rsidRDefault="00F053C3" w:rsidP="00FA7243">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75ABEF0C" w14:textId="77777777" w:rsidR="00F053C3" w:rsidRDefault="00F053C3" w:rsidP="00F053C3">
            <w:pPr>
              <w:pStyle w:val="Default"/>
              <w:spacing w:after="60"/>
              <w:jc w:val="center"/>
              <w:rPr>
                <w:rFonts w:ascii="Verdana" w:hAnsi="Verdana"/>
                <w:b/>
                <w:color w:val="auto"/>
                <w:sz w:val="18"/>
                <w:szCs w:val="18"/>
              </w:rPr>
            </w:pPr>
          </w:p>
        </w:tc>
        <w:tc>
          <w:tcPr>
            <w:tcW w:w="1059" w:type="dxa"/>
            <w:tcBorders>
              <w:top w:val="single" w:sz="8" w:space="0" w:color="4F81BD"/>
              <w:left w:val="single" w:sz="8" w:space="0" w:color="4F81BD"/>
              <w:bottom w:val="single" w:sz="8" w:space="0" w:color="4F81BD"/>
              <w:right w:val="single" w:sz="8" w:space="0" w:color="4F81BD"/>
            </w:tcBorders>
          </w:tcPr>
          <w:p w14:paraId="5FFEA93A" w14:textId="47CA301E" w:rsidR="00F053C3" w:rsidRDefault="00AA07F1" w:rsidP="002F2870">
            <w:pPr>
              <w:pStyle w:val="Default"/>
              <w:spacing w:after="60"/>
              <w:jc w:val="center"/>
              <w:rPr>
                <w:rFonts w:ascii="Verdana" w:hAnsi="Verdana"/>
                <w:b/>
                <w:bCs/>
                <w:color w:val="auto"/>
                <w:sz w:val="18"/>
                <w:szCs w:val="18"/>
              </w:rPr>
            </w:pPr>
            <w:hyperlink w:anchor="C45" w:history="1">
              <w:r w:rsidR="00F053C3" w:rsidRPr="5CB4B133">
                <w:rPr>
                  <w:rStyle w:val="Hyperlink"/>
                  <w:rFonts w:ascii="Verdana" w:hAnsi="Verdana"/>
                  <w:b/>
                  <w:bCs/>
                  <w:sz w:val="18"/>
                  <w:szCs w:val="18"/>
                </w:rPr>
                <w:t>C.4</w:t>
              </w:r>
              <w:r w:rsidR="002F2870">
                <w:rPr>
                  <w:rStyle w:val="Hyperlink"/>
                  <w:rFonts w:ascii="Verdana" w:hAnsi="Verdana"/>
                  <w:b/>
                  <w:bCs/>
                  <w:sz w:val="18"/>
                  <w:szCs w:val="18"/>
                </w:rPr>
                <w:t>6</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7AEF84D"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1E7880D6"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Direct agricultural loss attributed to disasters</w:t>
            </w:r>
            <w:r w:rsidR="002F6287">
              <w:rPr>
                <w:rFonts w:ascii="Verdana" w:hAnsi="Verdana"/>
                <w:color w:val="auto"/>
                <w:sz w:val="18"/>
                <w:szCs w:val="18"/>
              </w:rPr>
              <w:t xml:space="preserve"> </w:t>
            </w:r>
          </w:p>
        </w:tc>
      </w:tr>
      <w:tr w:rsidR="005873FC" w:rsidRPr="00ED2A3A" w14:paraId="2392C3D4" w14:textId="77777777" w:rsidTr="240ABBB4">
        <w:tc>
          <w:tcPr>
            <w:tcW w:w="1901" w:type="dxa"/>
            <w:tcBorders>
              <w:top w:val="single" w:sz="8" w:space="0" w:color="4F81BD"/>
              <w:left w:val="single" w:sz="8" w:space="0" w:color="4F81BD"/>
              <w:bottom w:val="single" w:sz="8" w:space="0" w:color="4F81BD"/>
            </w:tcBorders>
          </w:tcPr>
          <w:p w14:paraId="027409DD"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Air</w:t>
            </w:r>
          </w:p>
        </w:tc>
        <w:tc>
          <w:tcPr>
            <w:tcW w:w="1184" w:type="dxa"/>
            <w:tcBorders>
              <w:top w:val="single" w:sz="8" w:space="0" w:color="4F81BD"/>
              <w:left w:val="single" w:sz="8" w:space="0" w:color="4F81BD"/>
              <w:bottom w:val="single" w:sz="8" w:space="0" w:color="4F81BD"/>
            </w:tcBorders>
          </w:tcPr>
          <w:p w14:paraId="38AB2440" w14:textId="77777777" w:rsidR="00F053C3" w:rsidRDefault="00AA07F1" w:rsidP="5CB4B133">
            <w:pPr>
              <w:pStyle w:val="Default"/>
              <w:spacing w:after="60"/>
              <w:jc w:val="center"/>
              <w:rPr>
                <w:rFonts w:ascii="Verdana" w:hAnsi="Verdana"/>
                <w:b/>
                <w:bCs/>
                <w:color w:val="auto"/>
                <w:sz w:val="18"/>
                <w:szCs w:val="18"/>
              </w:rPr>
            </w:pPr>
            <w:hyperlink w:anchor="I14" w:history="1">
              <w:r w:rsidR="00F053C3" w:rsidRPr="5CB4B133">
                <w:rPr>
                  <w:rStyle w:val="Hyperlink"/>
                  <w:rFonts w:ascii="Verdana" w:hAnsi="Verdana"/>
                  <w:b/>
                  <w:bCs/>
                  <w:sz w:val="18"/>
                  <w:szCs w:val="18"/>
                </w:rPr>
                <w:t>I.14</w:t>
              </w:r>
            </w:hyperlink>
          </w:p>
        </w:tc>
        <w:tc>
          <w:tcPr>
            <w:tcW w:w="1059" w:type="dxa"/>
            <w:tcBorders>
              <w:top w:val="single" w:sz="8" w:space="0" w:color="4F81BD"/>
              <w:left w:val="single" w:sz="8" w:space="0" w:color="4F81BD"/>
              <w:bottom w:val="single" w:sz="8" w:space="0" w:color="4F81BD"/>
              <w:right w:val="single" w:sz="8" w:space="0" w:color="4F81BD"/>
            </w:tcBorders>
          </w:tcPr>
          <w:p w14:paraId="189A713D" w14:textId="32A4CCDC" w:rsidR="00F053C3" w:rsidRDefault="00AA07F1" w:rsidP="002F2870">
            <w:pPr>
              <w:pStyle w:val="Default"/>
              <w:spacing w:after="60"/>
              <w:jc w:val="center"/>
              <w:rPr>
                <w:rFonts w:ascii="Verdana" w:hAnsi="Verdana"/>
                <w:b/>
                <w:bCs/>
                <w:color w:val="auto"/>
                <w:sz w:val="18"/>
                <w:szCs w:val="18"/>
              </w:rPr>
            </w:pPr>
            <w:hyperlink w:anchor="C46" w:history="1">
              <w:r w:rsidR="00F053C3" w:rsidRPr="5CB4B133">
                <w:rPr>
                  <w:rStyle w:val="Hyperlink"/>
                  <w:rFonts w:ascii="Verdana" w:hAnsi="Verdana"/>
                  <w:b/>
                  <w:bCs/>
                  <w:sz w:val="18"/>
                  <w:szCs w:val="18"/>
                </w:rPr>
                <w:t>C.4</w:t>
              </w:r>
              <w:r w:rsidR="002F2870">
                <w:rPr>
                  <w:rStyle w:val="Hyperlink"/>
                  <w:rFonts w:ascii="Verdana" w:hAnsi="Verdana"/>
                  <w:b/>
                  <w:bCs/>
                  <w:sz w:val="18"/>
                  <w:szCs w:val="18"/>
                </w:rPr>
                <w:t>7</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77F6EE4C" w14:textId="77777777" w:rsidR="00F053C3" w:rsidRDefault="00F053C3" w:rsidP="5CB4B133">
            <w:pPr>
              <w:pStyle w:val="Default"/>
              <w:spacing w:after="60"/>
              <w:jc w:val="center"/>
              <w:rPr>
                <w:rFonts w:ascii="Verdana" w:hAnsi="Verdana"/>
                <w:b/>
                <w:bCs/>
                <w:color w:val="auto"/>
                <w:sz w:val="18"/>
                <w:szCs w:val="18"/>
              </w:rPr>
            </w:pPr>
            <w:r w:rsidRPr="5CB4B133">
              <w:rPr>
                <w:rFonts w:ascii="Verdana" w:hAnsi="Verdana"/>
                <w:b/>
                <w:bCs/>
                <w:color w:val="auto"/>
                <w:sz w:val="18"/>
                <w:szCs w:val="18"/>
              </w:rPr>
              <w:t>C.45</w:t>
            </w: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5720E234" w14:textId="77777777" w:rsidR="00F053C3" w:rsidRDefault="00F053C3" w:rsidP="00FA7243">
            <w:pPr>
              <w:pStyle w:val="Default"/>
              <w:spacing w:after="60"/>
              <w:rPr>
                <w:rFonts w:ascii="Verdana" w:hAnsi="Verdana"/>
                <w:color w:val="auto"/>
                <w:sz w:val="18"/>
                <w:szCs w:val="18"/>
              </w:rPr>
            </w:pPr>
            <w:r>
              <w:rPr>
                <w:rFonts w:ascii="Verdana" w:hAnsi="Verdana"/>
                <w:color w:val="auto"/>
                <w:sz w:val="18"/>
                <w:szCs w:val="18"/>
              </w:rPr>
              <w:t>Ammonia emissions</w:t>
            </w:r>
            <w:r w:rsidR="00757390">
              <w:rPr>
                <w:rFonts w:ascii="Verdana" w:hAnsi="Verdana"/>
                <w:color w:val="auto"/>
                <w:sz w:val="18"/>
                <w:szCs w:val="18"/>
              </w:rPr>
              <w:t xml:space="preserve"> from agriculture</w:t>
            </w:r>
          </w:p>
        </w:tc>
      </w:tr>
      <w:tr w:rsidR="005873FC" w:rsidRPr="00ED2A3A" w14:paraId="2CC9A303" w14:textId="77777777" w:rsidTr="240ABBB4">
        <w:tc>
          <w:tcPr>
            <w:tcW w:w="1901" w:type="dxa"/>
            <w:vMerge w:val="restart"/>
            <w:tcBorders>
              <w:top w:val="single" w:sz="8" w:space="0" w:color="4F81BD"/>
              <w:left w:val="single" w:sz="8" w:space="0" w:color="4F81BD"/>
            </w:tcBorders>
          </w:tcPr>
          <w:p w14:paraId="506F54D0"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Health</w:t>
            </w:r>
          </w:p>
        </w:tc>
        <w:tc>
          <w:tcPr>
            <w:tcW w:w="1184" w:type="dxa"/>
            <w:tcBorders>
              <w:top w:val="single" w:sz="8" w:space="0" w:color="4F81BD"/>
              <w:left w:val="single" w:sz="8" w:space="0" w:color="4F81BD"/>
              <w:bottom w:val="single" w:sz="8" w:space="0" w:color="4F81BD"/>
            </w:tcBorders>
          </w:tcPr>
          <w:p w14:paraId="5A157D43" w14:textId="7753E537" w:rsidR="00F053C3" w:rsidRDefault="00AA07F1" w:rsidP="003C473C">
            <w:pPr>
              <w:pStyle w:val="Default"/>
              <w:spacing w:after="60"/>
              <w:jc w:val="center"/>
              <w:rPr>
                <w:rFonts w:ascii="Verdana" w:hAnsi="Verdana"/>
                <w:b/>
                <w:bCs/>
                <w:color w:val="auto"/>
                <w:sz w:val="18"/>
                <w:szCs w:val="18"/>
              </w:rPr>
            </w:pPr>
            <w:hyperlink w:anchor="I26" w:history="1">
              <w:r w:rsidR="003C473C" w:rsidRPr="5CB4B133">
                <w:rPr>
                  <w:rStyle w:val="Hyperlink"/>
                  <w:rFonts w:ascii="Verdana" w:hAnsi="Verdana"/>
                  <w:b/>
                  <w:bCs/>
                  <w:sz w:val="18"/>
                  <w:szCs w:val="18"/>
                </w:rPr>
                <w:t>I.2</w:t>
              </w:r>
              <w:r w:rsidR="003C473C">
                <w:rPr>
                  <w:rStyle w:val="Hyperlink"/>
                  <w:rFonts w:ascii="Verdana" w:hAnsi="Verdana"/>
                  <w:b/>
                  <w:bCs/>
                  <w:sz w:val="18"/>
                  <w:szCs w:val="18"/>
                </w:rPr>
                <w:t>8</w:t>
              </w:r>
            </w:hyperlink>
          </w:p>
        </w:tc>
        <w:tc>
          <w:tcPr>
            <w:tcW w:w="1059" w:type="dxa"/>
            <w:tcBorders>
              <w:top w:val="single" w:sz="8" w:space="0" w:color="4F81BD"/>
              <w:left w:val="single" w:sz="8" w:space="0" w:color="4F81BD"/>
              <w:bottom w:val="single" w:sz="8" w:space="0" w:color="4F81BD"/>
              <w:right w:val="single" w:sz="8" w:space="0" w:color="4F81BD"/>
            </w:tcBorders>
          </w:tcPr>
          <w:p w14:paraId="05735B0B" w14:textId="688D7241" w:rsidR="00F053C3" w:rsidRDefault="00AA07F1" w:rsidP="002F2870">
            <w:pPr>
              <w:pStyle w:val="Default"/>
              <w:spacing w:after="60"/>
              <w:jc w:val="center"/>
              <w:rPr>
                <w:rFonts w:ascii="Verdana" w:hAnsi="Verdana"/>
                <w:b/>
                <w:bCs/>
                <w:color w:val="auto"/>
                <w:sz w:val="18"/>
                <w:szCs w:val="18"/>
              </w:rPr>
            </w:pPr>
            <w:hyperlink w:anchor="C47" w:history="1">
              <w:r w:rsidR="00F053C3" w:rsidRPr="5CB4B133">
                <w:rPr>
                  <w:rStyle w:val="Hyperlink"/>
                  <w:rFonts w:ascii="Verdana" w:hAnsi="Verdana"/>
                  <w:b/>
                  <w:bCs/>
                  <w:sz w:val="18"/>
                  <w:szCs w:val="18"/>
                </w:rPr>
                <w:t>C.4</w:t>
              </w:r>
              <w:r w:rsidR="002F2870">
                <w:rPr>
                  <w:rStyle w:val="Hyperlink"/>
                  <w:rFonts w:ascii="Verdana" w:hAnsi="Verdana"/>
                  <w:b/>
                  <w:bCs/>
                  <w:sz w:val="18"/>
                  <w:szCs w:val="18"/>
                </w:rPr>
                <w:t>8</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35787775"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98BA1C3" w14:textId="57BB5299" w:rsidR="00F053C3" w:rsidRDefault="00CE3685" w:rsidP="00FA7243">
            <w:pPr>
              <w:pStyle w:val="Default"/>
              <w:spacing w:after="60"/>
              <w:rPr>
                <w:rFonts w:ascii="Verdana" w:hAnsi="Verdana"/>
                <w:color w:val="auto"/>
                <w:sz w:val="18"/>
                <w:szCs w:val="18"/>
              </w:rPr>
            </w:pPr>
            <w:r>
              <w:rPr>
                <w:rFonts w:ascii="Verdana" w:hAnsi="Verdana"/>
                <w:color w:val="auto"/>
                <w:sz w:val="18"/>
                <w:szCs w:val="18"/>
              </w:rPr>
              <w:t>S</w:t>
            </w:r>
            <w:r w:rsidR="00F053C3" w:rsidRPr="0026636E">
              <w:rPr>
                <w:rFonts w:ascii="Verdana" w:hAnsi="Verdana"/>
                <w:color w:val="auto"/>
                <w:sz w:val="18"/>
                <w:szCs w:val="18"/>
              </w:rPr>
              <w:t>ales</w:t>
            </w:r>
            <w:r w:rsidR="00F91C28">
              <w:rPr>
                <w:rFonts w:ascii="Verdana" w:hAnsi="Verdana"/>
                <w:color w:val="auto"/>
                <w:sz w:val="18"/>
                <w:szCs w:val="18"/>
              </w:rPr>
              <w:t>/use</w:t>
            </w:r>
            <w:r>
              <w:rPr>
                <w:rFonts w:ascii="Verdana" w:hAnsi="Verdana"/>
                <w:color w:val="auto"/>
                <w:sz w:val="18"/>
                <w:szCs w:val="18"/>
              </w:rPr>
              <w:t xml:space="preserve"> of antimicrobials</w:t>
            </w:r>
            <w:r w:rsidR="00F053C3" w:rsidRPr="0026636E">
              <w:rPr>
                <w:rFonts w:ascii="Verdana" w:hAnsi="Verdana"/>
                <w:color w:val="auto"/>
                <w:sz w:val="18"/>
                <w:szCs w:val="18"/>
              </w:rPr>
              <w:t xml:space="preserve"> in food producing animals</w:t>
            </w:r>
          </w:p>
        </w:tc>
      </w:tr>
      <w:tr w:rsidR="005873FC" w:rsidRPr="00ED2A3A" w14:paraId="288F1817" w14:textId="77777777" w:rsidTr="240ABBB4">
        <w:tc>
          <w:tcPr>
            <w:tcW w:w="1901" w:type="dxa"/>
            <w:vMerge/>
            <w:tcBorders>
              <w:left w:val="single" w:sz="8" w:space="0" w:color="4F81BD"/>
              <w:bottom w:val="single" w:sz="8" w:space="0" w:color="4F81BD"/>
            </w:tcBorders>
          </w:tcPr>
          <w:p w14:paraId="4E7F7684" w14:textId="77777777" w:rsidR="00F053C3" w:rsidRDefault="00F053C3" w:rsidP="00325330">
            <w:pPr>
              <w:pStyle w:val="Default"/>
              <w:spacing w:after="60"/>
              <w:rPr>
                <w:rFonts w:ascii="Verdana" w:hAnsi="Verdana"/>
                <w:b/>
                <w:color w:val="auto"/>
                <w:sz w:val="18"/>
                <w:szCs w:val="18"/>
              </w:rPr>
            </w:pPr>
          </w:p>
        </w:tc>
        <w:tc>
          <w:tcPr>
            <w:tcW w:w="1184" w:type="dxa"/>
            <w:tcBorders>
              <w:top w:val="single" w:sz="8" w:space="0" w:color="4F81BD"/>
              <w:left w:val="single" w:sz="8" w:space="0" w:color="4F81BD"/>
              <w:bottom w:val="single" w:sz="8" w:space="0" w:color="4F81BD"/>
            </w:tcBorders>
          </w:tcPr>
          <w:p w14:paraId="0AF28A49" w14:textId="15650A72" w:rsidR="00F053C3" w:rsidRDefault="00AA07F1" w:rsidP="0041604C">
            <w:pPr>
              <w:pStyle w:val="Default"/>
              <w:spacing w:after="60"/>
              <w:jc w:val="center"/>
              <w:rPr>
                <w:rFonts w:ascii="Verdana" w:hAnsi="Verdana"/>
                <w:b/>
                <w:bCs/>
                <w:color w:val="auto"/>
                <w:sz w:val="18"/>
                <w:szCs w:val="18"/>
              </w:rPr>
            </w:pPr>
            <w:hyperlink w:anchor="I27" w:history="1">
              <w:r w:rsidR="00F053C3" w:rsidRPr="002F2870">
                <w:rPr>
                  <w:rStyle w:val="Hyperlink"/>
                  <w:rFonts w:ascii="Verdana" w:hAnsi="Verdana"/>
                  <w:b/>
                  <w:bCs/>
                  <w:sz w:val="18"/>
                  <w:szCs w:val="18"/>
                </w:rPr>
                <w:t>I.</w:t>
              </w:r>
              <w:r w:rsidR="0041604C">
                <w:rPr>
                  <w:rStyle w:val="Hyperlink"/>
                  <w:rFonts w:ascii="Verdana" w:hAnsi="Verdana"/>
                  <w:b/>
                  <w:bCs/>
                  <w:sz w:val="18"/>
                  <w:szCs w:val="18"/>
                </w:rPr>
                <w:t>18</w:t>
              </w:r>
            </w:hyperlink>
          </w:p>
        </w:tc>
        <w:tc>
          <w:tcPr>
            <w:tcW w:w="1059" w:type="dxa"/>
            <w:tcBorders>
              <w:top w:val="single" w:sz="8" w:space="0" w:color="4F81BD"/>
              <w:left w:val="single" w:sz="8" w:space="0" w:color="4F81BD"/>
              <w:bottom w:val="single" w:sz="8" w:space="0" w:color="4F81BD"/>
              <w:right w:val="single" w:sz="8" w:space="0" w:color="4F81BD"/>
            </w:tcBorders>
          </w:tcPr>
          <w:p w14:paraId="15AFCE51" w14:textId="604E814B" w:rsidR="00F053C3" w:rsidRDefault="00AA07F1" w:rsidP="002F2870">
            <w:pPr>
              <w:pStyle w:val="Default"/>
              <w:spacing w:after="60"/>
              <w:jc w:val="center"/>
              <w:rPr>
                <w:rFonts w:ascii="Verdana" w:hAnsi="Verdana"/>
                <w:b/>
                <w:bCs/>
                <w:color w:val="auto"/>
                <w:sz w:val="18"/>
                <w:szCs w:val="18"/>
              </w:rPr>
            </w:pPr>
            <w:hyperlink w:anchor="C48" w:history="1">
              <w:r w:rsidR="00F053C3" w:rsidRPr="5CB4B133">
                <w:rPr>
                  <w:rStyle w:val="Hyperlink"/>
                  <w:rFonts w:ascii="Verdana" w:hAnsi="Verdana"/>
                  <w:b/>
                  <w:bCs/>
                  <w:sz w:val="18"/>
                  <w:szCs w:val="18"/>
                </w:rPr>
                <w:t>C.4</w:t>
              </w:r>
              <w:r w:rsidR="002F2870">
                <w:rPr>
                  <w:rStyle w:val="Hyperlink"/>
                  <w:rFonts w:ascii="Verdana" w:hAnsi="Verdana"/>
                  <w:b/>
                  <w:bCs/>
                  <w:sz w:val="18"/>
                  <w:szCs w:val="18"/>
                </w:rPr>
                <w:t>9</w:t>
              </w:r>
            </w:hyperlink>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148AAAF5" w14:textId="77777777" w:rsidR="00F053C3" w:rsidRDefault="00F053C3" w:rsidP="00FA724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6CD2EF4" w14:textId="31AB35FB" w:rsidR="00F053C3" w:rsidRPr="0026636E" w:rsidRDefault="00F053C3" w:rsidP="00FA7243">
            <w:pPr>
              <w:pStyle w:val="Default"/>
              <w:spacing w:after="60"/>
              <w:rPr>
                <w:rFonts w:ascii="Verdana" w:hAnsi="Verdana"/>
                <w:color w:val="auto"/>
                <w:sz w:val="18"/>
                <w:szCs w:val="18"/>
              </w:rPr>
            </w:pPr>
            <w:r w:rsidRPr="002F2870">
              <w:rPr>
                <w:rFonts w:ascii="Verdana" w:hAnsi="Verdana"/>
                <w:color w:val="auto"/>
                <w:sz w:val="18"/>
                <w:szCs w:val="18"/>
              </w:rPr>
              <w:t>Risk</w:t>
            </w:r>
            <w:r w:rsidR="00CE3685" w:rsidRPr="002F2870">
              <w:rPr>
                <w:rFonts w:ascii="Verdana" w:hAnsi="Verdana"/>
                <w:color w:val="auto"/>
                <w:sz w:val="18"/>
                <w:szCs w:val="18"/>
              </w:rPr>
              <w:t>, use</w:t>
            </w:r>
            <w:r w:rsidRPr="002F2870">
              <w:rPr>
                <w:rFonts w:ascii="Verdana" w:hAnsi="Verdana"/>
                <w:color w:val="auto"/>
                <w:sz w:val="18"/>
                <w:szCs w:val="18"/>
              </w:rPr>
              <w:t xml:space="preserve"> and impacts of pesticides</w:t>
            </w:r>
          </w:p>
        </w:tc>
      </w:tr>
      <w:tr w:rsidR="005873FC" w:rsidRPr="00ED2A3A" w14:paraId="770412F4" w14:textId="77777777" w:rsidTr="240ABBB4">
        <w:tc>
          <w:tcPr>
            <w:tcW w:w="1901" w:type="dxa"/>
            <w:tcBorders>
              <w:top w:val="single" w:sz="8" w:space="0" w:color="4F81BD"/>
              <w:left w:val="single" w:sz="8" w:space="0" w:color="4F81BD"/>
              <w:bottom w:val="single" w:sz="8" w:space="0" w:color="4F81BD"/>
            </w:tcBorders>
          </w:tcPr>
          <w:p w14:paraId="149BEED8"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Modernisation</w:t>
            </w:r>
          </w:p>
        </w:tc>
        <w:tc>
          <w:tcPr>
            <w:tcW w:w="1184" w:type="dxa"/>
            <w:tcBorders>
              <w:top w:val="single" w:sz="8" w:space="0" w:color="4F81BD"/>
              <w:left w:val="single" w:sz="8" w:space="0" w:color="4F81BD"/>
              <w:bottom w:val="single" w:sz="8" w:space="0" w:color="4F81BD"/>
            </w:tcBorders>
          </w:tcPr>
          <w:p w14:paraId="3D2688B2" w14:textId="77777777" w:rsidR="00F053C3" w:rsidRDefault="00AA07F1" w:rsidP="5CB4B133">
            <w:pPr>
              <w:pStyle w:val="Default"/>
              <w:spacing w:after="60"/>
              <w:jc w:val="center"/>
              <w:rPr>
                <w:rFonts w:ascii="Verdana" w:hAnsi="Verdana"/>
                <w:b/>
                <w:bCs/>
                <w:color w:val="auto"/>
                <w:sz w:val="18"/>
                <w:szCs w:val="18"/>
              </w:rPr>
            </w:pPr>
            <w:hyperlink w:anchor="I01" w:history="1">
              <w:r w:rsidR="00F053C3" w:rsidRPr="5CB4B133">
                <w:rPr>
                  <w:rStyle w:val="Hyperlink"/>
                  <w:rFonts w:ascii="Verdana" w:hAnsi="Verdana"/>
                  <w:b/>
                  <w:bCs/>
                  <w:sz w:val="18"/>
                  <w:szCs w:val="18"/>
                </w:rPr>
                <w:t>I.1</w:t>
              </w:r>
            </w:hyperlink>
          </w:p>
        </w:tc>
        <w:tc>
          <w:tcPr>
            <w:tcW w:w="1059" w:type="dxa"/>
            <w:tcBorders>
              <w:top w:val="single" w:sz="8" w:space="0" w:color="4F81BD"/>
              <w:left w:val="single" w:sz="8" w:space="0" w:color="4F81BD"/>
              <w:bottom w:val="single" w:sz="8" w:space="0" w:color="4F81BD"/>
              <w:right w:val="single" w:sz="8" w:space="0" w:color="4F81BD"/>
            </w:tcBorders>
          </w:tcPr>
          <w:p w14:paraId="0A56DF4C"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41C116CA"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2794155B" w14:textId="77777777" w:rsidR="00F053C3" w:rsidRPr="004F7209" w:rsidRDefault="00F053C3" w:rsidP="000723BC">
            <w:pPr>
              <w:pStyle w:val="Default"/>
              <w:spacing w:after="60"/>
              <w:rPr>
                <w:rFonts w:ascii="Verdana" w:hAnsi="Verdana"/>
                <w:color w:val="auto"/>
                <w:sz w:val="18"/>
                <w:szCs w:val="18"/>
              </w:rPr>
            </w:pPr>
            <w:r w:rsidRPr="004F7209">
              <w:rPr>
                <w:rFonts w:ascii="Verdana" w:hAnsi="Verdana"/>
                <w:color w:val="auto"/>
                <w:sz w:val="18"/>
                <w:szCs w:val="18"/>
              </w:rPr>
              <w:t>Share of CAP budget for knowledge sharing and innovation</w:t>
            </w:r>
          </w:p>
        </w:tc>
      </w:tr>
      <w:tr w:rsidR="005873FC" w:rsidRPr="00ED2A3A" w14:paraId="457F4D1A" w14:textId="77777777" w:rsidTr="240ABBB4">
        <w:tc>
          <w:tcPr>
            <w:tcW w:w="1901" w:type="dxa"/>
            <w:tcBorders>
              <w:top w:val="single" w:sz="8" w:space="0" w:color="4F81BD"/>
              <w:left w:val="single" w:sz="8" w:space="0" w:color="4F81BD"/>
              <w:bottom w:val="single" w:sz="8" w:space="0" w:color="4F81BD"/>
            </w:tcBorders>
          </w:tcPr>
          <w:p w14:paraId="7258251B" w14:textId="77777777" w:rsidR="00F053C3" w:rsidRDefault="00F053C3" w:rsidP="5CB4B133">
            <w:pPr>
              <w:pStyle w:val="Default"/>
              <w:spacing w:after="60"/>
              <w:rPr>
                <w:rFonts w:ascii="Verdana" w:hAnsi="Verdana"/>
                <w:b/>
                <w:bCs/>
                <w:color w:val="auto"/>
                <w:sz w:val="18"/>
                <w:szCs w:val="18"/>
              </w:rPr>
            </w:pPr>
            <w:r w:rsidRPr="5CB4B133">
              <w:rPr>
                <w:rFonts w:ascii="Verdana" w:hAnsi="Verdana"/>
                <w:b/>
                <w:bCs/>
                <w:color w:val="auto"/>
                <w:sz w:val="18"/>
                <w:szCs w:val="18"/>
              </w:rPr>
              <w:t>Fairness</w:t>
            </w:r>
          </w:p>
        </w:tc>
        <w:tc>
          <w:tcPr>
            <w:tcW w:w="1184" w:type="dxa"/>
            <w:tcBorders>
              <w:top w:val="single" w:sz="8" w:space="0" w:color="4F81BD"/>
              <w:left w:val="single" w:sz="8" w:space="0" w:color="4F81BD"/>
              <w:bottom w:val="single" w:sz="8" w:space="0" w:color="4F81BD"/>
            </w:tcBorders>
          </w:tcPr>
          <w:p w14:paraId="3A94706C" w14:textId="3EC2F7D5" w:rsidR="00F053C3" w:rsidRDefault="00AA07F1" w:rsidP="003C473C">
            <w:pPr>
              <w:pStyle w:val="Default"/>
              <w:spacing w:after="60"/>
              <w:jc w:val="center"/>
              <w:rPr>
                <w:rFonts w:ascii="Verdana" w:hAnsi="Verdana"/>
                <w:b/>
                <w:bCs/>
                <w:color w:val="auto"/>
                <w:sz w:val="18"/>
                <w:szCs w:val="18"/>
              </w:rPr>
            </w:pPr>
            <w:hyperlink w:anchor="I24" w:history="1">
              <w:r w:rsidR="003C473C" w:rsidRPr="5CB4B133">
                <w:rPr>
                  <w:rStyle w:val="Hyperlink"/>
                  <w:rFonts w:ascii="Verdana" w:hAnsi="Verdana"/>
                  <w:b/>
                  <w:bCs/>
                  <w:sz w:val="18"/>
                  <w:szCs w:val="18"/>
                </w:rPr>
                <w:t>I.2</w:t>
              </w:r>
              <w:r w:rsidR="003C473C">
                <w:rPr>
                  <w:rStyle w:val="Hyperlink"/>
                  <w:rFonts w:ascii="Verdana" w:hAnsi="Verdana"/>
                  <w:b/>
                  <w:bCs/>
                  <w:sz w:val="18"/>
                  <w:szCs w:val="18"/>
                </w:rPr>
                <w:t>6</w:t>
              </w:r>
            </w:hyperlink>
          </w:p>
        </w:tc>
        <w:tc>
          <w:tcPr>
            <w:tcW w:w="1059" w:type="dxa"/>
            <w:tcBorders>
              <w:top w:val="single" w:sz="8" w:space="0" w:color="4F81BD"/>
              <w:left w:val="single" w:sz="8" w:space="0" w:color="4F81BD"/>
              <w:bottom w:val="single" w:sz="8" w:space="0" w:color="4F81BD"/>
              <w:right w:val="single" w:sz="8" w:space="0" w:color="4F81BD"/>
            </w:tcBorders>
          </w:tcPr>
          <w:p w14:paraId="6BA9C390" w14:textId="77777777" w:rsidR="00F053C3" w:rsidRDefault="00F053C3" w:rsidP="00FA7243">
            <w:pPr>
              <w:pStyle w:val="Default"/>
              <w:spacing w:after="60"/>
              <w:jc w:val="center"/>
              <w:rPr>
                <w:rFonts w:ascii="Verdana" w:hAnsi="Verdana"/>
                <w:b/>
                <w:color w:val="auto"/>
                <w:sz w:val="18"/>
                <w:szCs w:val="18"/>
              </w:rPr>
            </w:pPr>
          </w:p>
        </w:tc>
        <w:tc>
          <w:tcPr>
            <w:tcW w:w="1334" w:type="dxa"/>
            <w:gridSpan w:val="2"/>
            <w:tcBorders>
              <w:top w:val="single" w:sz="8" w:space="0" w:color="4F81BD"/>
              <w:left w:val="single" w:sz="8" w:space="0" w:color="4F81BD"/>
              <w:bottom w:val="single" w:sz="8" w:space="0" w:color="4F81BD"/>
              <w:right w:val="single" w:sz="8" w:space="0" w:color="4F81BD"/>
            </w:tcBorders>
            <w:shd w:val="clear" w:color="auto" w:fill="auto"/>
          </w:tcPr>
          <w:p w14:paraId="6AC04D77" w14:textId="77777777" w:rsidR="00F053C3" w:rsidRDefault="00F053C3" w:rsidP="00F053C3">
            <w:pPr>
              <w:pStyle w:val="Default"/>
              <w:spacing w:after="60"/>
              <w:jc w:val="center"/>
              <w:rPr>
                <w:rFonts w:ascii="Verdana" w:hAnsi="Verdana"/>
                <w:b/>
                <w:color w:val="auto"/>
                <w:sz w:val="18"/>
                <w:szCs w:val="18"/>
              </w:rPr>
            </w:pPr>
          </w:p>
        </w:tc>
        <w:tc>
          <w:tcPr>
            <w:tcW w:w="3621" w:type="dxa"/>
            <w:tcBorders>
              <w:top w:val="single" w:sz="8" w:space="0" w:color="4F81BD"/>
              <w:left w:val="single" w:sz="8" w:space="0" w:color="4F81BD"/>
              <w:bottom w:val="single" w:sz="8" w:space="0" w:color="4F81BD"/>
              <w:right w:val="single" w:sz="8" w:space="0" w:color="4F81BD"/>
            </w:tcBorders>
            <w:shd w:val="clear" w:color="auto" w:fill="auto"/>
          </w:tcPr>
          <w:p w14:paraId="6E68CCA2" w14:textId="77777777" w:rsidR="00F053C3" w:rsidRPr="004F7209" w:rsidRDefault="00F053C3" w:rsidP="000723BC">
            <w:pPr>
              <w:pStyle w:val="Default"/>
              <w:spacing w:after="60"/>
              <w:rPr>
                <w:rFonts w:ascii="Verdana" w:hAnsi="Verdana"/>
                <w:color w:val="auto"/>
                <w:sz w:val="18"/>
                <w:szCs w:val="18"/>
              </w:rPr>
            </w:pPr>
            <w:r>
              <w:rPr>
                <w:rFonts w:ascii="Verdana" w:hAnsi="Verdana"/>
                <w:color w:val="auto"/>
                <w:sz w:val="18"/>
                <w:szCs w:val="18"/>
              </w:rPr>
              <w:t>D</w:t>
            </w:r>
            <w:r w:rsidRPr="004F7209">
              <w:rPr>
                <w:rFonts w:ascii="Verdana" w:hAnsi="Verdana"/>
                <w:color w:val="auto"/>
                <w:sz w:val="18"/>
                <w:szCs w:val="18"/>
              </w:rPr>
              <w:t>istribution of CAP support</w:t>
            </w:r>
          </w:p>
        </w:tc>
      </w:tr>
    </w:tbl>
    <w:p w14:paraId="3DFF372F" w14:textId="77777777" w:rsidR="00FF4F00" w:rsidRDefault="00FF4F00" w:rsidP="00FF4F00">
      <w:pPr>
        <w:spacing w:after="0" w:line="240" w:lineRule="auto"/>
        <w:rPr>
          <w:rFonts w:ascii="Verdana" w:hAnsi="Verdana"/>
          <w:b/>
          <w:sz w:val="18"/>
          <w:szCs w:val="18"/>
        </w:rPr>
      </w:pPr>
      <w:r>
        <w:rPr>
          <w:rFonts w:ascii="Verdana" w:hAnsi="Verdana"/>
          <w:b/>
          <w:sz w:val="18"/>
          <w:szCs w:val="18"/>
        </w:rPr>
        <w:br w:type="page"/>
      </w:r>
    </w:p>
    <w:p w14:paraId="4770F06B" w14:textId="23D4BD40" w:rsidR="00BC4762" w:rsidRPr="00DB4B58" w:rsidRDefault="00BC4762" w:rsidP="00DB4B58">
      <w:pPr>
        <w:pStyle w:val="Heading1"/>
        <w:spacing w:before="240" w:after="240"/>
        <w:ind w:left="368" w:hanging="357"/>
        <w:rPr>
          <w:rFonts w:ascii="Verdana" w:hAnsi="Verdana"/>
          <w:color w:val="548DD4"/>
          <w:sz w:val="24"/>
          <w:szCs w:val="20"/>
          <w:lang w:val="en-US"/>
        </w:rPr>
      </w:pPr>
      <w:r w:rsidRPr="00DB4B58">
        <w:rPr>
          <w:rFonts w:ascii="Verdana" w:hAnsi="Verdana"/>
          <w:color w:val="548DD4"/>
          <w:sz w:val="24"/>
          <w:szCs w:val="20"/>
          <w:lang w:val="en-US"/>
        </w:rPr>
        <w:lastRenderedPageBreak/>
        <w:t>Impact</w:t>
      </w:r>
      <w:r w:rsidRPr="00DB4B58">
        <w:rPr>
          <w:rFonts w:ascii="Verdana" w:hAnsi="Verdana"/>
          <w:color w:val="548DD4"/>
          <w:sz w:val="24"/>
          <w:szCs w:val="20"/>
        </w:rPr>
        <w:t xml:space="preserve"> </w:t>
      </w:r>
      <w:r w:rsidRPr="00DB4B58">
        <w:rPr>
          <w:rFonts w:ascii="Verdana" w:hAnsi="Verdana"/>
          <w:color w:val="548DD4"/>
          <w:sz w:val="24"/>
          <w:szCs w:val="20"/>
          <w:lang w:val="en-US"/>
        </w:rPr>
        <w:t>Indicators</w:t>
      </w:r>
      <w:r w:rsidR="002E07A6" w:rsidRPr="00DB4B58">
        <w:rPr>
          <w:rFonts w:ascii="Verdana" w:hAnsi="Verdana"/>
          <w:color w:val="548DD4"/>
          <w:sz w:val="24"/>
          <w:szCs w:val="20"/>
          <w:lang w:val="en-US"/>
        </w:rPr>
        <w:t xml:space="preserve"> by objectives as modified by the Presidency</w:t>
      </w:r>
    </w:p>
    <w:tbl>
      <w:tblPr>
        <w:tblStyle w:val="LightList-Accent11"/>
        <w:tblW w:w="0" w:type="auto"/>
        <w:tblLook w:val="04A0" w:firstRow="1" w:lastRow="0" w:firstColumn="1" w:lastColumn="0" w:noHBand="0" w:noVBand="1"/>
      </w:tblPr>
      <w:tblGrid>
        <w:gridCol w:w="3633"/>
        <w:gridCol w:w="1152"/>
        <w:gridCol w:w="1152"/>
        <w:gridCol w:w="3635"/>
      </w:tblGrid>
      <w:tr w:rsidR="00CB0876" w14:paraId="052BEFCF" w14:textId="77777777" w:rsidTr="240AB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tcBorders>
              <w:top w:val="single" w:sz="8" w:space="0" w:color="4F81BD"/>
              <w:bottom w:val="nil"/>
              <w:right w:val="single" w:sz="8" w:space="0" w:color="4F81BD"/>
            </w:tcBorders>
          </w:tcPr>
          <w:p w14:paraId="52C40C1E" w14:textId="77777777" w:rsidR="00CB0876" w:rsidRDefault="00CB0876">
            <w:pPr>
              <w:rPr>
                <w:rFonts w:ascii="Verdana" w:hAnsi="Verdana"/>
                <w:b w:val="0"/>
                <w:bCs w:val="0"/>
                <w:sz w:val="18"/>
                <w:szCs w:val="18"/>
              </w:rPr>
            </w:pPr>
            <w:r w:rsidRPr="00CB0876">
              <w:rPr>
                <w:rFonts w:ascii="Verdana" w:hAnsi="Verdana"/>
                <w:sz w:val="18"/>
                <w:szCs w:val="18"/>
              </w:rPr>
              <w:t>Specific Objective</w:t>
            </w:r>
          </w:p>
        </w:tc>
        <w:tc>
          <w:tcPr>
            <w:tcW w:w="1152" w:type="dxa"/>
            <w:tcBorders>
              <w:top w:val="single" w:sz="8" w:space="0" w:color="4F81BD"/>
              <w:left w:val="single" w:sz="8" w:space="0" w:color="4F81BD"/>
              <w:bottom w:val="nil"/>
              <w:right w:val="single" w:sz="8" w:space="0" w:color="4F81BD"/>
            </w:tcBorders>
          </w:tcPr>
          <w:p w14:paraId="4611AD2B" w14:textId="77777777" w:rsidR="001621B1" w:rsidRDefault="00CB0876">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Impact Indicator </w:t>
            </w:r>
          </w:p>
          <w:p w14:paraId="2F2D3565" w14:textId="77777777" w:rsidR="00CB0876" w:rsidRDefault="00CB0876">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sz w:val="18"/>
                <w:szCs w:val="18"/>
              </w:rPr>
              <w:t>code</w:t>
            </w:r>
          </w:p>
        </w:tc>
        <w:tc>
          <w:tcPr>
            <w:tcW w:w="1152" w:type="dxa"/>
            <w:tcBorders>
              <w:top w:val="single" w:sz="8" w:space="0" w:color="4F81BD"/>
              <w:left w:val="single" w:sz="8" w:space="0" w:color="4F81BD"/>
              <w:bottom w:val="nil"/>
              <w:right w:val="single" w:sz="8" w:space="0" w:color="4F81BD"/>
            </w:tcBorders>
          </w:tcPr>
          <w:p w14:paraId="7466374F" w14:textId="77777777" w:rsidR="00CB0876" w:rsidRDefault="00CB0876">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sz w:val="18"/>
                <w:szCs w:val="18"/>
              </w:rPr>
              <w:t xml:space="preserve">Context </w:t>
            </w:r>
            <w:r w:rsidRPr="00ED2A3A">
              <w:rPr>
                <w:rFonts w:ascii="Verdana" w:hAnsi="Verdana"/>
                <w:sz w:val="18"/>
                <w:szCs w:val="18"/>
              </w:rPr>
              <w:t xml:space="preserve">Indicator </w:t>
            </w:r>
            <w:r w:rsidR="001621B1">
              <w:rPr>
                <w:rFonts w:ascii="Verdana" w:hAnsi="Verdana"/>
                <w:sz w:val="18"/>
                <w:szCs w:val="18"/>
              </w:rPr>
              <w:t>Code</w:t>
            </w:r>
          </w:p>
        </w:tc>
        <w:tc>
          <w:tcPr>
            <w:tcW w:w="3635" w:type="dxa"/>
            <w:tcBorders>
              <w:left w:val="single" w:sz="8" w:space="0" w:color="4F81BD"/>
              <w:bottom w:val="nil"/>
            </w:tcBorders>
          </w:tcPr>
          <w:p w14:paraId="1064C6D1" w14:textId="77777777" w:rsidR="00CB0876" w:rsidRDefault="00CB0876">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sidRPr="00ED2A3A">
              <w:rPr>
                <w:rFonts w:ascii="Verdana" w:hAnsi="Verdana"/>
                <w:sz w:val="18"/>
                <w:szCs w:val="18"/>
              </w:rPr>
              <w:t>I</w:t>
            </w:r>
            <w:r w:rsidR="001621B1">
              <w:rPr>
                <w:rFonts w:ascii="Verdana" w:hAnsi="Verdana"/>
                <w:sz w:val="18"/>
                <w:szCs w:val="18"/>
              </w:rPr>
              <w:t>mpact I</w:t>
            </w:r>
            <w:r w:rsidRPr="00ED2A3A">
              <w:rPr>
                <w:rFonts w:ascii="Verdana" w:hAnsi="Verdana"/>
                <w:sz w:val="18"/>
                <w:szCs w:val="18"/>
              </w:rPr>
              <w:t>ndicator name</w:t>
            </w:r>
          </w:p>
        </w:tc>
      </w:tr>
      <w:tr w:rsidR="00CB0876" w14:paraId="73593010"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tcBorders>
              <w:top w:val="nil"/>
              <w:left w:val="none" w:sz="0" w:space="0" w:color="auto"/>
              <w:bottom w:val="single" w:sz="4" w:space="0" w:color="auto"/>
              <w:right w:val="single" w:sz="8" w:space="0" w:color="4F81BD"/>
            </w:tcBorders>
            <w:vAlign w:val="center"/>
          </w:tcPr>
          <w:p w14:paraId="019B8E4D" w14:textId="6F1DEA26" w:rsidR="00CB0876" w:rsidRDefault="002E07A6" w:rsidP="00EF347E">
            <w:pPr>
              <w:spacing w:after="0" w:line="240" w:lineRule="auto"/>
              <w:rPr>
                <w:rFonts w:ascii="Verdana" w:hAnsi="Verdana"/>
                <w:b w:val="0"/>
                <w:bCs w:val="0"/>
                <w:sz w:val="18"/>
                <w:szCs w:val="18"/>
              </w:rPr>
            </w:pPr>
            <w:r>
              <w:rPr>
                <w:rFonts w:ascii="Verdana" w:hAnsi="Verdana"/>
                <w:b w:val="0"/>
                <w:bCs w:val="0"/>
                <w:sz w:val="18"/>
                <w:szCs w:val="18"/>
              </w:rPr>
              <w:t xml:space="preserve">Modernising </w:t>
            </w:r>
            <w:r w:rsidR="00EF347E">
              <w:rPr>
                <w:rFonts w:ascii="Verdana" w:hAnsi="Verdana"/>
                <w:b w:val="0"/>
                <w:bCs w:val="0"/>
                <w:sz w:val="18"/>
                <w:szCs w:val="18"/>
              </w:rPr>
              <w:t>agriculture and rural areas</w:t>
            </w:r>
            <w:r>
              <w:rPr>
                <w:rFonts w:ascii="Verdana" w:hAnsi="Verdana"/>
                <w:b w:val="0"/>
                <w:bCs w:val="0"/>
                <w:sz w:val="18"/>
                <w:szCs w:val="18"/>
              </w:rPr>
              <w:t xml:space="preserve"> by f</w:t>
            </w:r>
            <w:r w:rsidR="00CB0876" w:rsidRPr="00CB0876">
              <w:rPr>
                <w:rFonts w:ascii="Verdana" w:hAnsi="Verdana"/>
                <w:b w:val="0"/>
                <w:bCs w:val="0"/>
                <w:sz w:val="18"/>
                <w:szCs w:val="18"/>
              </w:rPr>
              <w:t>ostering</w:t>
            </w:r>
            <w:r w:rsidR="00EF347E">
              <w:rPr>
                <w:rFonts w:ascii="Verdana" w:hAnsi="Verdana"/>
                <w:b w:val="0"/>
                <w:bCs w:val="0"/>
                <w:sz w:val="18"/>
                <w:szCs w:val="18"/>
              </w:rPr>
              <w:t xml:space="preserve"> and sharing</w:t>
            </w:r>
            <w:r w:rsidR="00CB0876" w:rsidRPr="00CB0876">
              <w:rPr>
                <w:rFonts w:ascii="Verdana" w:hAnsi="Verdana"/>
                <w:b w:val="0"/>
                <w:bCs w:val="0"/>
                <w:sz w:val="18"/>
                <w:szCs w:val="18"/>
              </w:rPr>
              <w:t xml:space="preserve"> knowledge, innovation and digitalisation in agriculture and rural areas and</w:t>
            </w:r>
            <w:r w:rsidR="00EF347E">
              <w:rPr>
                <w:rFonts w:ascii="Verdana" w:hAnsi="Verdana"/>
                <w:b w:val="0"/>
                <w:bCs w:val="0"/>
                <w:sz w:val="18"/>
                <w:szCs w:val="18"/>
              </w:rPr>
              <w:t xml:space="preserve"> by</w:t>
            </w:r>
            <w:r w:rsidR="00CB0876" w:rsidRPr="00CB0876">
              <w:rPr>
                <w:rFonts w:ascii="Verdana" w:hAnsi="Verdana"/>
                <w:b w:val="0"/>
                <w:bCs w:val="0"/>
                <w:sz w:val="18"/>
                <w:szCs w:val="18"/>
              </w:rPr>
              <w:t xml:space="preserve"> encouraging their uptake</w:t>
            </w:r>
            <w:r w:rsidR="00925042">
              <w:rPr>
                <w:rFonts w:ascii="Verdana" w:hAnsi="Verdana"/>
                <w:b w:val="0"/>
                <w:bCs w:val="0"/>
                <w:sz w:val="18"/>
                <w:szCs w:val="18"/>
              </w:rPr>
              <w:t xml:space="preserve"> </w:t>
            </w:r>
            <w:r w:rsidR="00925042" w:rsidRPr="00925042">
              <w:rPr>
                <w:rFonts w:ascii="Verdana" w:hAnsi="Verdana"/>
                <w:b w:val="0"/>
                <w:bCs w:val="0"/>
                <w:sz w:val="18"/>
                <w:szCs w:val="18"/>
              </w:rPr>
              <w:t>by farmers, through improved access to research, innovation, knowledge exchange and training</w:t>
            </w:r>
          </w:p>
        </w:tc>
        <w:tc>
          <w:tcPr>
            <w:tcW w:w="1152" w:type="dxa"/>
            <w:tcBorders>
              <w:top w:val="nil"/>
              <w:left w:val="single" w:sz="8" w:space="0" w:color="4F81BD"/>
              <w:bottom w:val="single" w:sz="4" w:space="0" w:color="auto"/>
              <w:right w:val="single" w:sz="8" w:space="0" w:color="4F81BD"/>
            </w:tcBorders>
          </w:tcPr>
          <w:p w14:paraId="47AED8FE" w14:textId="77777777" w:rsidR="00CB0876"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1" w:history="1">
              <w:r w:rsidR="00CB0876" w:rsidRPr="5CB4B133">
                <w:rPr>
                  <w:rStyle w:val="Hyperlink"/>
                  <w:rFonts w:ascii="Verdana" w:hAnsi="Verdana"/>
                  <w:b/>
                  <w:bCs/>
                  <w:sz w:val="18"/>
                  <w:szCs w:val="18"/>
                </w:rPr>
                <w:t>I.1</w:t>
              </w:r>
            </w:hyperlink>
          </w:p>
        </w:tc>
        <w:tc>
          <w:tcPr>
            <w:tcW w:w="1152" w:type="dxa"/>
            <w:tcBorders>
              <w:top w:val="nil"/>
              <w:left w:val="single" w:sz="8" w:space="0" w:color="4F81BD"/>
              <w:bottom w:val="single" w:sz="4" w:space="0" w:color="auto"/>
              <w:right w:val="single" w:sz="8" w:space="0" w:color="4F81BD"/>
            </w:tcBorders>
          </w:tcPr>
          <w:p w14:paraId="19C76AE2" w14:textId="77777777" w:rsidR="00CB0876" w:rsidRDefault="00CB0876" w:rsidP="001621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3635" w:type="dxa"/>
            <w:tcBorders>
              <w:top w:val="nil"/>
              <w:left w:val="single" w:sz="8" w:space="0" w:color="4F81BD"/>
              <w:bottom w:val="single" w:sz="4" w:space="0" w:color="auto"/>
              <w:right w:val="none" w:sz="0" w:space="0" w:color="auto"/>
            </w:tcBorders>
          </w:tcPr>
          <w:p w14:paraId="125C208B" w14:textId="77777777" w:rsidR="00CB0876" w:rsidRPr="00CB0876" w:rsidRDefault="008F705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F7058">
              <w:rPr>
                <w:rFonts w:ascii="Verdana" w:hAnsi="Verdana"/>
                <w:sz w:val="18"/>
                <w:szCs w:val="18"/>
              </w:rPr>
              <w:t>Sharing knowledge and innovation</w:t>
            </w:r>
          </w:p>
        </w:tc>
      </w:tr>
      <w:tr w:rsidR="001621B1" w14:paraId="16416C92"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F95BF29" w14:textId="69ACADA3" w:rsidR="001621B1" w:rsidRDefault="00EF347E" w:rsidP="00EF347E">
            <w:pPr>
              <w:spacing w:after="0" w:line="240" w:lineRule="auto"/>
              <w:rPr>
                <w:rFonts w:ascii="Verdana" w:hAnsi="Verdana"/>
                <w:sz w:val="18"/>
                <w:szCs w:val="18"/>
              </w:rPr>
            </w:pPr>
            <w:r>
              <w:rPr>
                <w:rFonts w:ascii="Verdana" w:hAnsi="Verdana"/>
                <w:b w:val="0"/>
                <w:bCs w:val="0"/>
                <w:sz w:val="18"/>
                <w:szCs w:val="18"/>
              </w:rPr>
              <w:t>To s</w:t>
            </w:r>
            <w:r w:rsidR="001621B1" w:rsidRPr="00CB0876">
              <w:rPr>
                <w:rFonts w:ascii="Verdana" w:hAnsi="Verdana"/>
                <w:b w:val="0"/>
                <w:bCs w:val="0"/>
                <w:sz w:val="18"/>
                <w:szCs w:val="18"/>
              </w:rPr>
              <w:t xml:space="preserve">upport viable farm income and resilience </w:t>
            </w:r>
            <w:r w:rsidR="00925042">
              <w:rPr>
                <w:rFonts w:ascii="Verdana" w:hAnsi="Verdana"/>
                <w:b w:val="0"/>
                <w:bCs w:val="0"/>
                <w:sz w:val="18"/>
                <w:szCs w:val="18"/>
              </w:rPr>
              <w:t xml:space="preserve">of the agricultural sector </w:t>
            </w:r>
            <w:r w:rsidR="001621B1" w:rsidRPr="00CB0876">
              <w:rPr>
                <w:rFonts w:ascii="Verdana" w:hAnsi="Verdana"/>
                <w:b w:val="0"/>
                <w:bCs w:val="0"/>
                <w:sz w:val="18"/>
                <w:szCs w:val="18"/>
              </w:rPr>
              <w:t>across the Union</w:t>
            </w:r>
            <w:r>
              <w:rPr>
                <w:rFonts w:ascii="Verdana" w:hAnsi="Verdana"/>
                <w:b w:val="0"/>
                <w:bCs w:val="0"/>
                <w:sz w:val="18"/>
                <w:szCs w:val="18"/>
              </w:rPr>
              <w:t xml:space="preserve"> in order</w:t>
            </w:r>
            <w:r w:rsidR="001621B1" w:rsidRPr="00CB0876">
              <w:rPr>
                <w:rFonts w:ascii="Verdana" w:hAnsi="Verdana"/>
                <w:b w:val="0"/>
                <w:bCs w:val="0"/>
                <w:sz w:val="18"/>
                <w:szCs w:val="18"/>
              </w:rPr>
              <w:t xml:space="preserve"> to enhance </w:t>
            </w:r>
            <w:r w:rsidR="00925042">
              <w:rPr>
                <w:rFonts w:ascii="Verdana" w:hAnsi="Verdana"/>
                <w:b w:val="0"/>
                <w:bCs w:val="0"/>
                <w:sz w:val="18"/>
                <w:szCs w:val="18"/>
              </w:rPr>
              <w:t xml:space="preserve">long-term </w:t>
            </w:r>
            <w:r w:rsidR="001621B1" w:rsidRPr="00CB0876">
              <w:rPr>
                <w:rFonts w:ascii="Verdana" w:hAnsi="Verdana"/>
                <w:b w:val="0"/>
                <w:bCs w:val="0"/>
                <w:sz w:val="18"/>
                <w:szCs w:val="18"/>
              </w:rPr>
              <w:t>food security</w:t>
            </w:r>
            <w:r w:rsidR="00925042" w:rsidRPr="00925042">
              <w:rPr>
                <w:rFonts w:ascii="Verdana" w:hAnsi="Verdana"/>
                <w:b w:val="0"/>
                <w:bCs w:val="0"/>
                <w:sz w:val="18"/>
                <w:szCs w:val="18"/>
              </w:rPr>
              <w:t xml:space="preserve"> and agricultural diversity as well as ensuring the economic sustainability of agricultural production in the Union</w:t>
            </w:r>
          </w:p>
        </w:tc>
        <w:tc>
          <w:tcPr>
            <w:tcW w:w="1152" w:type="dxa"/>
            <w:tcBorders>
              <w:top w:val="single" w:sz="4" w:space="0" w:color="auto"/>
              <w:left w:val="single" w:sz="8" w:space="0" w:color="4F81BD"/>
              <w:bottom w:val="nil"/>
              <w:right w:val="single" w:sz="4" w:space="0" w:color="auto"/>
            </w:tcBorders>
          </w:tcPr>
          <w:p w14:paraId="6ED370B7" w14:textId="77777777" w:rsidR="001621B1"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2" w:history="1">
              <w:r w:rsidR="001621B1" w:rsidRPr="5CB4B133">
                <w:rPr>
                  <w:rStyle w:val="Hyperlink"/>
                  <w:rFonts w:ascii="Verdana" w:hAnsi="Verdana"/>
                  <w:b/>
                  <w:bCs/>
                  <w:sz w:val="18"/>
                  <w:szCs w:val="18"/>
                </w:rPr>
                <w:t>I.2</w:t>
              </w:r>
            </w:hyperlink>
          </w:p>
        </w:tc>
        <w:tc>
          <w:tcPr>
            <w:tcW w:w="1152" w:type="dxa"/>
            <w:tcBorders>
              <w:top w:val="single" w:sz="4" w:space="0" w:color="auto"/>
              <w:left w:val="single" w:sz="4" w:space="0" w:color="auto"/>
              <w:bottom w:val="nil"/>
              <w:right w:val="single" w:sz="4" w:space="0" w:color="auto"/>
            </w:tcBorders>
          </w:tcPr>
          <w:p w14:paraId="4098211B" w14:textId="58AA7B32" w:rsidR="001621B1"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5" w:history="1">
              <w:r w:rsidR="001621B1" w:rsidRPr="5CB4B133">
                <w:rPr>
                  <w:rStyle w:val="Hyperlink"/>
                  <w:rFonts w:ascii="Verdana" w:hAnsi="Verdana"/>
                  <w:b/>
                  <w:bCs/>
                  <w:sz w:val="18"/>
                  <w:szCs w:val="18"/>
                </w:rPr>
                <w:t>C.2</w:t>
              </w:r>
              <w:r w:rsidR="0041604C">
                <w:rPr>
                  <w:rStyle w:val="Hyperlink"/>
                  <w:rFonts w:ascii="Verdana" w:hAnsi="Verdana"/>
                  <w:b/>
                  <w:bCs/>
                  <w:sz w:val="18"/>
                  <w:szCs w:val="18"/>
                </w:rPr>
                <w:t>6</w:t>
              </w:r>
            </w:hyperlink>
          </w:p>
        </w:tc>
        <w:tc>
          <w:tcPr>
            <w:tcW w:w="3635" w:type="dxa"/>
            <w:tcBorders>
              <w:top w:val="single" w:sz="4" w:space="0" w:color="auto"/>
              <w:left w:val="single" w:sz="4" w:space="0" w:color="auto"/>
              <w:bottom w:val="nil"/>
            </w:tcBorders>
          </w:tcPr>
          <w:p w14:paraId="273ACFC4" w14:textId="77777777" w:rsidR="001621B1" w:rsidRPr="00CB0876" w:rsidRDefault="008F7058" w:rsidP="00CB0876">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F7058">
              <w:rPr>
                <w:rFonts w:ascii="Verdana" w:hAnsi="Verdana"/>
                <w:sz w:val="18"/>
                <w:szCs w:val="18"/>
              </w:rPr>
              <w:t>Reducing income disparities</w:t>
            </w:r>
            <w:r w:rsidRPr="008F7058" w:rsidDel="00161B7C">
              <w:rPr>
                <w:rFonts w:ascii="Verdana" w:hAnsi="Verdana"/>
                <w:sz w:val="18"/>
                <w:szCs w:val="18"/>
              </w:rPr>
              <w:t xml:space="preserve"> </w:t>
            </w:r>
          </w:p>
        </w:tc>
      </w:tr>
      <w:tr w:rsidR="001621B1" w14:paraId="388DC368"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66EED2C3"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731865BE"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3" w:history="1">
              <w:r w:rsidR="001621B1" w:rsidRPr="5CB4B133">
                <w:rPr>
                  <w:rStyle w:val="Hyperlink"/>
                  <w:rFonts w:ascii="Verdana" w:hAnsi="Verdana"/>
                  <w:b/>
                  <w:bCs/>
                  <w:sz w:val="18"/>
                  <w:szCs w:val="18"/>
                </w:rPr>
                <w:t>I.3</w:t>
              </w:r>
            </w:hyperlink>
          </w:p>
        </w:tc>
        <w:tc>
          <w:tcPr>
            <w:tcW w:w="1152" w:type="dxa"/>
            <w:tcBorders>
              <w:top w:val="nil"/>
              <w:left w:val="single" w:sz="4" w:space="0" w:color="auto"/>
              <w:bottom w:val="nil"/>
              <w:right w:val="single" w:sz="4" w:space="0" w:color="auto"/>
            </w:tcBorders>
          </w:tcPr>
          <w:p w14:paraId="0A04213D" w14:textId="1F451EAF" w:rsidR="001621B1"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24" w:history="1">
              <w:r w:rsidR="001621B1" w:rsidRPr="5CB4B133">
                <w:rPr>
                  <w:rStyle w:val="Hyperlink"/>
                  <w:rFonts w:ascii="Verdana" w:hAnsi="Verdana"/>
                  <w:b/>
                  <w:bCs/>
                  <w:sz w:val="18"/>
                  <w:szCs w:val="18"/>
                </w:rPr>
                <w:t>C.2</w:t>
              </w:r>
              <w:r w:rsidR="0041604C">
                <w:rPr>
                  <w:rStyle w:val="Hyperlink"/>
                  <w:rFonts w:ascii="Verdana" w:hAnsi="Verdana"/>
                  <w:b/>
                  <w:bCs/>
                  <w:sz w:val="18"/>
                  <w:szCs w:val="18"/>
                </w:rPr>
                <w:t>5</w:t>
              </w:r>
            </w:hyperlink>
          </w:p>
        </w:tc>
        <w:tc>
          <w:tcPr>
            <w:tcW w:w="3635" w:type="dxa"/>
            <w:tcBorders>
              <w:top w:val="nil"/>
              <w:left w:val="single" w:sz="4" w:space="0" w:color="auto"/>
              <w:bottom w:val="nil"/>
            </w:tcBorders>
          </w:tcPr>
          <w:p w14:paraId="5B7BD456" w14:textId="77777777" w:rsidR="001621B1" w:rsidRDefault="008F7058" w:rsidP="5CB4B133">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8F7058">
              <w:rPr>
                <w:rFonts w:ascii="Verdana" w:hAnsi="Verdana"/>
                <w:sz w:val="18"/>
                <w:szCs w:val="18"/>
              </w:rPr>
              <w:t>Reducing farm income variability</w:t>
            </w:r>
          </w:p>
        </w:tc>
      </w:tr>
      <w:tr w:rsidR="001621B1" w14:paraId="280B3B8C"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18E304B"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36DF79F9" w14:textId="77777777" w:rsidR="001621B1"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4" w:history="1">
              <w:r w:rsidR="001621B1" w:rsidRPr="5CB4B133">
                <w:rPr>
                  <w:rStyle w:val="Hyperlink"/>
                  <w:rFonts w:ascii="Verdana" w:hAnsi="Verdana"/>
                  <w:b/>
                  <w:bCs/>
                  <w:sz w:val="18"/>
                  <w:szCs w:val="18"/>
                </w:rPr>
                <w:t>I.4</w:t>
              </w:r>
            </w:hyperlink>
          </w:p>
        </w:tc>
        <w:tc>
          <w:tcPr>
            <w:tcW w:w="1152" w:type="dxa"/>
            <w:tcBorders>
              <w:top w:val="nil"/>
              <w:left w:val="single" w:sz="4" w:space="0" w:color="auto"/>
              <w:bottom w:val="nil"/>
              <w:right w:val="single" w:sz="4" w:space="0" w:color="auto"/>
            </w:tcBorders>
          </w:tcPr>
          <w:p w14:paraId="36571F4C" w14:textId="39B6DA2B" w:rsidR="001621B1" w:rsidRPr="00FE1A75"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6" w:history="1">
              <w:r w:rsidR="001621B1" w:rsidRPr="5CB4B133">
                <w:rPr>
                  <w:rStyle w:val="Hyperlink"/>
                  <w:rFonts w:ascii="Verdana" w:hAnsi="Verdana"/>
                  <w:b/>
                  <w:bCs/>
                  <w:sz w:val="18"/>
                  <w:szCs w:val="18"/>
                </w:rPr>
                <w:t>C.2</w:t>
              </w:r>
              <w:r w:rsidR="0041604C">
                <w:rPr>
                  <w:rStyle w:val="Hyperlink"/>
                  <w:rFonts w:ascii="Verdana" w:hAnsi="Verdana"/>
                  <w:b/>
                  <w:bCs/>
                  <w:sz w:val="18"/>
                  <w:szCs w:val="18"/>
                </w:rPr>
                <w:t>7</w:t>
              </w:r>
            </w:hyperlink>
          </w:p>
        </w:tc>
        <w:tc>
          <w:tcPr>
            <w:tcW w:w="3635" w:type="dxa"/>
            <w:tcBorders>
              <w:top w:val="nil"/>
              <w:left w:val="single" w:sz="4" w:space="0" w:color="auto"/>
              <w:bottom w:val="nil"/>
            </w:tcBorders>
          </w:tcPr>
          <w:p w14:paraId="47587848" w14:textId="77777777" w:rsidR="001621B1" w:rsidRDefault="008F7058" w:rsidP="5CB4B133">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r w:rsidRPr="008F7058">
              <w:rPr>
                <w:rFonts w:ascii="Verdana" w:hAnsi="Verdana"/>
                <w:sz w:val="18"/>
                <w:szCs w:val="18"/>
              </w:rPr>
              <w:t>Supporting viable farm income</w:t>
            </w:r>
          </w:p>
        </w:tc>
      </w:tr>
      <w:tr w:rsidR="001621B1" w14:paraId="03BE32A5"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51F83815"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4" w:space="0" w:color="auto"/>
            </w:tcBorders>
          </w:tcPr>
          <w:p w14:paraId="3A8C6FBF"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5" w:history="1">
              <w:r w:rsidR="001621B1" w:rsidRPr="5CB4B133">
                <w:rPr>
                  <w:rStyle w:val="Hyperlink"/>
                  <w:rFonts w:ascii="Verdana" w:hAnsi="Verdana"/>
                  <w:b/>
                  <w:bCs/>
                  <w:sz w:val="18"/>
                  <w:szCs w:val="18"/>
                </w:rPr>
                <w:t>I.5</w:t>
              </w:r>
            </w:hyperlink>
          </w:p>
        </w:tc>
        <w:tc>
          <w:tcPr>
            <w:tcW w:w="1152" w:type="dxa"/>
            <w:tcBorders>
              <w:top w:val="nil"/>
              <w:left w:val="single" w:sz="4" w:space="0" w:color="auto"/>
              <w:bottom w:val="single" w:sz="4" w:space="0" w:color="auto"/>
              <w:right w:val="single" w:sz="4" w:space="0" w:color="auto"/>
            </w:tcBorders>
          </w:tcPr>
          <w:p w14:paraId="38A7BE5D" w14:textId="36DC7F1C" w:rsidR="001621B1" w:rsidRPr="00FE1A75"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26" w:history="1">
              <w:r w:rsidR="001621B1" w:rsidRPr="5CB4B133">
                <w:rPr>
                  <w:rStyle w:val="Hyperlink"/>
                  <w:rFonts w:ascii="Verdana" w:hAnsi="Verdana"/>
                  <w:b/>
                  <w:bCs/>
                  <w:sz w:val="18"/>
                  <w:szCs w:val="18"/>
                </w:rPr>
                <w:t>C.2</w:t>
              </w:r>
              <w:r w:rsidR="0041604C">
                <w:rPr>
                  <w:rStyle w:val="Hyperlink"/>
                  <w:rFonts w:ascii="Verdana" w:hAnsi="Verdana"/>
                  <w:b/>
                  <w:bCs/>
                  <w:sz w:val="18"/>
                  <w:szCs w:val="18"/>
                </w:rPr>
                <w:t>7</w:t>
              </w:r>
            </w:hyperlink>
          </w:p>
        </w:tc>
        <w:tc>
          <w:tcPr>
            <w:tcW w:w="3635" w:type="dxa"/>
            <w:tcBorders>
              <w:top w:val="nil"/>
              <w:left w:val="single" w:sz="4" w:space="0" w:color="auto"/>
              <w:bottom w:val="single" w:sz="4" w:space="0" w:color="auto"/>
            </w:tcBorders>
          </w:tcPr>
          <w:p w14:paraId="163ED6AC" w14:textId="77777777" w:rsidR="001621B1" w:rsidRDefault="008F7058" w:rsidP="5CB4B133">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sidRPr="008F7058">
              <w:rPr>
                <w:rFonts w:ascii="Verdana" w:hAnsi="Verdana"/>
                <w:sz w:val="18"/>
                <w:szCs w:val="18"/>
              </w:rPr>
              <w:t>Contributing to territorial balance</w:t>
            </w:r>
          </w:p>
        </w:tc>
      </w:tr>
      <w:tr w:rsidR="001621B1" w14:paraId="7065DD63"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2A99339" w14:textId="208E2D8B" w:rsidR="001621B1" w:rsidRDefault="00EF347E" w:rsidP="00EF347E">
            <w:pPr>
              <w:spacing w:after="0" w:line="240" w:lineRule="auto"/>
              <w:rPr>
                <w:rFonts w:ascii="Verdana" w:hAnsi="Verdana"/>
                <w:sz w:val="18"/>
                <w:szCs w:val="18"/>
              </w:rPr>
            </w:pPr>
            <w:r>
              <w:rPr>
                <w:rFonts w:ascii="Verdana" w:hAnsi="Verdana"/>
                <w:b w:val="0"/>
                <w:bCs w:val="0"/>
                <w:sz w:val="18"/>
                <w:szCs w:val="18"/>
              </w:rPr>
              <w:t>To e</w:t>
            </w:r>
            <w:r w:rsidR="001621B1" w:rsidRPr="008F5B3E">
              <w:rPr>
                <w:rFonts w:ascii="Verdana" w:hAnsi="Verdana"/>
                <w:b w:val="0"/>
                <w:bCs w:val="0"/>
                <w:sz w:val="18"/>
                <w:szCs w:val="18"/>
              </w:rPr>
              <w:t xml:space="preserve">nhance market orientation and increase </w:t>
            </w:r>
            <w:r w:rsidR="004531EB">
              <w:rPr>
                <w:rFonts w:ascii="Verdana" w:hAnsi="Verdana"/>
                <w:b w:val="0"/>
                <w:bCs w:val="0"/>
                <w:sz w:val="18"/>
                <w:szCs w:val="18"/>
              </w:rPr>
              <w:t xml:space="preserve">farm </w:t>
            </w:r>
            <w:r w:rsidR="001621B1" w:rsidRPr="008F5B3E">
              <w:rPr>
                <w:rFonts w:ascii="Verdana" w:hAnsi="Verdana"/>
                <w:b w:val="0"/>
                <w:bCs w:val="0"/>
                <w:sz w:val="18"/>
                <w:szCs w:val="18"/>
              </w:rPr>
              <w:t>competitiveness</w:t>
            </w:r>
            <w:r w:rsidR="004531EB">
              <w:rPr>
                <w:rFonts w:ascii="Verdana" w:hAnsi="Verdana"/>
                <w:b w:val="0"/>
                <w:bCs w:val="0"/>
                <w:sz w:val="18"/>
                <w:szCs w:val="18"/>
              </w:rPr>
              <w:t xml:space="preserve"> both in the short and long term</w:t>
            </w:r>
            <w:r w:rsidR="001621B1" w:rsidRPr="008F5B3E">
              <w:rPr>
                <w:rFonts w:ascii="Verdana" w:hAnsi="Verdana"/>
                <w:b w:val="0"/>
                <w:bCs w:val="0"/>
                <w:sz w:val="18"/>
                <w:szCs w:val="18"/>
              </w:rPr>
              <w:t>, including greater focus on research, technology and digitalisation</w:t>
            </w:r>
          </w:p>
        </w:tc>
        <w:tc>
          <w:tcPr>
            <w:tcW w:w="1152" w:type="dxa"/>
            <w:tcBorders>
              <w:top w:val="single" w:sz="4" w:space="0" w:color="auto"/>
              <w:left w:val="single" w:sz="8" w:space="0" w:color="4F81BD"/>
              <w:bottom w:val="nil"/>
              <w:right w:val="single" w:sz="8" w:space="0" w:color="4F81BD"/>
            </w:tcBorders>
          </w:tcPr>
          <w:p w14:paraId="2E81BCC9" w14:textId="77777777" w:rsidR="001621B1"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6" w:history="1">
              <w:r w:rsidR="001621B1" w:rsidRPr="5CB4B133">
                <w:rPr>
                  <w:rStyle w:val="Hyperlink"/>
                  <w:rFonts w:ascii="Verdana" w:hAnsi="Verdana"/>
                  <w:b/>
                  <w:bCs/>
                  <w:sz w:val="18"/>
                  <w:szCs w:val="18"/>
                </w:rPr>
                <w:t>I.6</w:t>
              </w:r>
            </w:hyperlink>
          </w:p>
        </w:tc>
        <w:tc>
          <w:tcPr>
            <w:tcW w:w="1152" w:type="dxa"/>
            <w:tcBorders>
              <w:top w:val="single" w:sz="4" w:space="0" w:color="auto"/>
              <w:left w:val="single" w:sz="8" w:space="0" w:color="4F81BD"/>
              <w:bottom w:val="nil"/>
              <w:right w:val="single" w:sz="8" w:space="0" w:color="4F81BD"/>
            </w:tcBorders>
          </w:tcPr>
          <w:p w14:paraId="42344502" w14:textId="440526B2" w:rsidR="001621B1"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8" w:history="1">
              <w:r w:rsidR="001621B1" w:rsidRPr="5CB4B133">
                <w:rPr>
                  <w:rStyle w:val="Hyperlink"/>
                  <w:rFonts w:ascii="Verdana" w:hAnsi="Verdana"/>
                  <w:b/>
                  <w:bCs/>
                  <w:sz w:val="18"/>
                  <w:szCs w:val="18"/>
                </w:rPr>
                <w:t>C.2</w:t>
              </w:r>
              <w:r w:rsidR="0041604C">
                <w:rPr>
                  <w:rStyle w:val="Hyperlink"/>
                  <w:rFonts w:ascii="Verdana" w:hAnsi="Verdana"/>
                  <w:b/>
                  <w:bCs/>
                  <w:sz w:val="18"/>
                  <w:szCs w:val="18"/>
                </w:rPr>
                <w:t>9</w:t>
              </w:r>
            </w:hyperlink>
          </w:p>
        </w:tc>
        <w:tc>
          <w:tcPr>
            <w:tcW w:w="3635" w:type="dxa"/>
            <w:tcBorders>
              <w:top w:val="single" w:sz="4" w:space="0" w:color="auto"/>
              <w:left w:val="single" w:sz="8" w:space="0" w:color="4F81BD"/>
              <w:bottom w:val="nil"/>
            </w:tcBorders>
          </w:tcPr>
          <w:p w14:paraId="6A483D55" w14:textId="77777777" w:rsidR="001621B1" w:rsidRDefault="008F705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F7058">
              <w:rPr>
                <w:rFonts w:ascii="Verdana" w:hAnsi="Verdana"/>
                <w:sz w:val="18"/>
                <w:szCs w:val="18"/>
              </w:rPr>
              <w:t>Increasing farm productivity</w:t>
            </w:r>
          </w:p>
        </w:tc>
      </w:tr>
      <w:tr w:rsidR="001621B1" w14:paraId="30377172"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0EEB144E"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6B76B931"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7" w:history="1">
              <w:r w:rsidR="001621B1" w:rsidRPr="5CB4B133">
                <w:rPr>
                  <w:rStyle w:val="Hyperlink"/>
                  <w:rFonts w:ascii="Verdana" w:hAnsi="Verdana"/>
                  <w:b/>
                  <w:bCs/>
                  <w:sz w:val="18"/>
                  <w:szCs w:val="18"/>
                </w:rPr>
                <w:t>I.7</w:t>
              </w:r>
            </w:hyperlink>
          </w:p>
        </w:tc>
        <w:tc>
          <w:tcPr>
            <w:tcW w:w="1152" w:type="dxa"/>
            <w:tcBorders>
              <w:top w:val="nil"/>
              <w:left w:val="single" w:sz="8" w:space="0" w:color="4F81BD"/>
              <w:bottom w:val="single" w:sz="4" w:space="0" w:color="auto"/>
              <w:right w:val="single" w:sz="8" w:space="0" w:color="4F81BD"/>
            </w:tcBorders>
          </w:tcPr>
          <w:p w14:paraId="44AB8A3B" w14:textId="14AA461F" w:rsidR="001621B1"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0" w:history="1">
              <w:r w:rsidR="001621B1" w:rsidRPr="5CB4B133">
                <w:rPr>
                  <w:rStyle w:val="Hyperlink"/>
                  <w:rFonts w:ascii="Verdana" w:hAnsi="Verdana"/>
                  <w:b/>
                  <w:bCs/>
                  <w:sz w:val="18"/>
                  <w:szCs w:val="18"/>
                </w:rPr>
                <w:t>C.3</w:t>
              </w:r>
              <w:r w:rsidR="0041604C">
                <w:rPr>
                  <w:rStyle w:val="Hyperlink"/>
                  <w:rFonts w:ascii="Verdana" w:hAnsi="Verdana"/>
                  <w:b/>
                  <w:bCs/>
                  <w:sz w:val="18"/>
                  <w:szCs w:val="18"/>
                </w:rPr>
                <w:t>1</w:t>
              </w:r>
            </w:hyperlink>
          </w:p>
        </w:tc>
        <w:tc>
          <w:tcPr>
            <w:tcW w:w="3635" w:type="dxa"/>
            <w:tcBorders>
              <w:top w:val="nil"/>
              <w:left w:val="single" w:sz="8" w:space="0" w:color="4F81BD"/>
              <w:bottom w:val="single" w:sz="4" w:space="0" w:color="auto"/>
            </w:tcBorders>
          </w:tcPr>
          <w:p w14:paraId="03E2D5F9" w14:textId="0975F37C" w:rsidR="001621B1" w:rsidRDefault="008F705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F7058">
              <w:rPr>
                <w:rFonts w:ascii="Verdana" w:hAnsi="Verdana"/>
                <w:sz w:val="18"/>
                <w:szCs w:val="18"/>
              </w:rPr>
              <w:t>Harness</w:t>
            </w:r>
            <w:r w:rsidR="002E07A6">
              <w:rPr>
                <w:rFonts w:ascii="Verdana" w:hAnsi="Verdana"/>
                <w:sz w:val="18"/>
                <w:szCs w:val="18"/>
              </w:rPr>
              <w:t>ing</w:t>
            </w:r>
            <w:r w:rsidRPr="008F7058">
              <w:rPr>
                <w:rFonts w:ascii="Verdana" w:hAnsi="Verdana"/>
                <w:sz w:val="18"/>
                <w:szCs w:val="18"/>
              </w:rPr>
              <w:t xml:space="preserve"> </w:t>
            </w:r>
            <w:r w:rsidR="00E26C66">
              <w:rPr>
                <w:rFonts w:ascii="Verdana" w:hAnsi="Verdana"/>
                <w:sz w:val="18"/>
                <w:szCs w:val="18"/>
              </w:rPr>
              <w:t>a</w:t>
            </w:r>
            <w:r w:rsidRPr="008F7058">
              <w:rPr>
                <w:rFonts w:ascii="Verdana" w:hAnsi="Verdana"/>
                <w:sz w:val="18"/>
                <w:szCs w:val="18"/>
              </w:rPr>
              <w:t>gri-food trade</w:t>
            </w:r>
          </w:p>
        </w:tc>
      </w:tr>
      <w:tr w:rsidR="008F5B3E" w14:paraId="32EB9D4C" w14:textId="77777777" w:rsidTr="240ABBB4">
        <w:tc>
          <w:tcPr>
            <w:cnfStyle w:val="001000000000" w:firstRow="0" w:lastRow="0" w:firstColumn="1" w:lastColumn="0" w:oddVBand="0" w:evenVBand="0" w:oddHBand="0" w:evenHBand="0" w:firstRowFirstColumn="0" w:firstRowLastColumn="0" w:lastRowFirstColumn="0" w:lastRowLastColumn="0"/>
            <w:tcW w:w="3633" w:type="dxa"/>
            <w:tcBorders>
              <w:top w:val="single" w:sz="4" w:space="0" w:color="auto"/>
              <w:bottom w:val="single" w:sz="4" w:space="0" w:color="auto"/>
              <w:right w:val="single" w:sz="8" w:space="0" w:color="4F81BD"/>
            </w:tcBorders>
            <w:vAlign w:val="center"/>
          </w:tcPr>
          <w:p w14:paraId="5A0800E6" w14:textId="77777777" w:rsidR="008F5B3E" w:rsidRDefault="008F5B3E" w:rsidP="001621B1">
            <w:pPr>
              <w:spacing w:after="0" w:line="240" w:lineRule="auto"/>
              <w:rPr>
                <w:rFonts w:ascii="Verdana" w:hAnsi="Verdana"/>
                <w:b w:val="0"/>
                <w:bCs w:val="0"/>
                <w:sz w:val="18"/>
                <w:szCs w:val="18"/>
              </w:rPr>
            </w:pPr>
            <w:r w:rsidRPr="008F5B3E">
              <w:rPr>
                <w:rFonts w:ascii="Verdana" w:hAnsi="Verdana"/>
                <w:b w:val="0"/>
                <w:bCs w:val="0"/>
                <w:sz w:val="18"/>
                <w:szCs w:val="18"/>
              </w:rPr>
              <w:t>Improve the farmers' position in the value chain</w:t>
            </w:r>
          </w:p>
        </w:tc>
        <w:tc>
          <w:tcPr>
            <w:tcW w:w="1152" w:type="dxa"/>
            <w:tcBorders>
              <w:top w:val="single" w:sz="4" w:space="0" w:color="auto"/>
              <w:left w:val="single" w:sz="8" w:space="0" w:color="4F81BD"/>
              <w:bottom w:val="single" w:sz="4" w:space="0" w:color="auto"/>
              <w:right w:val="single" w:sz="8" w:space="0" w:color="4F81BD"/>
            </w:tcBorders>
          </w:tcPr>
          <w:p w14:paraId="00175345" w14:textId="77777777" w:rsidR="008F5B3E"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08" w:history="1">
              <w:r w:rsidR="008F5B3E" w:rsidRPr="5CB4B133">
                <w:rPr>
                  <w:rStyle w:val="Hyperlink"/>
                  <w:rFonts w:ascii="Verdana" w:hAnsi="Verdana"/>
                  <w:b/>
                  <w:bCs/>
                  <w:sz w:val="18"/>
                  <w:szCs w:val="18"/>
                </w:rPr>
                <w:t>I.8</w:t>
              </w:r>
            </w:hyperlink>
          </w:p>
        </w:tc>
        <w:tc>
          <w:tcPr>
            <w:tcW w:w="1152" w:type="dxa"/>
            <w:tcBorders>
              <w:top w:val="single" w:sz="4" w:space="0" w:color="auto"/>
              <w:left w:val="single" w:sz="8" w:space="0" w:color="4F81BD"/>
              <w:bottom w:val="single" w:sz="4" w:space="0" w:color="auto"/>
              <w:right w:val="single" w:sz="8" w:space="0" w:color="4F81BD"/>
            </w:tcBorders>
          </w:tcPr>
          <w:p w14:paraId="19E23E22" w14:textId="77777777" w:rsidR="008F5B3E" w:rsidRPr="00FE1A75"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11" w:history="1">
              <w:r w:rsidR="008F5B3E" w:rsidRPr="5CB4B133">
                <w:rPr>
                  <w:rStyle w:val="Hyperlink"/>
                  <w:rFonts w:ascii="Verdana" w:hAnsi="Verdana"/>
                  <w:b/>
                  <w:bCs/>
                  <w:sz w:val="18"/>
                  <w:szCs w:val="18"/>
                </w:rPr>
                <w:t>C.11</w:t>
              </w:r>
            </w:hyperlink>
          </w:p>
        </w:tc>
        <w:tc>
          <w:tcPr>
            <w:tcW w:w="3635" w:type="dxa"/>
            <w:tcBorders>
              <w:top w:val="single" w:sz="4" w:space="0" w:color="auto"/>
              <w:left w:val="single" w:sz="8" w:space="0" w:color="4F81BD"/>
              <w:bottom w:val="single" w:sz="4" w:space="0" w:color="auto"/>
            </w:tcBorders>
          </w:tcPr>
          <w:p w14:paraId="17765D72" w14:textId="77777777" w:rsidR="00BC4762" w:rsidRPr="00FE1A75" w:rsidRDefault="008F705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F7058">
              <w:rPr>
                <w:rFonts w:ascii="Verdana" w:hAnsi="Verdana"/>
                <w:sz w:val="18"/>
                <w:szCs w:val="18"/>
              </w:rPr>
              <w:t>Improving farmers’ position in the food chain</w:t>
            </w:r>
          </w:p>
        </w:tc>
      </w:tr>
      <w:tr w:rsidR="001621B1" w14:paraId="3B8BAB8A"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13FE4DD0" w14:textId="0D0A8230" w:rsidR="001621B1" w:rsidRDefault="00EF347E" w:rsidP="00EF347E">
            <w:pPr>
              <w:spacing w:after="0" w:line="240" w:lineRule="auto"/>
              <w:rPr>
                <w:rFonts w:ascii="Verdana" w:hAnsi="Verdana"/>
                <w:sz w:val="18"/>
                <w:szCs w:val="18"/>
              </w:rPr>
            </w:pPr>
            <w:r>
              <w:rPr>
                <w:rFonts w:ascii="Verdana" w:hAnsi="Verdana"/>
                <w:b w:val="0"/>
                <w:bCs w:val="0"/>
                <w:sz w:val="18"/>
                <w:szCs w:val="18"/>
              </w:rPr>
              <w:t>To c</w:t>
            </w:r>
            <w:r w:rsidR="001621B1" w:rsidRPr="008F5B3E">
              <w:rPr>
                <w:rFonts w:ascii="Verdana" w:hAnsi="Verdana"/>
                <w:b w:val="0"/>
                <w:bCs w:val="0"/>
                <w:sz w:val="18"/>
                <w:szCs w:val="18"/>
              </w:rPr>
              <w:t>ontribute to climate change mitigation and adaptation,</w:t>
            </w:r>
            <w:r w:rsidR="00544397" w:rsidRPr="790C88FB">
              <w:t xml:space="preserve"> </w:t>
            </w:r>
            <w:r w:rsidR="00544397" w:rsidRPr="00544397">
              <w:rPr>
                <w:rFonts w:ascii="Verdana" w:hAnsi="Verdana"/>
                <w:b w:val="0"/>
                <w:bCs w:val="0"/>
                <w:sz w:val="18"/>
                <w:szCs w:val="18"/>
              </w:rPr>
              <w:t>including by reducing greenhouse gas emissions and enhancing carbon sequestration,</w:t>
            </w:r>
            <w:r w:rsidR="001621B1" w:rsidRPr="008F5B3E">
              <w:rPr>
                <w:rFonts w:ascii="Verdana" w:hAnsi="Verdana"/>
                <w:b w:val="0"/>
                <w:bCs w:val="0"/>
                <w:sz w:val="18"/>
                <w:szCs w:val="18"/>
              </w:rPr>
              <w:t xml:space="preserve"> as well as</w:t>
            </w:r>
            <w:r>
              <w:rPr>
                <w:rFonts w:ascii="Verdana" w:hAnsi="Verdana"/>
                <w:b w:val="0"/>
                <w:bCs w:val="0"/>
                <w:sz w:val="18"/>
                <w:szCs w:val="18"/>
              </w:rPr>
              <w:t xml:space="preserve"> to</w:t>
            </w:r>
            <w:r w:rsidR="001621B1" w:rsidRPr="008F5B3E">
              <w:rPr>
                <w:rFonts w:ascii="Verdana" w:hAnsi="Verdana"/>
                <w:b w:val="0"/>
                <w:bCs w:val="0"/>
                <w:sz w:val="18"/>
                <w:szCs w:val="18"/>
              </w:rPr>
              <w:t xml:space="preserve"> </w:t>
            </w:r>
            <w:r w:rsidR="00544397">
              <w:rPr>
                <w:rFonts w:ascii="Verdana" w:hAnsi="Verdana"/>
                <w:b w:val="0"/>
                <w:bCs w:val="0"/>
                <w:sz w:val="18"/>
                <w:szCs w:val="18"/>
              </w:rPr>
              <w:t xml:space="preserve">promote </w:t>
            </w:r>
            <w:r w:rsidR="001621B1" w:rsidRPr="008F5B3E">
              <w:rPr>
                <w:rFonts w:ascii="Verdana" w:hAnsi="Verdana"/>
                <w:b w:val="0"/>
                <w:bCs w:val="0"/>
                <w:sz w:val="18"/>
                <w:szCs w:val="18"/>
              </w:rPr>
              <w:t>sustainable energy</w:t>
            </w:r>
          </w:p>
        </w:tc>
        <w:tc>
          <w:tcPr>
            <w:tcW w:w="1152" w:type="dxa"/>
            <w:tcBorders>
              <w:top w:val="single" w:sz="4" w:space="0" w:color="auto"/>
              <w:left w:val="single" w:sz="8" w:space="0" w:color="4F81BD"/>
              <w:bottom w:val="nil"/>
              <w:right w:val="single" w:sz="8" w:space="0" w:color="4F81BD"/>
            </w:tcBorders>
          </w:tcPr>
          <w:p w14:paraId="1DFBE6BA"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09" w:history="1">
              <w:r w:rsidR="001621B1" w:rsidRPr="5CB4B133">
                <w:rPr>
                  <w:rStyle w:val="Hyperlink"/>
                  <w:rFonts w:ascii="Verdana" w:hAnsi="Verdana"/>
                  <w:b/>
                  <w:bCs/>
                  <w:sz w:val="18"/>
                  <w:szCs w:val="18"/>
                </w:rPr>
                <w:t>I.9</w:t>
              </w:r>
            </w:hyperlink>
          </w:p>
        </w:tc>
        <w:tc>
          <w:tcPr>
            <w:tcW w:w="1152" w:type="dxa"/>
            <w:tcBorders>
              <w:top w:val="single" w:sz="4" w:space="0" w:color="auto"/>
              <w:left w:val="single" w:sz="8" w:space="0" w:color="4F81BD"/>
              <w:bottom w:val="nil"/>
              <w:right w:val="single" w:sz="8" w:space="0" w:color="4F81BD"/>
            </w:tcBorders>
          </w:tcPr>
          <w:p w14:paraId="63CF2FF4" w14:textId="6350C35D" w:rsidR="001621B1" w:rsidRPr="008F5B3E"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44" w:history="1">
              <w:r w:rsidR="001621B1" w:rsidRPr="5CB4B133">
                <w:rPr>
                  <w:rStyle w:val="Hyperlink"/>
                  <w:rFonts w:ascii="Verdana" w:hAnsi="Verdana"/>
                  <w:b/>
                  <w:bCs/>
                  <w:sz w:val="18"/>
                  <w:szCs w:val="18"/>
                </w:rPr>
                <w:t>C.4</w:t>
              </w:r>
              <w:r w:rsidR="0041604C">
                <w:rPr>
                  <w:rStyle w:val="Hyperlink"/>
                  <w:rFonts w:ascii="Verdana" w:hAnsi="Verdana"/>
                  <w:b/>
                  <w:bCs/>
                  <w:sz w:val="18"/>
                  <w:szCs w:val="18"/>
                </w:rPr>
                <w:t>5</w:t>
              </w:r>
            </w:hyperlink>
          </w:p>
        </w:tc>
        <w:tc>
          <w:tcPr>
            <w:tcW w:w="3635" w:type="dxa"/>
            <w:tcBorders>
              <w:top w:val="single" w:sz="4" w:space="0" w:color="auto"/>
              <w:left w:val="single" w:sz="8" w:space="0" w:color="4F81BD"/>
              <w:bottom w:val="nil"/>
            </w:tcBorders>
          </w:tcPr>
          <w:p w14:paraId="1E6FA14C" w14:textId="7EE30BE2" w:rsidR="001621B1" w:rsidRPr="008F5B3E" w:rsidRDefault="000D3192" w:rsidP="002E07A6">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0D3192">
              <w:rPr>
                <w:rFonts w:ascii="Verdana" w:hAnsi="Verdana"/>
                <w:sz w:val="18"/>
                <w:szCs w:val="18"/>
              </w:rPr>
              <w:t>Improving</w:t>
            </w:r>
            <w:r w:rsidR="00FA7243">
              <w:rPr>
                <w:rFonts w:ascii="Verdana" w:hAnsi="Verdana"/>
                <w:sz w:val="18"/>
                <w:szCs w:val="18"/>
              </w:rPr>
              <w:t xml:space="preserve"> </w:t>
            </w:r>
            <w:r w:rsidR="002E07A6">
              <w:rPr>
                <w:rFonts w:ascii="Verdana" w:hAnsi="Verdana"/>
                <w:sz w:val="18"/>
                <w:szCs w:val="18"/>
              </w:rPr>
              <w:t xml:space="preserve">the </w:t>
            </w:r>
            <w:r w:rsidRPr="000D3192">
              <w:rPr>
                <w:rFonts w:ascii="Verdana" w:hAnsi="Verdana"/>
                <w:sz w:val="18"/>
                <w:szCs w:val="18"/>
              </w:rPr>
              <w:t>resilience</w:t>
            </w:r>
            <w:r w:rsidR="002E07A6">
              <w:rPr>
                <w:rFonts w:ascii="Verdana" w:hAnsi="Verdana"/>
                <w:sz w:val="18"/>
                <w:szCs w:val="18"/>
              </w:rPr>
              <w:t xml:space="preserve"> of agriculture to climate change</w:t>
            </w:r>
            <w:r w:rsidRPr="000D3192">
              <w:rPr>
                <w:rFonts w:ascii="Verdana" w:hAnsi="Verdana"/>
                <w:sz w:val="18"/>
                <w:szCs w:val="18"/>
              </w:rPr>
              <w:t xml:space="preserve"> </w:t>
            </w:r>
          </w:p>
        </w:tc>
      </w:tr>
      <w:tr w:rsidR="001621B1" w14:paraId="1CDCD6DF"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7840992F"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614187EC" w14:textId="77777777" w:rsidR="001621B1"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0" w:history="1">
              <w:r w:rsidR="001621B1" w:rsidRPr="5CB4B133">
                <w:rPr>
                  <w:rStyle w:val="Hyperlink"/>
                  <w:rFonts w:ascii="Verdana" w:hAnsi="Verdana"/>
                  <w:b/>
                  <w:bCs/>
                  <w:sz w:val="18"/>
                  <w:szCs w:val="18"/>
                </w:rPr>
                <w:t>I.10</w:t>
              </w:r>
            </w:hyperlink>
          </w:p>
        </w:tc>
        <w:tc>
          <w:tcPr>
            <w:tcW w:w="1152" w:type="dxa"/>
            <w:tcBorders>
              <w:top w:val="nil"/>
              <w:left w:val="single" w:sz="8" w:space="0" w:color="4F81BD"/>
              <w:bottom w:val="nil"/>
              <w:right w:val="single" w:sz="8" w:space="0" w:color="4F81BD"/>
            </w:tcBorders>
          </w:tcPr>
          <w:p w14:paraId="2A085FA6" w14:textId="2C63B827" w:rsidR="001621B1" w:rsidRPr="008F5B3E"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highlight w:val="yellow"/>
              </w:rPr>
            </w:pPr>
            <w:hyperlink w:anchor="C43" w:history="1">
              <w:r w:rsidR="001621B1" w:rsidRPr="5CB4B133">
                <w:rPr>
                  <w:rStyle w:val="Hyperlink"/>
                  <w:rFonts w:ascii="Verdana" w:hAnsi="Verdana"/>
                  <w:b/>
                  <w:bCs/>
                  <w:sz w:val="18"/>
                  <w:szCs w:val="18"/>
                </w:rPr>
                <w:t>C.4</w:t>
              </w:r>
              <w:r w:rsidR="0041604C">
                <w:rPr>
                  <w:rStyle w:val="Hyperlink"/>
                  <w:rFonts w:ascii="Verdana" w:hAnsi="Verdana"/>
                  <w:b/>
                  <w:bCs/>
                  <w:sz w:val="18"/>
                  <w:szCs w:val="18"/>
                </w:rPr>
                <w:t>4</w:t>
              </w:r>
            </w:hyperlink>
          </w:p>
        </w:tc>
        <w:tc>
          <w:tcPr>
            <w:tcW w:w="3635" w:type="dxa"/>
            <w:tcBorders>
              <w:top w:val="nil"/>
              <w:left w:val="single" w:sz="8" w:space="0" w:color="4F81BD"/>
              <w:bottom w:val="nil"/>
            </w:tcBorders>
          </w:tcPr>
          <w:p w14:paraId="1E4A20E6" w14:textId="6BC1B9D0" w:rsidR="001621B1" w:rsidRDefault="0082122E" w:rsidP="003D760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82122E">
              <w:rPr>
                <w:rFonts w:ascii="Verdana" w:hAnsi="Verdana"/>
                <w:sz w:val="18"/>
                <w:szCs w:val="18"/>
              </w:rPr>
              <w:t>Contribut</w:t>
            </w:r>
            <w:r w:rsidR="002E07A6">
              <w:rPr>
                <w:rFonts w:ascii="Verdana" w:hAnsi="Verdana"/>
                <w:sz w:val="18"/>
                <w:szCs w:val="18"/>
              </w:rPr>
              <w:t>ing</w:t>
            </w:r>
            <w:r w:rsidRPr="0082122E">
              <w:rPr>
                <w:rFonts w:ascii="Verdana" w:hAnsi="Verdana"/>
                <w:sz w:val="18"/>
                <w:szCs w:val="18"/>
              </w:rPr>
              <w:t xml:space="preserve"> to climate change mitigation</w:t>
            </w:r>
          </w:p>
        </w:tc>
      </w:tr>
      <w:tr w:rsidR="001621B1" w14:paraId="716B16A0"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5F2BEF25"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338238E2"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1" w:history="1">
              <w:r w:rsidR="001621B1" w:rsidRPr="5CB4B133">
                <w:rPr>
                  <w:rStyle w:val="Hyperlink"/>
                  <w:rFonts w:ascii="Verdana" w:hAnsi="Verdana"/>
                  <w:b/>
                  <w:bCs/>
                  <w:sz w:val="18"/>
                  <w:szCs w:val="18"/>
                </w:rPr>
                <w:t>I.11</w:t>
              </w:r>
            </w:hyperlink>
          </w:p>
        </w:tc>
        <w:tc>
          <w:tcPr>
            <w:tcW w:w="1152" w:type="dxa"/>
            <w:tcBorders>
              <w:top w:val="nil"/>
              <w:left w:val="single" w:sz="8" w:space="0" w:color="4F81BD"/>
              <w:bottom w:val="nil"/>
              <w:right w:val="single" w:sz="8" w:space="0" w:color="4F81BD"/>
            </w:tcBorders>
          </w:tcPr>
          <w:p w14:paraId="25CCF2CC" w14:textId="089C8331" w:rsidR="001621B1" w:rsidRPr="008F5B3E"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highlight w:val="yellow"/>
              </w:rPr>
            </w:pPr>
            <w:hyperlink w:anchor="C39" w:history="1">
              <w:r w:rsidR="001621B1" w:rsidRPr="5CB4B133">
                <w:rPr>
                  <w:rStyle w:val="Hyperlink"/>
                  <w:rFonts w:ascii="Verdana" w:hAnsi="Verdana"/>
                  <w:b/>
                  <w:bCs/>
                  <w:sz w:val="18"/>
                  <w:szCs w:val="18"/>
                </w:rPr>
                <w:t>C.</w:t>
              </w:r>
              <w:r w:rsidR="0041604C">
                <w:rPr>
                  <w:rStyle w:val="Hyperlink"/>
                  <w:rFonts w:ascii="Verdana" w:hAnsi="Verdana"/>
                  <w:b/>
                  <w:bCs/>
                  <w:sz w:val="18"/>
                  <w:szCs w:val="18"/>
                </w:rPr>
                <w:t>40</w:t>
              </w:r>
            </w:hyperlink>
          </w:p>
        </w:tc>
        <w:tc>
          <w:tcPr>
            <w:tcW w:w="3635" w:type="dxa"/>
            <w:tcBorders>
              <w:top w:val="nil"/>
              <w:left w:val="single" w:sz="8" w:space="0" w:color="4F81BD"/>
              <w:bottom w:val="nil"/>
            </w:tcBorders>
          </w:tcPr>
          <w:p w14:paraId="428B3488" w14:textId="77777777" w:rsidR="001621B1" w:rsidRDefault="0082122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82122E">
              <w:rPr>
                <w:rFonts w:ascii="Verdana" w:hAnsi="Verdana"/>
                <w:sz w:val="18"/>
                <w:szCs w:val="18"/>
              </w:rPr>
              <w:t>Enhancing carbon sequestration</w:t>
            </w:r>
          </w:p>
        </w:tc>
      </w:tr>
      <w:tr w:rsidR="001621B1" w14:paraId="41AE281C"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344FF46F"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7A6106FC" w14:textId="77777777" w:rsidR="001621B1"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2" w:history="1">
              <w:r w:rsidR="001621B1" w:rsidRPr="5CB4B133">
                <w:rPr>
                  <w:rStyle w:val="Hyperlink"/>
                  <w:rFonts w:ascii="Verdana" w:hAnsi="Verdana"/>
                  <w:b/>
                  <w:bCs/>
                  <w:sz w:val="18"/>
                  <w:szCs w:val="18"/>
                </w:rPr>
                <w:t>I.12</w:t>
              </w:r>
            </w:hyperlink>
          </w:p>
        </w:tc>
        <w:tc>
          <w:tcPr>
            <w:tcW w:w="1152" w:type="dxa"/>
            <w:tcBorders>
              <w:top w:val="nil"/>
              <w:left w:val="single" w:sz="8" w:space="0" w:color="4F81BD"/>
              <w:bottom w:val="single" w:sz="4" w:space="0" w:color="auto"/>
              <w:right w:val="single" w:sz="8" w:space="0" w:color="4F81BD"/>
            </w:tcBorders>
          </w:tcPr>
          <w:p w14:paraId="7755E861" w14:textId="7761AC2A" w:rsidR="001621B1" w:rsidRPr="008F5B3E"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highlight w:val="yellow"/>
              </w:rPr>
            </w:pPr>
            <w:hyperlink w:anchor="C41" w:history="1">
              <w:r w:rsidR="001621B1" w:rsidRPr="5CB4B133">
                <w:rPr>
                  <w:rStyle w:val="Hyperlink"/>
                  <w:rFonts w:ascii="Verdana" w:hAnsi="Verdana"/>
                  <w:b/>
                  <w:bCs/>
                  <w:sz w:val="18"/>
                  <w:szCs w:val="18"/>
                </w:rPr>
                <w:t>C.4</w:t>
              </w:r>
              <w:r w:rsidR="0041604C">
                <w:rPr>
                  <w:rStyle w:val="Hyperlink"/>
                  <w:rFonts w:ascii="Verdana" w:hAnsi="Verdana"/>
                  <w:b/>
                  <w:bCs/>
                  <w:sz w:val="18"/>
                  <w:szCs w:val="18"/>
                </w:rPr>
                <w:t>2</w:t>
              </w:r>
            </w:hyperlink>
          </w:p>
        </w:tc>
        <w:tc>
          <w:tcPr>
            <w:tcW w:w="3635" w:type="dxa"/>
            <w:tcBorders>
              <w:top w:val="nil"/>
              <w:left w:val="single" w:sz="8" w:space="0" w:color="4F81BD"/>
              <w:bottom w:val="single" w:sz="4" w:space="0" w:color="auto"/>
            </w:tcBorders>
          </w:tcPr>
          <w:p w14:paraId="35C0D4BD" w14:textId="77777777" w:rsidR="001621B1" w:rsidRDefault="0082122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82122E">
              <w:rPr>
                <w:rFonts w:ascii="Verdana" w:hAnsi="Verdana"/>
                <w:sz w:val="18"/>
                <w:szCs w:val="18"/>
              </w:rPr>
              <w:t>Increasing sustainable energy in agriculture</w:t>
            </w:r>
          </w:p>
        </w:tc>
      </w:tr>
      <w:tr w:rsidR="001621B1" w14:paraId="76A9B371"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7218CD9E" w14:textId="6731305F" w:rsidR="001621B1" w:rsidRDefault="00EF347E" w:rsidP="006B186C">
            <w:pPr>
              <w:spacing w:after="0" w:line="240" w:lineRule="auto"/>
              <w:rPr>
                <w:rFonts w:ascii="Verdana" w:hAnsi="Verdana"/>
                <w:sz w:val="18"/>
                <w:szCs w:val="18"/>
              </w:rPr>
            </w:pPr>
            <w:r>
              <w:rPr>
                <w:rFonts w:ascii="Verdana" w:hAnsi="Verdana"/>
                <w:b w:val="0"/>
                <w:bCs w:val="0"/>
                <w:sz w:val="18"/>
                <w:szCs w:val="18"/>
              </w:rPr>
              <w:t>To f</w:t>
            </w:r>
            <w:r w:rsidR="001621B1" w:rsidRPr="008F5B3E">
              <w:rPr>
                <w:rFonts w:ascii="Verdana" w:hAnsi="Verdana"/>
                <w:b w:val="0"/>
                <w:bCs w:val="0"/>
                <w:sz w:val="18"/>
                <w:szCs w:val="18"/>
              </w:rPr>
              <w:t>oster sustainable development and efficient management of natural resources such as water, soil and air</w:t>
            </w:r>
            <w:r w:rsidR="001B6EB2" w:rsidRPr="001B6EB2">
              <w:rPr>
                <w:rFonts w:ascii="Verdana" w:hAnsi="Verdana"/>
                <w:b w:val="0"/>
                <w:bCs w:val="0"/>
                <w:sz w:val="18"/>
                <w:szCs w:val="18"/>
              </w:rPr>
              <w:t>, including by reducing chemical dependency</w:t>
            </w:r>
          </w:p>
        </w:tc>
        <w:tc>
          <w:tcPr>
            <w:tcW w:w="1152" w:type="dxa"/>
            <w:tcBorders>
              <w:top w:val="single" w:sz="4" w:space="0" w:color="auto"/>
              <w:left w:val="single" w:sz="8" w:space="0" w:color="4F81BD"/>
              <w:bottom w:val="nil"/>
              <w:right w:val="single" w:sz="8" w:space="0" w:color="4F81BD"/>
            </w:tcBorders>
          </w:tcPr>
          <w:p w14:paraId="3C951764"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3" w:history="1">
              <w:r w:rsidR="001621B1" w:rsidRPr="5CB4B133">
                <w:rPr>
                  <w:rStyle w:val="Hyperlink"/>
                  <w:rFonts w:ascii="Verdana" w:hAnsi="Verdana"/>
                  <w:b/>
                  <w:bCs/>
                  <w:sz w:val="18"/>
                  <w:szCs w:val="18"/>
                </w:rPr>
                <w:t>I.13</w:t>
              </w:r>
            </w:hyperlink>
          </w:p>
        </w:tc>
        <w:tc>
          <w:tcPr>
            <w:tcW w:w="1152" w:type="dxa"/>
            <w:tcBorders>
              <w:top w:val="single" w:sz="4" w:space="0" w:color="auto"/>
              <w:left w:val="single" w:sz="8" w:space="0" w:color="4F81BD"/>
              <w:bottom w:val="nil"/>
              <w:right w:val="single" w:sz="8" w:space="0" w:color="4F81BD"/>
            </w:tcBorders>
          </w:tcPr>
          <w:p w14:paraId="3EAF2DDF" w14:textId="7916BE64" w:rsidR="001621B1" w:rsidRPr="008F5B3E"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40" w:history="1">
              <w:r w:rsidR="001621B1" w:rsidRPr="5CB4B133">
                <w:rPr>
                  <w:rStyle w:val="Hyperlink"/>
                  <w:rFonts w:ascii="Verdana" w:hAnsi="Verdana"/>
                  <w:b/>
                  <w:bCs/>
                  <w:sz w:val="18"/>
                  <w:szCs w:val="18"/>
                </w:rPr>
                <w:t>C.4</w:t>
              </w:r>
              <w:r w:rsidR="0041604C">
                <w:rPr>
                  <w:rStyle w:val="Hyperlink"/>
                  <w:rFonts w:ascii="Verdana" w:hAnsi="Verdana"/>
                  <w:b/>
                  <w:bCs/>
                  <w:sz w:val="18"/>
                  <w:szCs w:val="18"/>
                </w:rPr>
                <w:t>1</w:t>
              </w:r>
            </w:hyperlink>
          </w:p>
        </w:tc>
        <w:tc>
          <w:tcPr>
            <w:tcW w:w="3635" w:type="dxa"/>
            <w:tcBorders>
              <w:top w:val="single" w:sz="4" w:space="0" w:color="auto"/>
              <w:left w:val="single" w:sz="8" w:space="0" w:color="4F81BD"/>
              <w:bottom w:val="nil"/>
            </w:tcBorders>
          </w:tcPr>
          <w:p w14:paraId="617F95FB" w14:textId="77777777" w:rsidR="001621B1" w:rsidRPr="00ED2A3A" w:rsidRDefault="0082122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Reducing soil erosion</w:t>
            </w:r>
          </w:p>
        </w:tc>
      </w:tr>
      <w:tr w:rsidR="001621B1" w14:paraId="2049C265"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67560084"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695EBB91" w14:textId="77777777" w:rsidR="001621B1"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4" w:history="1">
              <w:r w:rsidR="001621B1" w:rsidRPr="5CB4B133">
                <w:rPr>
                  <w:rStyle w:val="Hyperlink"/>
                  <w:rFonts w:ascii="Verdana" w:hAnsi="Verdana"/>
                  <w:b/>
                  <w:bCs/>
                  <w:sz w:val="18"/>
                  <w:szCs w:val="18"/>
                </w:rPr>
                <w:t>I.14</w:t>
              </w:r>
            </w:hyperlink>
          </w:p>
        </w:tc>
        <w:tc>
          <w:tcPr>
            <w:tcW w:w="1152" w:type="dxa"/>
            <w:tcBorders>
              <w:top w:val="nil"/>
              <w:left w:val="single" w:sz="8" w:space="0" w:color="4F81BD"/>
              <w:bottom w:val="nil"/>
              <w:right w:val="single" w:sz="8" w:space="0" w:color="4F81BD"/>
            </w:tcBorders>
          </w:tcPr>
          <w:p w14:paraId="724E8DED" w14:textId="7892FB56" w:rsidR="001621B1" w:rsidRPr="008F5B3E"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46" w:history="1">
              <w:r w:rsidR="001621B1" w:rsidRPr="5CB4B133">
                <w:rPr>
                  <w:rStyle w:val="Hyperlink"/>
                  <w:rFonts w:ascii="Verdana" w:hAnsi="Verdana"/>
                  <w:b/>
                  <w:bCs/>
                  <w:sz w:val="18"/>
                  <w:szCs w:val="18"/>
                </w:rPr>
                <w:t>C.4</w:t>
              </w:r>
              <w:r w:rsidR="0041604C">
                <w:rPr>
                  <w:rStyle w:val="Hyperlink"/>
                  <w:rFonts w:ascii="Verdana" w:hAnsi="Verdana"/>
                  <w:b/>
                  <w:bCs/>
                  <w:sz w:val="18"/>
                  <w:szCs w:val="18"/>
                </w:rPr>
                <w:t>7</w:t>
              </w:r>
            </w:hyperlink>
          </w:p>
        </w:tc>
        <w:tc>
          <w:tcPr>
            <w:tcW w:w="3635" w:type="dxa"/>
            <w:tcBorders>
              <w:top w:val="nil"/>
              <w:left w:val="single" w:sz="8" w:space="0" w:color="4F81BD"/>
              <w:bottom w:val="nil"/>
            </w:tcBorders>
          </w:tcPr>
          <w:p w14:paraId="4AA7BEA6" w14:textId="77777777" w:rsidR="001621B1" w:rsidRPr="00ED2A3A" w:rsidRDefault="0082122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Improving air quality</w:t>
            </w:r>
          </w:p>
        </w:tc>
      </w:tr>
      <w:tr w:rsidR="001621B1" w:rsidRPr="00564156" w14:paraId="64DFDA73"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48B3593C"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237323A6"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5" w:history="1">
              <w:r w:rsidR="001621B1" w:rsidRPr="5CB4B133">
                <w:rPr>
                  <w:rStyle w:val="Hyperlink"/>
                  <w:rFonts w:ascii="Verdana" w:hAnsi="Verdana"/>
                  <w:b/>
                  <w:bCs/>
                  <w:sz w:val="18"/>
                  <w:szCs w:val="18"/>
                </w:rPr>
                <w:t>I.15</w:t>
              </w:r>
            </w:hyperlink>
          </w:p>
        </w:tc>
        <w:tc>
          <w:tcPr>
            <w:tcW w:w="1152" w:type="dxa"/>
            <w:tcBorders>
              <w:top w:val="nil"/>
              <w:left w:val="single" w:sz="8" w:space="0" w:color="4F81BD"/>
              <w:bottom w:val="nil"/>
              <w:right w:val="single" w:sz="8" w:space="0" w:color="4F81BD"/>
            </w:tcBorders>
          </w:tcPr>
          <w:p w14:paraId="132B4A69" w14:textId="39C0F992" w:rsidR="001621B1" w:rsidRPr="00FE1A75"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8_Gross_Nutrient_Balance" w:history="1">
              <w:r w:rsidR="001621B1" w:rsidRPr="5CB4B133">
                <w:rPr>
                  <w:rStyle w:val="Hyperlink"/>
                  <w:rFonts w:ascii="Verdana" w:hAnsi="Verdana"/>
                  <w:b/>
                  <w:bCs/>
                  <w:sz w:val="18"/>
                  <w:szCs w:val="18"/>
                </w:rPr>
                <w:t>C.3</w:t>
              </w:r>
              <w:r w:rsidR="0041604C">
                <w:rPr>
                  <w:rStyle w:val="Hyperlink"/>
                  <w:rFonts w:ascii="Verdana" w:hAnsi="Verdana"/>
                  <w:b/>
                  <w:bCs/>
                  <w:sz w:val="18"/>
                  <w:szCs w:val="18"/>
                </w:rPr>
                <w:t>9</w:t>
              </w:r>
            </w:hyperlink>
          </w:p>
        </w:tc>
        <w:tc>
          <w:tcPr>
            <w:tcW w:w="3635" w:type="dxa"/>
            <w:tcBorders>
              <w:top w:val="nil"/>
              <w:left w:val="single" w:sz="8" w:space="0" w:color="4F81BD"/>
              <w:bottom w:val="nil"/>
            </w:tcBorders>
          </w:tcPr>
          <w:p w14:paraId="7ED24CF9" w14:textId="77777777" w:rsidR="001621B1" w:rsidRPr="004D73B0" w:rsidRDefault="0082122E" w:rsidP="001621B1">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D73B0">
              <w:rPr>
                <w:rFonts w:ascii="Verdana" w:hAnsi="Verdana"/>
                <w:sz w:val="18"/>
                <w:szCs w:val="18"/>
              </w:rPr>
              <w:t>Improving water quality</w:t>
            </w:r>
          </w:p>
        </w:tc>
      </w:tr>
      <w:tr w:rsidR="001621B1" w14:paraId="19CF7AFB"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7ACC607D" w14:textId="77777777" w:rsidR="001621B1" w:rsidRPr="008F5B3E" w:rsidRDefault="001621B1" w:rsidP="001621B1">
            <w:pPr>
              <w:spacing w:after="0" w:line="240" w:lineRule="auto"/>
              <w:rPr>
                <w:rFonts w:ascii="Verdana" w:hAnsi="Verdana"/>
                <w:b w:val="0"/>
                <w:sz w:val="18"/>
                <w:szCs w:val="18"/>
                <w:lang w:val="fr-BE"/>
              </w:rPr>
            </w:pPr>
          </w:p>
        </w:tc>
        <w:tc>
          <w:tcPr>
            <w:tcW w:w="1152" w:type="dxa"/>
            <w:tcBorders>
              <w:top w:val="nil"/>
              <w:left w:val="single" w:sz="8" w:space="0" w:color="4F81BD"/>
              <w:bottom w:val="nil"/>
              <w:right w:val="single" w:sz="8" w:space="0" w:color="4F81BD"/>
            </w:tcBorders>
          </w:tcPr>
          <w:p w14:paraId="0D9E9F23" w14:textId="77777777" w:rsidR="001621B1" w:rsidRDefault="00AA07F1" w:rsidP="5CB4B1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6" w:history="1">
              <w:r w:rsidR="001621B1" w:rsidRPr="5CB4B133">
                <w:rPr>
                  <w:rStyle w:val="Hyperlink"/>
                  <w:rFonts w:ascii="Verdana" w:hAnsi="Verdana"/>
                  <w:b/>
                  <w:bCs/>
                  <w:sz w:val="18"/>
                  <w:szCs w:val="18"/>
                </w:rPr>
                <w:t>I.16</w:t>
              </w:r>
            </w:hyperlink>
          </w:p>
        </w:tc>
        <w:tc>
          <w:tcPr>
            <w:tcW w:w="1152" w:type="dxa"/>
            <w:tcBorders>
              <w:top w:val="nil"/>
              <w:left w:val="single" w:sz="8" w:space="0" w:color="4F81BD"/>
              <w:bottom w:val="nil"/>
              <w:right w:val="single" w:sz="8" w:space="0" w:color="4F81BD"/>
            </w:tcBorders>
          </w:tcPr>
          <w:p w14:paraId="194BC1C8" w14:textId="3B331C19" w:rsidR="001621B1" w:rsidRPr="00FE1A75"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38_Nitrate_in_ground_water" w:history="1">
              <w:r w:rsidR="001621B1" w:rsidRPr="5CB4B133">
                <w:rPr>
                  <w:rStyle w:val="Hyperlink"/>
                  <w:rFonts w:ascii="Verdana" w:hAnsi="Verdana"/>
                  <w:b/>
                  <w:bCs/>
                  <w:sz w:val="18"/>
                  <w:szCs w:val="18"/>
                </w:rPr>
                <w:t>C.3</w:t>
              </w:r>
              <w:r w:rsidR="0041604C">
                <w:rPr>
                  <w:rStyle w:val="Hyperlink"/>
                  <w:rFonts w:ascii="Verdana" w:hAnsi="Verdana"/>
                  <w:b/>
                  <w:bCs/>
                  <w:sz w:val="18"/>
                  <w:szCs w:val="18"/>
                </w:rPr>
                <w:t>9</w:t>
              </w:r>
            </w:hyperlink>
          </w:p>
        </w:tc>
        <w:tc>
          <w:tcPr>
            <w:tcW w:w="3635" w:type="dxa"/>
            <w:tcBorders>
              <w:top w:val="nil"/>
              <w:left w:val="single" w:sz="8" w:space="0" w:color="4F81BD"/>
              <w:bottom w:val="nil"/>
            </w:tcBorders>
          </w:tcPr>
          <w:p w14:paraId="0A55D4C0" w14:textId="77777777" w:rsidR="001621B1" w:rsidRPr="00FE1A75" w:rsidRDefault="0082122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Reducing nutrient leakage</w:t>
            </w:r>
          </w:p>
        </w:tc>
      </w:tr>
      <w:tr w:rsidR="001621B1" w14:paraId="7DDF6452"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47ADAF9F" w14:textId="77777777" w:rsidR="001621B1" w:rsidRDefault="001621B1" w:rsidP="001621B1">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6D3748B1" w14:textId="77777777" w:rsidR="001621B1" w:rsidRDefault="00AA07F1" w:rsidP="5CB4B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7" w:history="1">
              <w:r w:rsidR="001621B1" w:rsidRPr="5CB4B133">
                <w:rPr>
                  <w:rStyle w:val="Hyperlink"/>
                  <w:rFonts w:ascii="Verdana" w:hAnsi="Verdana"/>
                  <w:b/>
                  <w:bCs/>
                  <w:sz w:val="18"/>
                  <w:szCs w:val="18"/>
                </w:rPr>
                <w:t>I.17</w:t>
              </w:r>
            </w:hyperlink>
          </w:p>
        </w:tc>
        <w:tc>
          <w:tcPr>
            <w:tcW w:w="1152" w:type="dxa"/>
            <w:tcBorders>
              <w:top w:val="nil"/>
              <w:left w:val="single" w:sz="8" w:space="0" w:color="4F81BD"/>
              <w:bottom w:val="single" w:sz="4" w:space="0" w:color="auto"/>
              <w:right w:val="single" w:sz="8" w:space="0" w:color="4F81BD"/>
            </w:tcBorders>
          </w:tcPr>
          <w:p w14:paraId="7CEC97A6" w14:textId="32C9BE8E" w:rsidR="001621B1" w:rsidRPr="008F5B3E"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7" w:history="1">
              <w:r w:rsidR="001621B1" w:rsidRPr="5CB4B133">
                <w:rPr>
                  <w:rStyle w:val="Hyperlink"/>
                  <w:rFonts w:ascii="Verdana" w:hAnsi="Verdana"/>
                  <w:b/>
                  <w:bCs/>
                  <w:sz w:val="18"/>
                  <w:szCs w:val="18"/>
                </w:rPr>
                <w:t>C.3</w:t>
              </w:r>
              <w:r w:rsidR="0041604C">
                <w:rPr>
                  <w:rStyle w:val="Hyperlink"/>
                  <w:rFonts w:ascii="Verdana" w:hAnsi="Verdana"/>
                  <w:b/>
                  <w:bCs/>
                  <w:sz w:val="18"/>
                  <w:szCs w:val="18"/>
                </w:rPr>
                <w:t>8</w:t>
              </w:r>
            </w:hyperlink>
          </w:p>
        </w:tc>
        <w:tc>
          <w:tcPr>
            <w:tcW w:w="3635" w:type="dxa"/>
            <w:tcBorders>
              <w:top w:val="nil"/>
              <w:left w:val="single" w:sz="8" w:space="0" w:color="4F81BD"/>
              <w:bottom w:val="single" w:sz="4" w:space="0" w:color="auto"/>
            </w:tcBorders>
          </w:tcPr>
          <w:p w14:paraId="1B82A422" w14:textId="77777777" w:rsidR="001621B1" w:rsidRDefault="0082122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Reducing pressure on water resource</w:t>
            </w:r>
          </w:p>
        </w:tc>
      </w:tr>
      <w:tr w:rsidR="006B186C" w14:paraId="63D8CD21"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val="restart"/>
            <w:tcBorders>
              <w:right w:val="single" w:sz="8" w:space="0" w:color="4F81BD"/>
            </w:tcBorders>
            <w:shd w:val="clear" w:color="auto" w:fill="auto"/>
            <w:vAlign w:val="center"/>
          </w:tcPr>
          <w:p w14:paraId="0F3DEF50" w14:textId="65198A8B" w:rsidR="006B186C" w:rsidRPr="008F5B3E" w:rsidRDefault="00EF347E" w:rsidP="0041604C">
            <w:pPr>
              <w:spacing w:after="0" w:line="240" w:lineRule="auto"/>
              <w:rPr>
                <w:rFonts w:ascii="Verdana" w:hAnsi="Verdana"/>
                <w:sz w:val="18"/>
                <w:szCs w:val="18"/>
              </w:rPr>
            </w:pPr>
            <w:r>
              <w:rPr>
                <w:rFonts w:ascii="Verdana" w:hAnsi="Verdana"/>
                <w:b w:val="0"/>
                <w:bCs w:val="0"/>
                <w:sz w:val="18"/>
                <w:szCs w:val="18"/>
              </w:rPr>
              <w:t>To c</w:t>
            </w:r>
            <w:r w:rsidR="006B186C" w:rsidRPr="008F5B3E">
              <w:rPr>
                <w:rFonts w:ascii="Verdana" w:hAnsi="Verdana"/>
                <w:b w:val="0"/>
                <w:bCs w:val="0"/>
                <w:sz w:val="18"/>
                <w:szCs w:val="18"/>
              </w:rPr>
              <w:t xml:space="preserve">ontribute to </w:t>
            </w:r>
            <w:r w:rsidR="006B186C">
              <w:rPr>
                <w:rFonts w:ascii="Verdana" w:hAnsi="Verdana"/>
                <w:b w:val="0"/>
                <w:bCs w:val="0"/>
                <w:sz w:val="18"/>
                <w:szCs w:val="18"/>
              </w:rPr>
              <w:t xml:space="preserve">halting and reversing </w:t>
            </w:r>
            <w:r w:rsidR="006B186C" w:rsidRPr="008F5B3E">
              <w:rPr>
                <w:rFonts w:ascii="Verdana" w:hAnsi="Verdana"/>
                <w:b w:val="0"/>
                <w:bCs w:val="0"/>
                <w:sz w:val="18"/>
                <w:szCs w:val="18"/>
              </w:rPr>
              <w:t>biodiversity</w:t>
            </w:r>
            <w:r w:rsidR="006B186C">
              <w:rPr>
                <w:rFonts w:ascii="Verdana" w:hAnsi="Verdana"/>
                <w:b w:val="0"/>
                <w:bCs w:val="0"/>
                <w:sz w:val="18"/>
                <w:szCs w:val="18"/>
              </w:rPr>
              <w:t xml:space="preserve"> loss</w:t>
            </w:r>
            <w:r w:rsidR="006B186C" w:rsidRPr="008F5B3E">
              <w:rPr>
                <w:rFonts w:ascii="Verdana" w:hAnsi="Verdana"/>
                <w:b w:val="0"/>
                <w:bCs w:val="0"/>
                <w:sz w:val="18"/>
                <w:szCs w:val="18"/>
              </w:rPr>
              <w:t>, enhance ecosystem services and preserve habitats and landscapes</w:t>
            </w:r>
          </w:p>
        </w:tc>
        <w:tc>
          <w:tcPr>
            <w:tcW w:w="1152" w:type="dxa"/>
            <w:tcBorders>
              <w:top w:val="single" w:sz="4" w:space="0" w:color="auto"/>
              <w:left w:val="single" w:sz="8" w:space="0" w:color="4F81BD"/>
              <w:bottom w:val="nil"/>
              <w:right w:val="single" w:sz="4" w:space="0" w:color="auto"/>
            </w:tcBorders>
            <w:shd w:val="clear" w:color="auto" w:fill="auto"/>
          </w:tcPr>
          <w:p w14:paraId="56128F4D" w14:textId="2604B275" w:rsidR="006B186C" w:rsidRPr="00D37B66"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I27" w:history="1">
              <w:r w:rsidR="006B186C" w:rsidRPr="0041604C">
                <w:rPr>
                  <w:rStyle w:val="Hyperlink"/>
                  <w:rFonts w:ascii="Verdana" w:hAnsi="Verdana"/>
                  <w:b/>
                  <w:bCs/>
                  <w:sz w:val="18"/>
                  <w:szCs w:val="18"/>
                </w:rPr>
                <w:t>I.</w:t>
              </w:r>
              <w:r w:rsidR="006B186C">
                <w:rPr>
                  <w:rStyle w:val="Hyperlink"/>
                  <w:rFonts w:ascii="Verdana" w:hAnsi="Verdana"/>
                  <w:b/>
                  <w:bCs/>
                  <w:sz w:val="18"/>
                  <w:szCs w:val="18"/>
                </w:rPr>
                <w:t>18</w:t>
              </w:r>
            </w:hyperlink>
          </w:p>
        </w:tc>
        <w:tc>
          <w:tcPr>
            <w:tcW w:w="1152" w:type="dxa"/>
            <w:tcBorders>
              <w:top w:val="single" w:sz="4" w:space="0" w:color="auto"/>
              <w:left w:val="single" w:sz="4" w:space="0" w:color="auto"/>
              <w:bottom w:val="nil"/>
              <w:right w:val="single" w:sz="4" w:space="0" w:color="auto"/>
            </w:tcBorders>
            <w:shd w:val="clear" w:color="auto" w:fill="auto"/>
          </w:tcPr>
          <w:p w14:paraId="21106281" w14:textId="1D3EF079" w:rsidR="006B186C" w:rsidRPr="00D37B66"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C48" w:history="1">
              <w:r w:rsidR="006B186C" w:rsidRPr="5CB4B133">
                <w:rPr>
                  <w:rStyle w:val="Hyperlink"/>
                  <w:rFonts w:ascii="Verdana" w:hAnsi="Verdana"/>
                  <w:b/>
                  <w:bCs/>
                  <w:sz w:val="18"/>
                  <w:szCs w:val="18"/>
                </w:rPr>
                <w:t>C.4</w:t>
              </w:r>
              <w:r w:rsidR="006B186C">
                <w:rPr>
                  <w:rStyle w:val="Hyperlink"/>
                  <w:rFonts w:ascii="Verdana" w:hAnsi="Verdana"/>
                  <w:b/>
                  <w:bCs/>
                  <w:sz w:val="18"/>
                  <w:szCs w:val="18"/>
                </w:rPr>
                <w:t>9</w:t>
              </w:r>
            </w:hyperlink>
          </w:p>
        </w:tc>
        <w:tc>
          <w:tcPr>
            <w:tcW w:w="3635" w:type="dxa"/>
            <w:tcBorders>
              <w:top w:val="single" w:sz="4" w:space="0" w:color="auto"/>
              <w:left w:val="single" w:sz="4" w:space="0" w:color="auto"/>
              <w:bottom w:val="nil"/>
            </w:tcBorders>
            <w:shd w:val="clear" w:color="auto" w:fill="auto"/>
          </w:tcPr>
          <w:p w14:paraId="0C9FA710" w14:textId="129C0DC1" w:rsidR="006B186C" w:rsidRPr="00D37B66" w:rsidRDefault="006B186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1604C">
              <w:rPr>
                <w:rFonts w:ascii="Verdana" w:hAnsi="Verdana"/>
                <w:sz w:val="18"/>
                <w:szCs w:val="18"/>
              </w:rPr>
              <w:t>Sustainable and reduced use of pesticides</w:t>
            </w:r>
          </w:p>
        </w:tc>
      </w:tr>
      <w:tr w:rsidR="006B186C" w14:paraId="5FE41E34"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shd w:val="clear" w:color="auto" w:fill="auto"/>
            <w:vAlign w:val="center"/>
          </w:tcPr>
          <w:p w14:paraId="170EB9DF"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2AFD62B3" w14:textId="3C23D2FA" w:rsidR="006B186C"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18" w:history="1">
              <w:r w:rsidR="006B186C" w:rsidRPr="5CB4B133">
                <w:rPr>
                  <w:rStyle w:val="Hyperlink"/>
                  <w:rFonts w:ascii="Verdana" w:hAnsi="Verdana"/>
                  <w:b/>
                  <w:bCs/>
                  <w:sz w:val="18"/>
                  <w:szCs w:val="18"/>
                </w:rPr>
                <w:t>I.1</w:t>
              </w:r>
              <w:r w:rsidR="006B186C">
                <w:rPr>
                  <w:rStyle w:val="Hyperlink"/>
                  <w:rFonts w:ascii="Verdana" w:hAnsi="Verdana"/>
                  <w:b/>
                  <w:bCs/>
                  <w:sz w:val="18"/>
                  <w:szCs w:val="18"/>
                </w:rPr>
                <w:t>9</w:t>
              </w:r>
            </w:hyperlink>
          </w:p>
        </w:tc>
        <w:tc>
          <w:tcPr>
            <w:tcW w:w="1152" w:type="dxa"/>
            <w:tcBorders>
              <w:top w:val="nil"/>
              <w:left w:val="single" w:sz="4" w:space="0" w:color="auto"/>
              <w:bottom w:val="nil"/>
              <w:right w:val="single" w:sz="4" w:space="0" w:color="auto"/>
            </w:tcBorders>
          </w:tcPr>
          <w:p w14:paraId="55C039D4" w14:textId="45619082" w:rsidR="006B186C" w:rsidRPr="008F5B3E"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35" w:history="1">
              <w:r w:rsidR="006B186C" w:rsidRPr="5CB4B133">
                <w:rPr>
                  <w:rStyle w:val="Hyperlink"/>
                  <w:rFonts w:ascii="Verdana" w:hAnsi="Verdana"/>
                  <w:b/>
                  <w:bCs/>
                  <w:sz w:val="18"/>
                  <w:szCs w:val="18"/>
                </w:rPr>
                <w:t>C.3</w:t>
              </w:r>
              <w:r w:rsidR="006B186C">
                <w:rPr>
                  <w:rStyle w:val="Hyperlink"/>
                  <w:rFonts w:ascii="Verdana" w:hAnsi="Verdana"/>
                  <w:b/>
                  <w:bCs/>
                  <w:sz w:val="18"/>
                  <w:szCs w:val="18"/>
                </w:rPr>
                <w:t>6</w:t>
              </w:r>
            </w:hyperlink>
          </w:p>
        </w:tc>
        <w:tc>
          <w:tcPr>
            <w:tcW w:w="3635" w:type="dxa"/>
            <w:tcBorders>
              <w:top w:val="nil"/>
              <w:left w:val="single" w:sz="4" w:space="0" w:color="auto"/>
              <w:bottom w:val="nil"/>
            </w:tcBorders>
          </w:tcPr>
          <w:p w14:paraId="4A775AD3" w14:textId="77777777" w:rsidR="006B186C" w:rsidRDefault="006B186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Increasing farmland bird populations</w:t>
            </w:r>
          </w:p>
        </w:tc>
      </w:tr>
      <w:tr w:rsidR="006B186C" w14:paraId="30ECF6FF"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shd w:val="clear" w:color="auto" w:fill="auto"/>
            <w:vAlign w:val="center"/>
          </w:tcPr>
          <w:p w14:paraId="4D678AA7"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183F19BD" w14:textId="4AF1988D" w:rsidR="006B186C"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19" w:history="1">
              <w:r w:rsidR="006B186C" w:rsidRPr="5CB4B133">
                <w:rPr>
                  <w:rStyle w:val="Hyperlink"/>
                  <w:rFonts w:ascii="Verdana" w:hAnsi="Verdana"/>
                  <w:b/>
                  <w:bCs/>
                  <w:sz w:val="18"/>
                  <w:szCs w:val="18"/>
                </w:rPr>
                <w:t>I.</w:t>
              </w:r>
              <w:r w:rsidR="006B186C">
                <w:rPr>
                  <w:rStyle w:val="Hyperlink"/>
                  <w:rFonts w:ascii="Verdana" w:hAnsi="Verdana"/>
                  <w:b/>
                  <w:bCs/>
                  <w:sz w:val="18"/>
                  <w:szCs w:val="18"/>
                </w:rPr>
                <w:t>20</w:t>
              </w:r>
            </w:hyperlink>
          </w:p>
        </w:tc>
        <w:tc>
          <w:tcPr>
            <w:tcW w:w="1152" w:type="dxa"/>
            <w:tcBorders>
              <w:top w:val="nil"/>
              <w:left w:val="single" w:sz="4" w:space="0" w:color="auto"/>
              <w:bottom w:val="nil"/>
              <w:right w:val="single" w:sz="4" w:space="0" w:color="auto"/>
            </w:tcBorders>
          </w:tcPr>
          <w:p w14:paraId="47CB1ECF" w14:textId="31764472" w:rsidR="006B186C" w:rsidRPr="008F5B3E"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36" w:history="1">
              <w:r w:rsidR="006B186C" w:rsidRPr="5CB4B133">
                <w:rPr>
                  <w:rStyle w:val="Hyperlink"/>
                  <w:rFonts w:ascii="Verdana" w:hAnsi="Verdana"/>
                  <w:b/>
                  <w:bCs/>
                  <w:sz w:val="18"/>
                  <w:szCs w:val="18"/>
                </w:rPr>
                <w:t>C.3</w:t>
              </w:r>
              <w:r w:rsidR="006B186C">
                <w:rPr>
                  <w:rStyle w:val="Hyperlink"/>
                  <w:rFonts w:ascii="Verdana" w:hAnsi="Verdana"/>
                  <w:b/>
                  <w:bCs/>
                  <w:sz w:val="18"/>
                  <w:szCs w:val="18"/>
                </w:rPr>
                <w:t>7</w:t>
              </w:r>
            </w:hyperlink>
          </w:p>
        </w:tc>
        <w:tc>
          <w:tcPr>
            <w:tcW w:w="3635" w:type="dxa"/>
            <w:tcBorders>
              <w:top w:val="nil"/>
              <w:left w:val="single" w:sz="4" w:space="0" w:color="auto"/>
              <w:bottom w:val="nil"/>
            </w:tcBorders>
          </w:tcPr>
          <w:p w14:paraId="5669B90C" w14:textId="0202645E" w:rsidR="006B186C" w:rsidRDefault="006B186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Enhanc</w:t>
            </w:r>
            <w:r>
              <w:rPr>
                <w:rFonts w:ascii="Verdana" w:hAnsi="Verdana"/>
                <w:sz w:val="18"/>
                <w:szCs w:val="18"/>
              </w:rPr>
              <w:t>ing</w:t>
            </w:r>
            <w:r w:rsidRPr="0082122E">
              <w:rPr>
                <w:rFonts w:ascii="Verdana" w:hAnsi="Verdana"/>
                <w:sz w:val="18"/>
                <w:szCs w:val="18"/>
              </w:rPr>
              <w:t xml:space="preserve"> biodiversity protection</w:t>
            </w:r>
          </w:p>
        </w:tc>
      </w:tr>
      <w:tr w:rsidR="006B186C" w14:paraId="757C2D60"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shd w:val="clear" w:color="auto" w:fill="auto"/>
            <w:vAlign w:val="center"/>
          </w:tcPr>
          <w:p w14:paraId="0DCC7539"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77B9C45A" w14:textId="212CA07C" w:rsidR="006B186C"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20" w:history="1">
              <w:r w:rsidR="006B186C" w:rsidRPr="5CB4B133">
                <w:rPr>
                  <w:rStyle w:val="Hyperlink"/>
                  <w:rFonts w:ascii="Verdana" w:hAnsi="Verdana"/>
                  <w:b/>
                  <w:bCs/>
                  <w:sz w:val="18"/>
                  <w:szCs w:val="18"/>
                </w:rPr>
                <w:t>I.2</w:t>
              </w:r>
              <w:r w:rsidR="006B186C">
                <w:rPr>
                  <w:rStyle w:val="Hyperlink"/>
                  <w:rFonts w:ascii="Verdana" w:hAnsi="Verdana"/>
                  <w:b/>
                  <w:bCs/>
                  <w:sz w:val="18"/>
                  <w:szCs w:val="18"/>
                </w:rPr>
                <w:t>1</w:t>
              </w:r>
            </w:hyperlink>
          </w:p>
        </w:tc>
        <w:tc>
          <w:tcPr>
            <w:tcW w:w="1152" w:type="dxa"/>
            <w:tcBorders>
              <w:top w:val="nil"/>
              <w:left w:val="single" w:sz="4" w:space="0" w:color="auto"/>
              <w:bottom w:val="nil"/>
              <w:right w:val="single" w:sz="4" w:space="0" w:color="auto"/>
            </w:tcBorders>
          </w:tcPr>
          <w:p w14:paraId="2CAE96D3" w14:textId="77777777" w:rsidR="006B186C" w:rsidRPr="008F5B3E"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21" w:history="1">
              <w:r w:rsidR="006B186C" w:rsidRPr="5CB4B133">
                <w:rPr>
                  <w:rStyle w:val="Hyperlink"/>
                  <w:rFonts w:ascii="Verdana" w:hAnsi="Verdana"/>
                  <w:b/>
                  <w:bCs/>
                  <w:sz w:val="18"/>
                  <w:szCs w:val="18"/>
                </w:rPr>
                <w:t>C.21</w:t>
              </w:r>
            </w:hyperlink>
          </w:p>
        </w:tc>
        <w:tc>
          <w:tcPr>
            <w:tcW w:w="3635" w:type="dxa"/>
            <w:tcBorders>
              <w:top w:val="nil"/>
              <w:left w:val="single" w:sz="4" w:space="0" w:color="auto"/>
              <w:bottom w:val="nil"/>
            </w:tcBorders>
          </w:tcPr>
          <w:p w14:paraId="40DCE64F" w14:textId="30D10ABE" w:rsidR="006B186C" w:rsidRDefault="006B186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Enhanc</w:t>
            </w:r>
            <w:r>
              <w:rPr>
                <w:rFonts w:ascii="Verdana" w:hAnsi="Verdana"/>
                <w:sz w:val="18"/>
                <w:szCs w:val="18"/>
              </w:rPr>
              <w:t>ing</w:t>
            </w:r>
            <w:r w:rsidRPr="0082122E">
              <w:rPr>
                <w:rFonts w:ascii="Verdana" w:hAnsi="Verdana"/>
                <w:sz w:val="18"/>
                <w:szCs w:val="18"/>
              </w:rPr>
              <w:t xml:space="preserve"> provision of ecosystem services</w:t>
            </w:r>
          </w:p>
        </w:tc>
      </w:tr>
      <w:tr w:rsidR="006B186C" w14:paraId="48B677A2"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shd w:val="clear" w:color="auto" w:fill="auto"/>
            <w:vAlign w:val="center"/>
          </w:tcPr>
          <w:p w14:paraId="6EB467C4" w14:textId="77777777" w:rsidR="006B186C" w:rsidRDefault="006B186C" w:rsidP="0041604C">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4" w:space="0" w:color="auto"/>
            </w:tcBorders>
          </w:tcPr>
          <w:p w14:paraId="19FDCE75" w14:textId="48156B12" w:rsidR="006B186C" w:rsidRPr="00CD6691"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20a" w:history="1">
              <w:r w:rsidR="006B186C" w:rsidRPr="3B80D187">
                <w:rPr>
                  <w:rStyle w:val="Hyperlink"/>
                  <w:rFonts w:ascii="Verdana" w:hAnsi="Verdana"/>
                  <w:b/>
                  <w:bCs/>
                  <w:sz w:val="18"/>
                  <w:szCs w:val="18"/>
                </w:rPr>
                <w:t>I.2</w:t>
              </w:r>
              <w:r w:rsidR="006B186C">
                <w:rPr>
                  <w:rStyle w:val="Hyperlink"/>
                  <w:rFonts w:ascii="Verdana" w:hAnsi="Verdana"/>
                  <w:b/>
                  <w:bCs/>
                  <w:sz w:val="18"/>
                  <w:szCs w:val="18"/>
                </w:rPr>
                <w:t>2</w:t>
              </w:r>
            </w:hyperlink>
          </w:p>
        </w:tc>
        <w:tc>
          <w:tcPr>
            <w:tcW w:w="1152" w:type="dxa"/>
            <w:tcBorders>
              <w:top w:val="nil"/>
              <w:left w:val="single" w:sz="4" w:space="0" w:color="auto"/>
              <w:bottom w:val="single" w:sz="4" w:space="0" w:color="auto"/>
              <w:right w:val="single" w:sz="4" w:space="0" w:color="auto"/>
            </w:tcBorders>
          </w:tcPr>
          <w:p w14:paraId="38E60E16" w14:textId="78B969F4" w:rsidR="006B186C" w:rsidRPr="00CD6691" w:rsidRDefault="00AA07F1"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21a" w:history="1">
              <w:r w:rsidR="006B186C" w:rsidRPr="3B80D187">
                <w:rPr>
                  <w:rStyle w:val="Hyperlink"/>
                  <w:rFonts w:ascii="Verdana" w:hAnsi="Verdana"/>
                  <w:b/>
                  <w:bCs/>
                  <w:sz w:val="18"/>
                  <w:szCs w:val="18"/>
                </w:rPr>
                <w:t>C.2</w:t>
              </w:r>
              <w:r w:rsidR="006B186C">
                <w:rPr>
                  <w:rStyle w:val="Hyperlink"/>
                  <w:rFonts w:ascii="Verdana" w:hAnsi="Verdana"/>
                  <w:b/>
                  <w:bCs/>
                  <w:sz w:val="18"/>
                  <w:szCs w:val="18"/>
                </w:rPr>
                <w:t>2</w:t>
              </w:r>
            </w:hyperlink>
          </w:p>
        </w:tc>
        <w:tc>
          <w:tcPr>
            <w:tcW w:w="3635" w:type="dxa"/>
            <w:tcBorders>
              <w:top w:val="nil"/>
              <w:left w:val="single" w:sz="4" w:space="0" w:color="auto"/>
              <w:bottom w:val="single" w:sz="4" w:space="0" w:color="auto"/>
            </w:tcBorders>
          </w:tcPr>
          <w:p w14:paraId="6CB72294" w14:textId="09EEFC87" w:rsidR="006B186C" w:rsidRPr="0082122E" w:rsidRDefault="006B186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179F2">
              <w:rPr>
                <w:rFonts w:ascii="Verdana" w:hAnsi="Verdana"/>
                <w:sz w:val="18"/>
                <w:szCs w:val="18"/>
              </w:rPr>
              <w:t>Increas</w:t>
            </w:r>
            <w:r>
              <w:rPr>
                <w:rFonts w:ascii="Verdana" w:hAnsi="Verdana"/>
                <w:sz w:val="18"/>
                <w:szCs w:val="18"/>
              </w:rPr>
              <w:t>ing</w:t>
            </w:r>
            <w:r w:rsidRPr="006179F2">
              <w:rPr>
                <w:rFonts w:ascii="Verdana" w:hAnsi="Verdana"/>
                <w:sz w:val="18"/>
                <w:szCs w:val="18"/>
              </w:rPr>
              <w:t xml:space="preserve"> agro-biodiversity in farming system</w:t>
            </w:r>
          </w:p>
        </w:tc>
      </w:tr>
      <w:tr w:rsidR="0041604C" w14:paraId="7A8837B8"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7E5C36C" w14:textId="1FE4F521" w:rsidR="0041604C" w:rsidRDefault="00EF347E" w:rsidP="0041604C">
            <w:pPr>
              <w:spacing w:after="0" w:line="240" w:lineRule="auto"/>
              <w:rPr>
                <w:rFonts w:ascii="Verdana" w:hAnsi="Verdana"/>
                <w:sz w:val="18"/>
                <w:szCs w:val="18"/>
              </w:rPr>
            </w:pPr>
            <w:r>
              <w:rPr>
                <w:rFonts w:ascii="Verdana" w:hAnsi="Verdana"/>
                <w:b w:val="0"/>
                <w:bCs w:val="0"/>
                <w:sz w:val="18"/>
                <w:szCs w:val="18"/>
              </w:rPr>
              <w:t>To a</w:t>
            </w:r>
            <w:r w:rsidR="0041604C" w:rsidRPr="008F5B3E">
              <w:rPr>
                <w:rFonts w:ascii="Verdana" w:hAnsi="Verdana"/>
                <w:b w:val="0"/>
                <w:bCs w:val="0"/>
                <w:sz w:val="18"/>
                <w:szCs w:val="18"/>
              </w:rPr>
              <w:t xml:space="preserve">ttract </w:t>
            </w:r>
            <w:r w:rsidR="0041604C">
              <w:rPr>
                <w:rFonts w:ascii="Verdana" w:hAnsi="Verdana"/>
                <w:b w:val="0"/>
                <w:bCs w:val="0"/>
                <w:sz w:val="18"/>
                <w:szCs w:val="18"/>
              </w:rPr>
              <w:t xml:space="preserve">and sustain </w:t>
            </w:r>
            <w:r w:rsidR="0041604C" w:rsidRPr="008F5B3E">
              <w:rPr>
                <w:rFonts w:ascii="Verdana" w:hAnsi="Verdana"/>
                <w:b w:val="0"/>
                <w:bCs w:val="0"/>
                <w:sz w:val="18"/>
                <w:szCs w:val="18"/>
              </w:rPr>
              <w:t xml:space="preserve">young farmers </w:t>
            </w:r>
            <w:r>
              <w:rPr>
                <w:rFonts w:ascii="Verdana" w:hAnsi="Verdana"/>
                <w:b w:val="0"/>
                <w:bCs w:val="0"/>
                <w:sz w:val="18"/>
                <w:szCs w:val="18"/>
              </w:rPr>
              <w:t xml:space="preserve">and other new farmers </w:t>
            </w:r>
            <w:r w:rsidR="0041604C" w:rsidRPr="008F5B3E">
              <w:rPr>
                <w:rFonts w:ascii="Verdana" w:hAnsi="Verdana"/>
                <w:b w:val="0"/>
                <w:bCs w:val="0"/>
                <w:sz w:val="18"/>
                <w:szCs w:val="18"/>
              </w:rPr>
              <w:t>and facilitate business development in rural areas</w:t>
            </w:r>
          </w:p>
          <w:p w14:paraId="0486D058" w14:textId="4AA850D6" w:rsidR="0041604C" w:rsidRDefault="0041604C" w:rsidP="0041604C">
            <w:pPr>
              <w:spacing w:after="0" w:line="240" w:lineRule="auto"/>
              <w:rPr>
                <w:rFonts w:ascii="Verdana" w:hAnsi="Verdana"/>
                <w:sz w:val="18"/>
                <w:szCs w:val="18"/>
              </w:rPr>
            </w:pPr>
          </w:p>
        </w:tc>
        <w:tc>
          <w:tcPr>
            <w:tcW w:w="1152" w:type="dxa"/>
            <w:tcBorders>
              <w:top w:val="single" w:sz="4" w:space="0" w:color="auto"/>
              <w:left w:val="single" w:sz="8" w:space="0" w:color="4F81BD"/>
              <w:bottom w:val="nil"/>
              <w:right w:val="single" w:sz="8" w:space="0" w:color="4F81BD"/>
            </w:tcBorders>
          </w:tcPr>
          <w:p w14:paraId="42F365BC" w14:textId="7C229C5D" w:rsidR="0041604C"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I21" w:history="1">
              <w:r w:rsidR="0041604C" w:rsidRPr="5CB4B133">
                <w:rPr>
                  <w:rStyle w:val="Hyperlink"/>
                  <w:rFonts w:ascii="Verdana" w:hAnsi="Verdana"/>
                  <w:b/>
                  <w:bCs/>
                  <w:sz w:val="18"/>
                  <w:szCs w:val="18"/>
                </w:rPr>
                <w:t>I.2</w:t>
              </w:r>
              <w:r w:rsidR="0041604C">
                <w:rPr>
                  <w:rStyle w:val="Hyperlink"/>
                  <w:rFonts w:ascii="Verdana" w:hAnsi="Verdana"/>
                  <w:b/>
                  <w:bCs/>
                  <w:sz w:val="18"/>
                  <w:szCs w:val="18"/>
                </w:rPr>
                <w:t>3</w:t>
              </w:r>
            </w:hyperlink>
          </w:p>
        </w:tc>
        <w:tc>
          <w:tcPr>
            <w:tcW w:w="1152" w:type="dxa"/>
            <w:tcBorders>
              <w:top w:val="single" w:sz="4" w:space="0" w:color="auto"/>
              <w:left w:val="single" w:sz="8" w:space="0" w:color="4F81BD"/>
              <w:bottom w:val="nil"/>
              <w:right w:val="single" w:sz="8" w:space="0" w:color="4F81BD"/>
            </w:tcBorders>
          </w:tcPr>
          <w:p w14:paraId="0E92A5C2" w14:textId="77777777" w:rsidR="0041604C" w:rsidRPr="008F5B3E" w:rsidRDefault="00AA07F1"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hyperlink w:anchor="C16" w:history="1">
              <w:r w:rsidR="0041604C" w:rsidRPr="5CB4B133">
                <w:rPr>
                  <w:rStyle w:val="Hyperlink"/>
                  <w:rFonts w:ascii="Verdana" w:hAnsi="Verdana"/>
                  <w:b/>
                  <w:bCs/>
                  <w:sz w:val="18"/>
                  <w:szCs w:val="18"/>
                </w:rPr>
                <w:t>C.16</w:t>
              </w:r>
            </w:hyperlink>
          </w:p>
        </w:tc>
        <w:tc>
          <w:tcPr>
            <w:tcW w:w="3635" w:type="dxa"/>
            <w:tcBorders>
              <w:top w:val="single" w:sz="4" w:space="0" w:color="auto"/>
              <w:left w:val="single" w:sz="8" w:space="0" w:color="4F81BD"/>
              <w:bottom w:val="nil"/>
            </w:tcBorders>
          </w:tcPr>
          <w:p w14:paraId="2AEDA964" w14:textId="77777777" w:rsidR="0041604C" w:rsidRDefault="0041604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Attracting young farmers</w:t>
            </w:r>
          </w:p>
        </w:tc>
      </w:tr>
      <w:tr w:rsidR="0041604C" w14:paraId="78C84A1D"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56CE783E"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49E7B9AA" w14:textId="36321129" w:rsidR="0041604C"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nil"/>
              <w:right w:val="single" w:sz="8" w:space="0" w:color="4F81BD"/>
            </w:tcBorders>
          </w:tcPr>
          <w:p w14:paraId="59CA921D" w14:textId="39C92F8E" w:rsidR="0041604C" w:rsidRPr="008F5B3E"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p>
        </w:tc>
        <w:tc>
          <w:tcPr>
            <w:tcW w:w="3635" w:type="dxa"/>
            <w:tcBorders>
              <w:top w:val="nil"/>
              <w:left w:val="single" w:sz="8" w:space="0" w:color="4F81BD"/>
              <w:bottom w:val="nil"/>
            </w:tcBorders>
          </w:tcPr>
          <w:p w14:paraId="4B5436D4" w14:textId="7F5CC7E7" w:rsidR="0041604C" w:rsidRDefault="0041604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41604C" w14:paraId="454D7223" w14:textId="77777777" w:rsidTr="240AB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6D03857"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6D0E3A8B" w14:textId="256DF09D" w:rsidR="0041604C"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nil"/>
              <w:right w:val="single" w:sz="8" w:space="0" w:color="4F81BD"/>
            </w:tcBorders>
          </w:tcPr>
          <w:p w14:paraId="55E8D7A3" w14:textId="05B48F14" w:rsidR="0041604C" w:rsidRPr="008F5B3E"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3635" w:type="dxa"/>
            <w:tcBorders>
              <w:top w:val="nil"/>
              <w:left w:val="single" w:sz="8" w:space="0" w:color="4F81BD"/>
              <w:bottom w:val="nil"/>
            </w:tcBorders>
          </w:tcPr>
          <w:p w14:paraId="60A56CD8" w14:textId="7AE1B626" w:rsidR="0041604C" w:rsidRDefault="0041604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41604C" w14:paraId="509711DB" w14:textId="77777777" w:rsidTr="240ABBB4">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4720701F"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nil"/>
              <w:right w:val="single" w:sz="8" w:space="0" w:color="4F81BD"/>
            </w:tcBorders>
          </w:tcPr>
          <w:p w14:paraId="427A3312" w14:textId="4015BF60" w:rsidR="0041604C"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nil"/>
              <w:right w:val="single" w:sz="8" w:space="0" w:color="4F81BD"/>
            </w:tcBorders>
          </w:tcPr>
          <w:p w14:paraId="65062343" w14:textId="77777777" w:rsidR="0041604C" w:rsidRPr="008F5B3E" w:rsidRDefault="0041604C" w:rsidP="004160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3635" w:type="dxa"/>
            <w:tcBorders>
              <w:top w:val="nil"/>
              <w:left w:val="single" w:sz="8" w:space="0" w:color="4F81BD"/>
              <w:bottom w:val="nil"/>
            </w:tcBorders>
          </w:tcPr>
          <w:p w14:paraId="3783A67E" w14:textId="1D5B8B30" w:rsidR="0041604C" w:rsidRDefault="0041604C" w:rsidP="0041604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41604C" w14:paraId="65E5E70F"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bottom w:val="single" w:sz="4" w:space="0" w:color="auto"/>
              <w:right w:val="single" w:sz="8" w:space="0" w:color="4F81BD"/>
            </w:tcBorders>
            <w:vAlign w:val="center"/>
          </w:tcPr>
          <w:p w14:paraId="4E94CF7B" w14:textId="77777777" w:rsidR="0041604C" w:rsidRDefault="0041604C" w:rsidP="0041604C">
            <w:pPr>
              <w:spacing w:after="0" w:line="240" w:lineRule="auto"/>
              <w:rPr>
                <w:rFonts w:ascii="Verdana" w:hAnsi="Verdana"/>
                <w:b w:val="0"/>
                <w:sz w:val="18"/>
                <w:szCs w:val="18"/>
              </w:rPr>
            </w:pPr>
          </w:p>
        </w:tc>
        <w:tc>
          <w:tcPr>
            <w:tcW w:w="1152" w:type="dxa"/>
            <w:tcBorders>
              <w:top w:val="nil"/>
              <w:left w:val="single" w:sz="8" w:space="0" w:color="4F81BD"/>
              <w:bottom w:val="single" w:sz="4" w:space="0" w:color="auto"/>
              <w:right w:val="single" w:sz="8" w:space="0" w:color="4F81BD"/>
            </w:tcBorders>
          </w:tcPr>
          <w:p w14:paraId="3DE8821E" w14:textId="5BF76496" w:rsidR="0041604C"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1152" w:type="dxa"/>
            <w:tcBorders>
              <w:top w:val="nil"/>
              <w:left w:val="single" w:sz="8" w:space="0" w:color="4F81BD"/>
              <w:bottom w:val="single" w:sz="4" w:space="0" w:color="auto"/>
              <w:right w:val="single" w:sz="8" w:space="0" w:color="4F81BD"/>
            </w:tcBorders>
          </w:tcPr>
          <w:p w14:paraId="1BD489F9" w14:textId="3CDAB884" w:rsidR="0041604C" w:rsidRPr="008F5B3E" w:rsidRDefault="0041604C" w:rsidP="004160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3635" w:type="dxa"/>
            <w:tcBorders>
              <w:top w:val="nil"/>
              <w:left w:val="single" w:sz="8" w:space="0" w:color="4F81BD"/>
              <w:bottom w:val="single" w:sz="4" w:space="0" w:color="auto"/>
            </w:tcBorders>
          </w:tcPr>
          <w:p w14:paraId="43BDDD77" w14:textId="2DE57A9E" w:rsidR="0041604C" w:rsidRDefault="0041604C" w:rsidP="0041604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33529C" w14:paraId="6FE8A2E9" w14:textId="77777777" w:rsidTr="0033529C">
        <w:trPr>
          <w:trHeight w:val="304"/>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78719FB2" w14:textId="44E1A3FC" w:rsidR="0033529C" w:rsidRPr="008F5B3E" w:rsidRDefault="0033529C" w:rsidP="0033529C">
            <w:pPr>
              <w:spacing w:after="0" w:line="240" w:lineRule="auto"/>
              <w:rPr>
                <w:rFonts w:ascii="Verdana" w:hAnsi="Verdana"/>
                <w:b w:val="0"/>
                <w:bCs w:val="0"/>
                <w:sz w:val="18"/>
                <w:szCs w:val="18"/>
              </w:rPr>
            </w:pPr>
            <w:r>
              <w:rPr>
                <w:rFonts w:ascii="Verdana" w:hAnsi="Verdana"/>
                <w:b w:val="0"/>
                <w:bCs w:val="0"/>
                <w:sz w:val="18"/>
                <w:szCs w:val="18"/>
              </w:rPr>
              <w:t>To p</w:t>
            </w:r>
            <w:r w:rsidRPr="008F5B3E">
              <w:rPr>
                <w:rFonts w:ascii="Verdana" w:hAnsi="Verdana"/>
                <w:b w:val="0"/>
                <w:bCs w:val="0"/>
                <w:sz w:val="18"/>
                <w:szCs w:val="18"/>
              </w:rPr>
              <w:t xml:space="preserve">romote employment, growth, </w:t>
            </w:r>
            <w:r>
              <w:rPr>
                <w:rFonts w:ascii="Verdana" w:hAnsi="Verdana"/>
                <w:b w:val="0"/>
                <w:bCs w:val="0"/>
                <w:sz w:val="18"/>
                <w:szCs w:val="18"/>
              </w:rPr>
              <w:t xml:space="preserve">gender equality, including the </w:t>
            </w:r>
            <w:r>
              <w:rPr>
                <w:rFonts w:ascii="Verdana" w:hAnsi="Verdana"/>
                <w:b w:val="0"/>
                <w:bCs w:val="0"/>
                <w:sz w:val="18"/>
                <w:szCs w:val="18"/>
              </w:rPr>
              <w:lastRenderedPageBreak/>
              <w:t xml:space="preserve">participation of women in farming, </w:t>
            </w:r>
            <w:r w:rsidRPr="008F5B3E">
              <w:rPr>
                <w:rFonts w:ascii="Verdana" w:hAnsi="Verdana"/>
                <w:b w:val="0"/>
                <w:bCs w:val="0"/>
                <w:sz w:val="18"/>
                <w:szCs w:val="18"/>
              </w:rPr>
              <w:t xml:space="preserve">social inclusion and local development in rural areas, including </w:t>
            </w:r>
            <w:r>
              <w:rPr>
                <w:rFonts w:ascii="Verdana" w:hAnsi="Verdana"/>
                <w:b w:val="0"/>
                <w:bCs w:val="0"/>
                <w:sz w:val="18"/>
                <w:szCs w:val="18"/>
              </w:rPr>
              <w:t xml:space="preserve">the circular </w:t>
            </w:r>
            <w:r w:rsidRPr="008F5B3E">
              <w:rPr>
                <w:rFonts w:ascii="Verdana" w:hAnsi="Verdana"/>
                <w:b w:val="0"/>
                <w:bCs w:val="0"/>
                <w:sz w:val="18"/>
                <w:szCs w:val="18"/>
              </w:rPr>
              <w:t>bio-economy and sustainable forestry</w:t>
            </w:r>
          </w:p>
        </w:tc>
        <w:tc>
          <w:tcPr>
            <w:tcW w:w="1152" w:type="dxa"/>
            <w:tcBorders>
              <w:top w:val="single" w:sz="4" w:space="0" w:color="auto"/>
              <w:left w:val="single" w:sz="8" w:space="0" w:color="4F81BD"/>
              <w:bottom w:val="nil"/>
              <w:right w:val="single" w:sz="4" w:space="0" w:color="auto"/>
            </w:tcBorders>
          </w:tcPr>
          <w:p w14:paraId="3A086347" w14:textId="09590510" w:rsidR="0033529C" w:rsidRDefault="00AA07F1"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I22" w:history="1">
              <w:r w:rsidR="0033529C" w:rsidRPr="5CB4B133">
                <w:rPr>
                  <w:rStyle w:val="Hyperlink"/>
                  <w:rFonts w:ascii="Verdana" w:hAnsi="Verdana"/>
                  <w:b/>
                  <w:bCs/>
                  <w:sz w:val="18"/>
                  <w:szCs w:val="18"/>
                </w:rPr>
                <w:t>I.2</w:t>
              </w:r>
              <w:r w:rsidR="0033529C">
                <w:rPr>
                  <w:rStyle w:val="Hyperlink"/>
                  <w:rFonts w:ascii="Verdana" w:hAnsi="Verdana"/>
                  <w:b/>
                  <w:bCs/>
                  <w:sz w:val="18"/>
                  <w:szCs w:val="18"/>
                </w:rPr>
                <w:t>4</w:t>
              </w:r>
            </w:hyperlink>
          </w:p>
        </w:tc>
        <w:tc>
          <w:tcPr>
            <w:tcW w:w="1152" w:type="dxa"/>
            <w:tcBorders>
              <w:top w:val="single" w:sz="4" w:space="0" w:color="auto"/>
              <w:left w:val="single" w:sz="4" w:space="0" w:color="auto"/>
              <w:bottom w:val="nil"/>
              <w:right w:val="single" w:sz="4" w:space="0" w:color="auto"/>
            </w:tcBorders>
          </w:tcPr>
          <w:p w14:paraId="6ED57F1F" w14:textId="19DFCCA0" w:rsidR="0033529C" w:rsidRDefault="00AA07F1"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C06" w:history="1">
              <w:r w:rsidR="0033529C" w:rsidRPr="5CB4B133">
                <w:rPr>
                  <w:rStyle w:val="Hyperlink"/>
                  <w:rFonts w:ascii="Verdana" w:hAnsi="Verdana"/>
                  <w:b/>
                  <w:bCs/>
                  <w:sz w:val="18"/>
                  <w:szCs w:val="18"/>
                </w:rPr>
                <w:t>C.06</w:t>
              </w:r>
            </w:hyperlink>
          </w:p>
        </w:tc>
        <w:tc>
          <w:tcPr>
            <w:tcW w:w="3635" w:type="dxa"/>
            <w:tcBorders>
              <w:top w:val="single" w:sz="4" w:space="0" w:color="auto"/>
              <w:left w:val="single" w:sz="4" w:space="0" w:color="auto"/>
              <w:bottom w:val="nil"/>
            </w:tcBorders>
          </w:tcPr>
          <w:p w14:paraId="0F7AAA6C" w14:textId="7A741C8F" w:rsidR="0033529C" w:rsidRPr="0082122E"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Contributing to jobs in rural areas</w:t>
            </w:r>
          </w:p>
        </w:tc>
      </w:tr>
      <w:tr w:rsidR="0033529C" w14:paraId="131C3A69" w14:textId="77777777" w:rsidTr="0033529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F4D7C9A" w14:textId="77777777" w:rsidR="0033529C" w:rsidRDefault="0033529C" w:rsidP="0033529C">
            <w:pPr>
              <w:spacing w:after="0" w:line="240" w:lineRule="auto"/>
              <w:rPr>
                <w:rFonts w:ascii="Verdana" w:hAnsi="Verdana"/>
                <w:b w:val="0"/>
                <w:bCs w:val="0"/>
                <w:sz w:val="18"/>
                <w:szCs w:val="18"/>
              </w:rPr>
            </w:pPr>
          </w:p>
        </w:tc>
        <w:tc>
          <w:tcPr>
            <w:tcW w:w="1152" w:type="dxa"/>
            <w:tcBorders>
              <w:top w:val="nil"/>
              <w:left w:val="single" w:sz="8" w:space="0" w:color="4F81BD"/>
              <w:bottom w:val="nil"/>
              <w:right w:val="single" w:sz="4" w:space="0" w:color="auto"/>
            </w:tcBorders>
          </w:tcPr>
          <w:p w14:paraId="1AB1FBF6" w14:textId="352F80FC" w:rsidR="0033529C" w:rsidRDefault="00AA07F1"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I23" w:history="1">
              <w:r w:rsidR="0033529C" w:rsidRPr="5CB4B133">
                <w:rPr>
                  <w:rStyle w:val="Hyperlink"/>
                  <w:rFonts w:ascii="Verdana" w:hAnsi="Verdana"/>
                  <w:b/>
                  <w:bCs/>
                  <w:sz w:val="18"/>
                  <w:szCs w:val="18"/>
                </w:rPr>
                <w:t>I.2</w:t>
              </w:r>
              <w:r w:rsidR="0033529C">
                <w:rPr>
                  <w:rStyle w:val="Hyperlink"/>
                  <w:rFonts w:ascii="Verdana" w:hAnsi="Verdana"/>
                  <w:b/>
                  <w:bCs/>
                  <w:sz w:val="18"/>
                  <w:szCs w:val="18"/>
                </w:rPr>
                <w:t>5</w:t>
              </w:r>
            </w:hyperlink>
          </w:p>
        </w:tc>
        <w:tc>
          <w:tcPr>
            <w:tcW w:w="1152" w:type="dxa"/>
            <w:tcBorders>
              <w:top w:val="nil"/>
              <w:left w:val="single" w:sz="4" w:space="0" w:color="auto"/>
              <w:bottom w:val="nil"/>
              <w:right w:val="single" w:sz="4" w:space="0" w:color="auto"/>
            </w:tcBorders>
          </w:tcPr>
          <w:p w14:paraId="391BC1F1" w14:textId="39B9DAFC" w:rsidR="0033529C" w:rsidRDefault="00AA07F1"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C09" w:history="1">
              <w:r w:rsidR="0033529C" w:rsidRPr="5CB4B133">
                <w:rPr>
                  <w:rStyle w:val="Hyperlink"/>
                  <w:rFonts w:ascii="Verdana" w:hAnsi="Verdana"/>
                  <w:b/>
                  <w:bCs/>
                  <w:sz w:val="18"/>
                  <w:szCs w:val="18"/>
                </w:rPr>
                <w:t>C.09</w:t>
              </w:r>
            </w:hyperlink>
          </w:p>
        </w:tc>
        <w:tc>
          <w:tcPr>
            <w:tcW w:w="3635" w:type="dxa"/>
            <w:tcBorders>
              <w:top w:val="nil"/>
              <w:left w:val="single" w:sz="4" w:space="0" w:color="auto"/>
              <w:bottom w:val="nil"/>
            </w:tcBorders>
          </w:tcPr>
          <w:p w14:paraId="78EC0F84" w14:textId="4A0822E5" w:rsidR="0033529C" w:rsidRDefault="0033529C" w:rsidP="0033529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Contributing to growth in rural areas</w:t>
            </w:r>
          </w:p>
        </w:tc>
      </w:tr>
      <w:tr w:rsidR="0033529C" w14:paraId="59C25357" w14:textId="77777777" w:rsidTr="0033529C">
        <w:trPr>
          <w:trHeight w:val="301"/>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3CF98092" w14:textId="77777777" w:rsidR="0033529C" w:rsidRDefault="0033529C" w:rsidP="0033529C">
            <w:pPr>
              <w:spacing w:after="0" w:line="240" w:lineRule="auto"/>
              <w:rPr>
                <w:rFonts w:ascii="Verdana" w:hAnsi="Verdana"/>
                <w:b w:val="0"/>
                <w:bCs w:val="0"/>
                <w:sz w:val="18"/>
                <w:szCs w:val="18"/>
              </w:rPr>
            </w:pPr>
          </w:p>
        </w:tc>
        <w:tc>
          <w:tcPr>
            <w:tcW w:w="1152" w:type="dxa"/>
            <w:tcBorders>
              <w:top w:val="nil"/>
              <w:left w:val="single" w:sz="8" w:space="0" w:color="4F81BD"/>
              <w:bottom w:val="nil"/>
              <w:right w:val="single" w:sz="4" w:space="0" w:color="auto"/>
            </w:tcBorders>
          </w:tcPr>
          <w:p w14:paraId="4AC6443E" w14:textId="31DEC3BE" w:rsidR="0033529C" w:rsidRDefault="00AA07F1"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hyperlink w:anchor="I24" w:history="1">
              <w:r w:rsidR="0033529C" w:rsidRPr="5CB4B133">
                <w:rPr>
                  <w:rStyle w:val="Hyperlink"/>
                  <w:rFonts w:ascii="Verdana" w:hAnsi="Verdana"/>
                  <w:b/>
                  <w:bCs/>
                  <w:sz w:val="18"/>
                  <w:szCs w:val="18"/>
                </w:rPr>
                <w:t>I.2</w:t>
              </w:r>
              <w:r w:rsidR="0033529C">
                <w:rPr>
                  <w:rStyle w:val="Hyperlink"/>
                  <w:rFonts w:ascii="Verdana" w:hAnsi="Verdana"/>
                  <w:b/>
                  <w:bCs/>
                  <w:sz w:val="18"/>
                  <w:szCs w:val="18"/>
                </w:rPr>
                <w:t>6</w:t>
              </w:r>
            </w:hyperlink>
          </w:p>
        </w:tc>
        <w:tc>
          <w:tcPr>
            <w:tcW w:w="1152" w:type="dxa"/>
            <w:tcBorders>
              <w:top w:val="nil"/>
              <w:left w:val="single" w:sz="4" w:space="0" w:color="auto"/>
              <w:bottom w:val="nil"/>
              <w:right w:val="single" w:sz="4" w:space="0" w:color="auto"/>
            </w:tcBorders>
          </w:tcPr>
          <w:p w14:paraId="3334EB3F" w14:textId="6A8189B9" w:rsidR="0033529C" w:rsidRDefault="0033529C"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3635" w:type="dxa"/>
            <w:tcBorders>
              <w:top w:val="nil"/>
              <w:left w:val="single" w:sz="4" w:space="0" w:color="auto"/>
              <w:bottom w:val="nil"/>
            </w:tcBorders>
          </w:tcPr>
          <w:p w14:paraId="103198DF" w14:textId="39775403" w:rsidR="0033529C"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A fairer CAP</w:t>
            </w:r>
          </w:p>
        </w:tc>
      </w:tr>
      <w:tr w:rsidR="0033529C" w14:paraId="52F8D8A8" w14:textId="77777777" w:rsidTr="0033529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vAlign w:val="center"/>
          </w:tcPr>
          <w:p w14:paraId="0F041084" w14:textId="77777777" w:rsidR="0033529C" w:rsidRDefault="0033529C" w:rsidP="0033529C">
            <w:pPr>
              <w:spacing w:after="0" w:line="240" w:lineRule="auto"/>
              <w:rPr>
                <w:rFonts w:ascii="Verdana" w:hAnsi="Verdana"/>
                <w:b w:val="0"/>
                <w:bCs w:val="0"/>
                <w:sz w:val="18"/>
                <w:szCs w:val="18"/>
              </w:rPr>
            </w:pPr>
          </w:p>
        </w:tc>
        <w:tc>
          <w:tcPr>
            <w:tcW w:w="1152" w:type="dxa"/>
            <w:tcBorders>
              <w:top w:val="nil"/>
              <w:left w:val="single" w:sz="8" w:space="0" w:color="4F81BD"/>
              <w:right w:val="single" w:sz="4" w:space="0" w:color="auto"/>
            </w:tcBorders>
          </w:tcPr>
          <w:p w14:paraId="29FA5E9D" w14:textId="7810D990" w:rsidR="0033529C" w:rsidRDefault="00AA07F1"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I25" w:history="1">
              <w:r w:rsidR="0033529C" w:rsidRPr="5CB4B133">
                <w:rPr>
                  <w:rStyle w:val="Hyperlink"/>
                  <w:rFonts w:ascii="Verdana" w:hAnsi="Verdana"/>
                  <w:b/>
                  <w:bCs/>
                  <w:sz w:val="18"/>
                  <w:szCs w:val="18"/>
                </w:rPr>
                <w:t>I.2</w:t>
              </w:r>
              <w:r w:rsidR="0033529C">
                <w:rPr>
                  <w:rStyle w:val="Hyperlink"/>
                  <w:rFonts w:ascii="Verdana" w:hAnsi="Verdana"/>
                  <w:b/>
                  <w:bCs/>
                  <w:sz w:val="18"/>
                  <w:szCs w:val="18"/>
                </w:rPr>
                <w:t>7</w:t>
              </w:r>
            </w:hyperlink>
          </w:p>
        </w:tc>
        <w:tc>
          <w:tcPr>
            <w:tcW w:w="1152" w:type="dxa"/>
            <w:tcBorders>
              <w:top w:val="nil"/>
              <w:left w:val="single" w:sz="4" w:space="0" w:color="auto"/>
              <w:right w:val="single" w:sz="4" w:space="0" w:color="auto"/>
            </w:tcBorders>
          </w:tcPr>
          <w:p w14:paraId="050C6B87" w14:textId="2A12CC9D" w:rsidR="0033529C" w:rsidRDefault="00AA07F1"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pPr>
            <w:hyperlink w:anchor="C10" w:history="1">
              <w:r w:rsidR="0033529C" w:rsidRPr="5CB4B133">
                <w:rPr>
                  <w:rStyle w:val="Hyperlink"/>
                  <w:rFonts w:ascii="Verdana" w:hAnsi="Verdana"/>
                  <w:b/>
                  <w:bCs/>
                  <w:sz w:val="18"/>
                  <w:szCs w:val="18"/>
                </w:rPr>
                <w:t>C.10</w:t>
              </w:r>
            </w:hyperlink>
          </w:p>
        </w:tc>
        <w:tc>
          <w:tcPr>
            <w:tcW w:w="3635" w:type="dxa"/>
            <w:tcBorders>
              <w:top w:val="nil"/>
              <w:left w:val="single" w:sz="4" w:space="0" w:color="auto"/>
            </w:tcBorders>
          </w:tcPr>
          <w:p w14:paraId="4885E040" w14:textId="15E7C8D9" w:rsidR="0033529C" w:rsidRDefault="0033529C" w:rsidP="0033529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122E">
              <w:rPr>
                <w:rFonts w:ascii="Verdana" w:hAnsi="Verdana"/>
                <w:sz w:val="18"/>
                <w:szCs w:val="18"/>
              </w:rPr>
              <w:t>Promoting rural inclusion</w:t>
            </w:r>
          </w:p>
        </w:tc>
      </w:tr>
      <w:tr w:rsidR="0033529C" w14:paraId="10FE81E9"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4" w:space="0" w:color="auto"/>
              <w:right w:val="single" w:sz="8" w:space="0" w:color="4F81BD"/>
            </w:tcBorders>
            <w:vAlign w:val="center"/>
          </w:tcPr>
          <w:p w14:paraId="3FDE1991" w14:textId="4F9DA9E9" w:rsidR="0033529C" w:rsidRDefault="0033529C" w:rsidP="0033529C">
            <w:pPr>
              <w:spacing w:after="0" w:line="240" w:lineRule="auto"/>
              <w:rPr>
                <w:rFonts w:ascii="Verdana" w:hAnsi="Verdana"/>
                <w:sz w:val="18"/>
                <w:szCs w:val="18"/>
              </w:rPr>
            </w:pPr>
            <w:r>
              <w:rPr>
                <w:rFonts w:ascii="Verdana" w:hAnsi="Verdana"/>
                <w:b w:val="0"/>
                <w:bCs w:val="0"/>
                <w:sz w:val="18"/>
                <w:szCs w:val="18"/>
              </w:rPr>
              <w:t>To i</w:t>
            </w:r>
            <w:r w:rsidRPr="008F5B3E">
              <w:rPr>
                <w:rFonts w:ascii="Verdana" w:hAnsi="Verdana"/>
                <w:b w:val="0"/>
                <w:bCs w:val="0"/>
                <w:sz w:val="18"/>
                <w:szCs w:val="18"/>
              </w:rPr>
              <w:t>mprove the response of U</w:t>
            </w:r>
            <w:r>
              <w:rPr>
                <w:rFonts w:ascii="Verdana" w:hAnsi="Verdana"/>
                <w:b w:val="0"/>
                <w:bCs w:val="0"/>
                <w:sz w:val="18"/>
                <w:szCs w:val="18"/>
              </w:rPr>
              <w:t>nion</w:t>
            </w:r>
            <w:r w:rsidRPr="008F5B3E">
              <w:rPr>
                <w:rFonts w:ascii="Verdana" w:hAnsi="Verdana"/>
                <w:b w:val="0"/>
                <w:bCs w:val="0"/>
                <w:sz w:val="18"/>
                <w:szCs w:val="18"/>
              </w:rPr>
              <w:t xml:space="preserve"> agriculture to societal demands on food and health, including </w:t>
            </w:r>
            <w:r>
              <w:rPr>
                <w:rFonts w:ascii="Verdana" w:hAnsi="Verdana"/>
                <w:b w:val="0"/>
                <w:bCs w:val="0"/>
                <w:sz w:val="18"/>
                <w:szCs w:val="18"/>
              </w:rPr>
              <w:t xml:space="preserve">high quality, </w:t>
            </w:r>
            <w:r w:rsidRPr="008F5B3E">
              <w:rPr>
                <w:rFonts w:ascii="Verdana" w:hAnsi="Verdana"/>
                <w:b w:val="0"/>
                <w:bCs w:val="0"/>
                <w:sz w:val="18"/>
                <w:szCs w:val="18"/>
              </w:rPr>
              <w:t>safe</w:t>
            </w:r>
            <w:r>
              <w:rPr>
                <w:rFonts w:ascii="Verdana" w:hAnsi="Verdana"/>
                <w:b w:val="0"/>
                <w:bCs w:val="0"/>
                <w:sz w:val="18"/>
                <w:szCs w:val="18"/>
              </w:rPr>
              <w:t xml:space="preserve"> and</w:t>
            </w:r>
            <w:r w:rsidRPr="008F5B3E">
              <w:rPr>
                <w:rFonts w:ascii="Verdana" w:hAnsi="Verdana"/>
                <w:b w:val="0"/>
                <w:bCs w:val="0"/>
                <w:sz w:val="18"/>
                <w:szCs w:val="18"/>
              </w:rPr>
              <w:t xml:space="preserve"> nutritious food</w:t>
            </w:r>
            <w:r>
              <w:rPr>
                <w:rFonts w:ascii="Verdana" w:hAnsi="Verdana"/>
                <w:b w:val="0"/>
                <w:bCs w:val="0"/>
                <w:sz w:val="18"/>
                <w:szCs w:val="18"/>
              </w:rPr>
              <w:t xml:space="preserve"> produced in a sustainable way</w:t>
            </w:r>
            <w:r w:rsidRPr="008F5B3E">
              <w:rPr>
                <w:rFonts w:ascii="Verdana" w:hAnsi="Verdana"/>
                <w:b w:val="0"/>
                <w:bCs w:val="0"/>
                <w:sz w:val="18"/>
                <w:szCs w:val="18"/>
              </w:rPr>
              <w:t xml:space="preserve">, </w:t>
            </w:r>
            <w:r>
              <w:rPr>
                <w:rFonts w:ascii="Verdana" w:hAnsi="Verdana"/>
                <w:b w:val="0"/>
                <w:bCs w:val="0"/>
                <w:sz w:val="18"/>
                <w:szCs w:val="18"/>
              </w:rPr>
              <w:t xml:space="preserve">to reduce food waste, </w:t>
            </w:r>
            <w:r w:rsidRPr="008F5B3E">
              <w:rPr>
                <w:rFonts w:ascii="Verdana" w:hAnsi="Verdana"/>
                <w:b w:val="0"/>
                <w:bCs w:val="0"/>
                <w:sz w:val="18"/>
                <w:szCs w:val="18"/>
              </w:rPr>
              <w:t xml:space="preserve">as well as </w:t>
            </w:r>
            <w:r>
              <w:rPr>
                <w:rFonts w:ascii="Verdana" w:hAnsi="Verdana"/>
                <w:b w:val="0"/>
                <w:bCs w:val="0"/>
                <w:sz w:val="18"/>
                <w:szCs w:val="18"/>
              </w:rPr>
              <w:t xml:space="preserve">improve </w:t>
            </w:r>
            <w:r w:rsidRPr="008F5B3E">
              <w:rPr>
                <w:rFonts w:ascii="Verdana" w:hAnsi="Verdana"/>
                <w:b w:val="0"/>
                <w:bCs w:val="0"/>
                <w:sz w:val="18"/>
                <w:szCs w:val="18"/>
              </w:rPr>
              <w:t>animal welfare</w:t>
            </w:r>
            <w:r>
              <w:rPr>
                <w:rFonts w:ascii="Verdana" w:hAnsi="Verdana"/>
                <w:b w:val="0"/>
                <w:bCs w:val="0"/>
                <w:sz w:val="18"/>
                <w:szCs w:val="18"/>
              </w:rPr>
              <w:t xml:space="preserve"> and to combat antimicrobial resistances</w:t>
            </w:r>
          </w:p>
        </w:tc>
        <w:tc>
          <w:tcPr>
            <w:tcW w:w="1152" w:type="dxa"/>
            <w:tcBorders>
              <w:top w:val="single" w:sz="8" w:space="0" w:color="4F81BD"/>
              <w:left w:val="single" w:sz="8" w:space="0" w:color="4F81BD"/>
              <w:bottom w:val="nil"/>
              <w:right w:val="single" w:sz="4" w:space="0" w:color="auto"/>
            </w:tcBorders>
          </w:tcPr>
          <w:p w14:paraId="4687B7D3" w14:textId="19F5396F" w:rsidR="0033529C" w:rsidRDefault="00AA07F1"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26" w:history="1">
              <w:r w:rsidR="0033529C" w:rsidRPr="5CB4B133">
                <w:rPr>
                  <w:rStyle w:val="Hyperlink"/>
                  <w:rFonts w:ascii="Verdana" w:hAnsi="Verdana"/>
                  <w:b/>
                  <w:bCs/>
                  <w:sz w:val="18"/>
                  <w:szCs w:val="18"/>
                </w:rPr>
                <w:t>I.2</w:t>
              </w:r>
              <w:r w:rsidR="0033529C">
                <w:rPr>
                  <w:rStyle w:val="Hyperlink"/>
                  <w:rFonts w:ascii="Verdana" w:hAnsi="Verdana"/>
                  <w:b/>
                  <w:bCs/>
                  <w:sz w:val="18"/>
                  <w:szCs w:val="18"/>
                </w:rPr>
                <w:t>8</w:t>
              </w:r>
            </w:hyperlink>
          </w:p>
        </w:tc>
        <w:tc>
          <w:tcPr>
            <w:tcW w:w="1152" w:type="dxa"/>
            <w:tcBorders>
              <w:top w:val="single" w:sz="8" w:space="0" w:color="4F81BD"/>
              <w:left w:val="single" w:sz="4" w:space="0" w:color="auto"/>
              <w:bottom w:val="nil"/>
              <w:right w:val="single" w:sz="4" w:space="0" w:color="auto"/>
            </w:tcBorders>
          </w:tcPr>
          <w:p w14:paraId="5FA405EC" w14:textId="6FA9100B" w:rsidR="0033529C" w:rsidRDefault="00AA07F1"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47" w:history="1">
              <w:r w:rsidR="0033529C" w:rsidRPr="5CB4B133">
                <w:rPr>
                  <w:rStyle w:val="Hyperlink"/>
                  <w:rFonts w:ascii="Verdana" w:hAnsi="Verdana"/>
                  <w:b/>
                  <w:bCs/>
                  <w:sz w:val="18"/>
                  <w:szCs w:val="18"/>
                </w:rPr>
                <w:t>C.4</w:t>
              </w:r>
              <w:r w:rsidR="0033529C">
                <w:rPr>
                  <w:rStyle w:val="Hyperlink"/>
                  <w:rFonts w:ascii="Verdana" w:hAnsi="Verdana"/>
                  <w:b/>
                  <w:bCs/>
                  <w:sz w:val="18"/>
                  <w:szCs w:val="18"/>
                </w:rPr>
                <w:t>8</w:t>
              </w:r>
            </w:hyperlink>
          </w:p>
        </w:tc>
        <w:tc>
          <w:tcPr>
            <w:tcW w:w="3635" w:type="dxa"/>
            <w:tcBorders>
              <w:top w:val="single" w:sz="8" w:space="0" w:color="4F81BD"/>
              <w:left w:val="single" w:sz="4" w:space="0" w:color="auto"/>
              <w:bottom w:val="nil"/>
            </w:tcBorders>
          </w:tcPr>
          <w:p w14:paraId="32841AA2" w14:textId="14D6E33E" w:rsidR="0033529C" w:rsidRPr="00ED2A3A"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Limiting anti</w:t>
            </w:r>
            <w:r>
              <w:rPr>
                <w:rFonts w:ascii="Verdana" w:hAnsi="Verdana"/>
                <w:sz w:val="18"/>
                <w:szCs w:val="18"/>
              </w:rPr>
              <w:t>microbial</w:t>
            </w:r>
            <w:r w:rsidRPr="0082122E">
              <w:rPr>
                <w:rFonts w:ascii="Verdana" w:hAnsi="Verdana"/>
                <w:sz w:val="18"/>
                <w:szCs w:val="18"/>
              </w:rPr>
              <w:t xml:space="preserve"> use in </w:t>
            </w:r>
            <w:r>
              <w:rPr>
                <w:rFonts w:ascii="Verdana" w:hAnsi="Verdana"/>
                <w:sz w:val="18"/>
                <w:szCs w:val="18"/>
              </w:rPr>
              <w:t>farmed animals</w:t>
            </w:r>
          </w:p>
        </w:tc>
      </w:tr>
      <w:tr w:rsidR="0033529C" w14:paraId="589733D3" w14:textId="77777777" w:rsidTr="0033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tcPr>
          <w:p w14:paraId="0ECA7EF2" w14:textId="77777777" w:rsidR="0033529C" w:rsidRDefault="0033529C" w:rsidP="0033529C">
            <w:pPr>
              <w:spacing w:after="0" w:line="240" w:lineRule="auto"/>
              <w:rPr>
                <w:rFonts w:ascii="Verdana" w:hAnsi="Verdana"/>
                <w:b w:val="0"/>
                <w:sz w:val="18"/>
                <w:szCs w:val="18"/>
              </w:rPr>
            </w:pPr>
          </w:p>
        </w:tc>
        <w:tc>
          <w:tcPr>
            <w:tcW w:w="1152" w:type="dxa"/>
            <w:tcBorders>
              <w:top w:val="nil"/>
              <w:left w:val="single" w:sz="8" w:space="0" w:color="4F81BD"/>
              <w:bottom w:val="nil"/>
              <w:right w:val="single" w:sz="4" w:space="0" w:color="auto"/>
            </w:tcBorders>
          </w:tcPr>
          <w:p w14:paraId="0974BF57" w14:textId="70194772" w:rsidR="0033529C" w:rsidRPr="00544D67" w:rsidRDefault="0033529C"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highlight w:val="green"/>
              </w:rPr>
            </w:pPr>
          </w:p>
        </w:tc>
        <w:tc>
          <w:tcPr>
            <w:tcW w:w="1152" w:type="dxa"/>
            <w:tcBorders>
              <w:top w:val="nil"/>
              <w:left w:val="single" w:sz="4" w:space="0" w:color="auto"/>
              <w:bottom w:val="nil"/>
              <w:right w:val="single" w:sz="4" w:space="0" w:color="auto"/>
            </w:tcBorders>
          </w:tcPr>
          <w:p w14:paraId="5EDD33A3" w14:textId="05BB552E" w:rsidR="0033529C" w:rsidRDefault="0033529C" w:rsidP="00335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c>
          <w:tcPr>
            <w:tcW w:w="3635" w:type="dxa"/>
            <w:tcBorders>
              <w:top w:val="nil"/>
              <w:left w:val="single" w:sz="4" w:space="0" w:color="auto"/>
              <w:bottom w:val="nil"/>
            </w:tcBorders>
          </w:tcPr>
          <w:p w14:paraId="6712D58B" w14:textId="513818B9" w:rsidR="0033529C" w:rsidRPr="00ED2A3A" w:rsidRDefault="0033529C" w:rsidP="0033529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33529C" w14:paraId="4D75970F" w14:textId="77777777" w:rsidTr="0033529C">
        <w:tc>
          <w:tcPr>
            <w:cnfStyle w:val="001000000000" w:firstRow="0" w:lastRow="0" w:firstColumn="1" w:lastColumn="0" w:oddVBand="0" w:evenVBand="0" w:oddHBand="0" w:evenHBand="0" w:firstRowFirstColumn="0" w:firstRowLastColumn="0" w:lastRowFirstColumn="0" w:lastRowLastColumn="0"/>
            <w:tcW w:w="3633" w:type="dxa"/>
            <w:vMerge/>
            <w:tcBorders>
              <w:right w:val="single" w:sz="8" w:space="0" w:color="4F81BD"/>
            </w:tcBorders>
          </w:tcPr>
          <w:p w14:paraId="3BAC08EF" w14:textId="77777777" w:rsidR="0033529C" w:rsidRDefault="0033529C" w:rsidP="0033529C">
            <w:pPr>
              <w:spacing w:after="0" w:line="240" w:lineRule="auto"/>
              <w:rPr>
                <w:rFonts w:ascii="Verdana" w:hAnsi="Verdana"/>
                <w:b w:val="0"/>
                <w:sz w:val="18"/>
                <w:szCs w:val="18"/>
              </w:rPr>
            </w:pPr>
          </w:p>
        </w:tc>
        <w:tc>
          <w:tcPr>
            <w:tcW w:w="1152" w:type="dxa"/>
            <w:tcBorders>
              <w:top w:val="nil"/>
              <w:left w:val="single" w:sz="8" w:space="0" w:color="4F81BD"/>
              <w:bottom w:val="single" w:sz="8" w:space="0" w:color="4F81BD"/>
              <w:right w:val="single" w:sz="4" w:space="0" w:color="auto"/>
            </w:tcBorders>
          </w:tcPr>
          <w:p w14:paraId="51DF8626" w14:textId="184CB13C" w:rsidR="0033529C" w:rsidRDefault="00AA07F1"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I28" w:history="1">
              <w:r w:rsidR="0033529C" w:rsidRPr="5CB4B133">
                <w:rPr>
                  <w:rStyle w:val="Hyperlink"/>
                  <w:rFonts w:ascii="Verdana" w:hAnsi="Verdana"/>
                  <w:b/>
                  <w:bCs/>
                  <w:sz w:val="18"/>
                  <w:szCs w:val="18"/>
                </w:rPr>
                <w:t>I.2</w:t>
              </w:r>
              <w:r w:rsidR="0033529C">
                <w:rPr>
                  <w:rStyle w:val="Hyperlink"/>
                  <w:rFonts w:ascii="Verdana" w:hAnsi="Verdana"/>
                  <w:b/>
                  <w:bCs/>
                  <w:sz w:val="18"/>
                  <w:szCs w:val="18"/>
                </w:rPr>
                <w:t>9</w:t>
              </w:r>
            </w:hyperlink>
          </w:p>
        </w:tc>
        <w:tc>
          <w:tcPr>
            <w:tcW w:w="1152" w:type="dxa"/>
            <w:tcBorders>
              <w:top w:val="nil"/>
              <w:left w:val="single" w:sz="4" w:space="0" w:color="auto"/>
              <w:bottom w:val="single" w:sz="8" w:space="0" w:color="4F81BD"/>
              <w:right w:val="single" w:sz="4" w:space="0" w:color="auto"/>
            </w:tcBorders>
          </w:tcPr>
          <w:p w14:paraId="072A4B08" w14:textId="1115CC52" w:rsidR="0033529C" w:rsidRDefault="00AA07F1" w:rsidP="00335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hyperlink w:anchor="C34" w:history="1">
              <w:r w:rsidR="0033529C" w:rsidRPr="5CB4B133">
                <w:rPr>
                  <w:rStyle w:val="Hyperlink"/>
                  <w:rFonts w:ascii="Verdana" w:hAnsi="Verdana"/>
                  <w:b/>
                  <w:bCs/>
                  <w:sz w:val="18"/>
                  <w:szCs w:val="18"/>
                </w:rPr>
                <w:t>C.3</w:t>
              </w:r>
              <w:r w:rsidR="0033529C">
                <w:rPr>
                  <w:rStyle w:val="Hyperlink"/>
                  <w:rFonts w:ascii="Verdana" w:hAnsi="Verdana"/>
                  <w:b/>
                  <w:bCs/>
                  <w:sz w:val="18"/>
                  <w:szCs w:val="18"/>
                </w:rPr>
                <w:t>5</w:t>
              </w:r>
            </w:hyperlink>
          </w:p>
        </w:tc>
        <w:tc>
          <w:tcPr>
            <w:tcW w:w="3635" w:type="dxa"/>
            <w:tcBorders>
              <w:top w:val="nil"/>
              <w:left w:val="single" w:sz="4" w:space="0" w:color="auto"/>
              <w:bottom w:val="single" w:sz="8" w:space="0" w:color="4F81BD"/>
            </w:tcBorders>
          </w:tcPr>
          <w:p w14:paraId="7C8D229B" w14:textId="2B9F45FC" w:rsidR="0033529C" w:rsidRPr="00ED2A3A" w:rsidRDefault="0033529C" w:rsidP="0033529C">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2122E">
              <w:rPr>
                <w:rFonts w:ascii="Verdana" w:hAnsi="Verdana"/>
                <w:sz w:val="18"/>
                <w:szCs w:val="18"/>
              </w:rPr>
              <w:t>Responding to consumer demand for quality food</w:t>
            </w:r>
          </w:p>
        </w:tc>
      </w:tr>
    </w:tbl>
    <w:p w14:paraId="3330F2F1" w14:textId="77777777" w:rsidR="00BD736C" w:rsidRDefault="00BD736C" w:rsidP="00544872">
      <w:pPr>
        <w:spacing w:after="60"/>
        <w:jc w:val="center"/>
        <w:rPr>
          <w:rFonts w:ascii="Verdana" w:hAnsi="Verdana"/>
          <w:b/>
          <w:sz w:val="18"/>
          <w:szCs w:val="18"/>
        </w:rPr>
      </w:pPr>
    </w:p>
    <w:p w14:paraId="77E4CEE1" w14:textId="77777777" w:rsidR="00BD736C" w:rsidRDefault="00BD736C">
      <w:pPr>
        <w:spacing w:after="0" w:line="240" w:lineRule="auto"/>
        <w:rPr>
          <w:rFonts w:ascii="Verdana" w:hAnsi="Verdana"/>
          <w:b/>
          <w:sz w:val="18"/>
          <w:szCs w:val="18"/>
        </w:rPr>
      </w:pPr>
      <w:r>
        <w:rPr>
          <w:rFonts w:ascii="Verdana" w:hAnsi="Verdana"/>
          <w:b/>
          <w:sz w:val="18"/>
          <w:szCs w:val="18"/>
        </w:rPr>
        <w:br w:type="page"/>
      </w:r>
    </w:p>
    <w:p w14:paraId="1FE18AF2" w14:textId="77777777" w:rsidR="00DA5AC4" w:rsidRDefault="00DA5AC4">
      <w:pPr>
        <w:spacing w:after="0" w:line="240" w:lineRule="auto"/>
        <w:rPr>
          <w:rFonts w:ascii="Verdana" w:hAnsi="Verdana"/>
          <w:b/>
          <w:sz w:val="18"/>
          <w:szCs w:val="18"/>
        </w:rPr>
      </w:pPr>
    </w:p>
    <w:p w14:paraId="2A9C2D79" w14:textId="12658200" w:rsidR="002D6AF6" w:rsidRPr="00ED2A3A" w:rsidRDefault="002D6AF6" w:rsidP="5CB4B133">
      <w:pPr>
        <w:spacing w:after="60"/>
        <w:jc w:val="center"/>
        <w:rPr>
          <w:rFonts w:ascii="Verdana" w:hAnsi="Verdana"/>
          <w:b/>
          <w:bCs/>
          <w:sz w:val="18"/>
          <w:szCs w:val="18"/>
        </w:rPr>
      </w:pPr>
      <w:r w:rsidRPr="5CB4B133">
        <w:rPr>
          <w:rFonts w:ascii="Verdana" w:hAnsi="Verdana"/>
          <w:b/>
          <w:bCs/>
          <w:sz w:val="18"/>
          <w:szCs w:val="18"/>
        </w:rPr>
        <w:t>FICHE CONTENTS</w:t>
      </w:r>
    </w:p>
    <w:p w14:paraId="44894057" w14:textId="77777777" w:rsidR="002D6AF6" w:rsidRPr="00ED2A3A" w:rsidRDefault="002D6AF6" w:rsidP="00544872">
      <w:pPr>
        <w:spacing w:before="120" w:after="60"/>
        <w:ind w:left="720" w:right="360"/>
        <w:jc w:val="cent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4"/>
      </w:tblGrid>
      <w:tr w:rsidR="002D6AF6" w:rsidRPr="00ED2A3A" w14:paraId="66DDBC3A"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60762B16" w14:textId="77777777" w:rsidR="002D6AF6" w:rsidRPr="00ED2A3A" w:rsidRDefault="002D6AF6" w:rsidP="00544872">
            <w:pPr>
              <w:spacing w:before="120" w:after="60"/>
              <w:jc w:val="center"/>
              <w:rPr>
                <w:rFonts w:ascii="Verdana" w:hAnsi="Verdana"/>
                <w:b/>
                <w:caps/>
                <w:sz w:val="18"/>
                <w:szCs w:val="18"/>
              </w:rPr>
            </w:pPr>
          </w:p>
        </w:tc>
        <w:tc>
          <w:tcPr>
            <w:tcW w:w="7054" w:type="dxa"/>
            <w:tcBorders>
              <w:top w:val="single" w:sz="4" w:space="0" w:color="auto"/>
              <w:left w:val="single" w:sz="4" w:space="0" w:color="auto"/>
              <w:bottom w:val="single" w:sz="4" w:space="0" w:color="auto"/>
              <w:right w:val="single" w:sz="4" w:space="0" w:color="auto"/>
            </w:tcBorders>
          </w:tcPr>
          <w:p w14:paraId="305FD0E5" w14:textId="77777777" w:rsidR="002D6AF6" w:rsidRPr="00ED2A3A" w:rsidRDefault="002D6AF6" w:rsidP="00544872">
            <w:pPr>
              <w:spacing w:before="120" w:after="60"/>
              <w:jc w:val="center"/>
              <w:rPr>
                <w:rFonts w:ascii="Verdana" w:hAnsi="Verdana"/>
                <w:b/>
                <w:caps/>
                <w:sz w:val="18"/>
                <w:szCs w:val="18"/>
              </w:rPr>
            </w:pPr>
          </w:p>
        </w:tc>
      </w:tr>
      <w:tr w:rsidR="002D6AF6" w:rsidRPr="00ED2A3A" w14:paraId="4EFD260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638AF182"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Indicator Name</w:t>
            </w:r>
          </w:p>
        </w:tc>
        <w:tc>
          <w:tcPr>
            <w:tcW w:w="7054" w:type="dxa"/>
            <w:tcBorders>
              <w:top w:val="single" w:sz="4" w:space="0" w:color="auto"/>
              <w:left w:val="single" w:sz="4" w:space="0" w:color="auto"/>
              <w:bottom w:val="single" w:sz="4" w:space="0" w:color="auto"/>
              <w:right w:val="single" w:sz="4" w:space="0" w:color="auto"/>
            </w:tcBorders>
          </w:tcPr>
          <w:p w14:paraId="645FEC67" w14:textId="273F3902"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Title of the indicato</w:t>
            </w:r>
            <w:r w:rsidR="00337C91" w:rsidRPr="790C88FB">
              <w:rPr>
                <w:rFonts w:ascii="Verdana" w:hAnsi="Verdana"/>
                <w:i/>
                <w:iCs/>
                <w:sz w:val="18"/>
                <w:szCs w:val="18"/>
              </w:rPr>
              <w:t>r</w:t>
            </w:r>
            <w:r w:rsidRPr="790C88FB">
              <w:rPr>
                <w:rFonts w:ascii="Verdana" w:hAnsi="Verdana"/>
                <w:i/>
                <w:iCs/>
                <w:sz w:val="18"/>
                <w:szCs w:val="18"/>
              </w:rPr>
              <w:t xml:space="preserve"> used </w:t>
            </w:r>
            <w:r w:rsidR="007C1B2E" w:rsidRPr="790C88FB">
              <w:rPr>
                <w:rFonts w:ascii="Verdana" w:hAnsi="Verdana"/>
                <w:i/>
                <w:iCs/>
                <w:sz w:val="18"/>
                <w:szCs w:val="18"/>
              </w:rPr>
              <w:t>i</w:t>
            </w:r>
            <w:r w:rsidRPr="790C88FB">
              <w:rPr>
                <w:rFonts w:ascii="Verdana" w:hAnsi="Verdana"/>
                <w:i/>
                <w:iCs/>
                <w:sz w:val="18"/>
                <w:szCs w:val="18"/>
              </w:rPr>
              <w:t>n</w:t>
            </w:r>
            <w:r w:rsidR="00337C91" w:rsidRPr="790C88FB">
              <w:rPr>
                <w:rFonts w:ascii="Verdana" w:hAnsi="Verdana"/>
                <w:i/>
                <w:iCs/>
                <w:sz w:val="18"/>
                <w:szCs w:val="18"/>
              </w:rPr>
              <w:t xml:space="preserve"> the</w:t>
            </w:r>
            <w:r w:rsidRPr="790C88FB">
              <w:rPr>
                <w:rFonts w:ascii="Verdana" w:hAnsi="Verdana"/>
                <w:i/>
                <w:iCs/>
                <w:sz w:val="18"/>
                <w:szCs w:val="18"/>
              </w:rPr>
              <w:t xml:space="preserve"> </w:t>
            </w:r>
            <w:r w:rsidR="00337C91" w:rsidRPr="790C88FB">
              <w:rPr>
                <w:rFonts w:ascii="Verdana" w:hAnsi="Verdana"/>
                <w:i/>
                <w:iCs/>
                <w:sz w:val="18"/>
                <w:szCs w:val="18"/>
              </w:rPr>
              <w:t xml:space="preserve">commission </w:t>
            </w:r>
            <w:r w:rsidRPr="790C88FB">
              <w:rPr>
                <w:rFonts w:ascii="Verdana" w:hAnsi="Verdana"/>
                <w:i/>
                <w:iCs/>
                <w:sz w:val="18"/>
                <w:szCs w:val="18"/>
              </w:rPr>
              <w:t>implementing regulation/guidance documents</w:t>
            </w:r>
          </w:p>
        </w:tc>
      </w:tr>
      <w:tr w:rsidR="002D6AF6" w:rsidRPr="00ED2A3A" w14:paraId="1BE4CE8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60A7AE22"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054" w:type="dxa"/>
            <w:tcBorders>
              <w:top w:val="single" w:sz="4" w:space="0" w:color="auto"/>
              <w:left w:val="single" w:sz="4" w:space="0" w:color="auto"/>
              <w:bottom w:val="single" w:sz="4" w:space="0" w:color="auto"/>
              <w:right w:val="single" w:sz="4" w:space="0" w:color="auto"/>
            </w:tcBorders>
          </w:tcPr>
          <w:p w14:paraId="1BD029EB"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 xml:space="preserve">Concise definition of the concept, including if the indicator already exists, e.g. </w:t>
            </w:r>
            <w:r w:rsidR="00337C91" w:rsidRPr="790C88FB">
              <w:rPr>
                <w:rFonts w:ascii="Verdana" w:hAnsi="Verdana"/>
                <w:i/>
                <w:iCs/>
                <w:sz w:val="18"/>
                <w:szCs w:val="18"/>
              </w:rPr>
              <w:t>Agri-environmental indicator (</w:t>
            </w:r>
            <w:r w:rsidRPr="790C88FB">
              <w:rPr>
                <w:rFonts w:ascii="Verdana" w:hAnsi="Verdana"/>
                <w:i/>
                <w:iCs/>
                <w:sz w:val="18"/>
                <w:szCs w:val="18"/>
              </w:rPr>
              <w:t>AEI</w:t>
            </w:r>
            <w:r w:rsidR="00337C91" w:rsidRPr="790C88FB">
              <w:rPr>
                <w:rFonts w:ascii="Verdana" w:hAnsi="Verdana"/>
                <w:i/>
                <w:iCs/>
                <w:sz w:val="18"/>
                <w:szCs w:val="18"/>
              </w:rPr>
              <w:t>)</w:t>
            </w:r>
            <w:r w:rsidRPr="790C88FB">
              <w:rPr>
                <w:rFonts w:ascii="Verdana" w:hAnsi="Verdana"/>
                <w:i/>
                <w:iCs/>
                <w:sz w:val="18"/>
                <w:szCs w:val="18"/>
              </w:rPr>
              <w:t xml:space="preserve">, EUROSTAT indicator. If appropriate, include the methodology/formula for establishment of the indicator  </w:t>
            </w:r>
          </w:p>
        </w:tc>
      </w:tr>
      <w:tr w:rsidR="002D6AF6" w:rsidRPr="00ED2A3A" w14:paraId="64842F3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33D2CBD5"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Unit of measurement</w:t>
            </w:r>
          </w:p>
        </w:tc>
        <w:tc>
          <w:tcPr>
            <w:tcW w:w="7054" w:type="dxa"/>
            <w:tcBorders>
              <w:top w:val="single" w:sz="4" w:space="0" w:color="auto"/>
              <w:left w:val="single" w:sz="4" w:space="0" w:color="auto"/>
              <w:bottom w:val="single" w:sz="4" w:space="0" w:color="auto"/>
              <w:right w:val="single" w:sz="4" w:space="0" w:color="auto"/>
            </w:tcBorders>
          </w:tcPr>
          <w:p w14:paraId="38E28139"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Unit used to record the value (e.g. ha, tonnes, €, %)</w:t>
            </w:r>
          </w:p>
        </w:tc>
      </w:tr>
      <w:tr w:rsidR="002D6AF6" w:rsidRPr="00ED2A3A" w14:paraId="0E5321A9"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3E132937"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Data source</w:t>
            </w:r>
          </w:p>
        </w:tc>
        <w:tc>
          <w:tcPr>
            <w:tcW w:w="7054" w:type="dxa"/>
            <w:tcBorders>
              <w:top w:val="single" w:sz="4" w:space="0" w:color="auto"/>
              <w:left w:val="single" w:sz="4" w:space="0" w:color="auto"/>
              <w:bottom w:val="single" w:sz="4" w:space="0" w:color="auto"/>
              <w:right w:val="single" w:sz="4" w:space="0" w:color="auto"/>
            </w:tcBorders>
          </w:tcPr>
          <w:p w14:paraId="00210896"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Identification of existing data sources (</w:t>
            </w:r>
            <w:r w:rsidRPr="790C88FB">
              <w:rPr>
                <w:rFonts w:ascii="Verdana" w:hAnsi="Verdana"/>
                <w:i/>
                <w:iCs/>
                <w:sz w:val="18"/>
                <w:szCs w:val="18"/>
                <w:lang w:val="en-US"/>
              </w:rPr>
              <w:t xml:space="preserve">e.g. </w:t>
            </w:r>
            <w:r w:rsidRPr="790C88FB">
              <w:rPr>
                <w:rFonts w:ascii="Verdana" w:hAnsi="Verdana"/>
                <w:i/>
                <w:iCs/>
                <w:sz w:val="18"/>
                <w:szCs w:val="18"/>
              </w:rPr>
              <w:t xml:space="preserve">EUROSTAT identifying relevant data set, </w:t>
            </w:r>
            <w:r w:rsidR="00123D0D" w:rsidRPr="00ED2A3A">
              <w:rPr>
                <w:rStyle w:val="Emphasis"/>
                <w:rFonts w:ascii="Verdana" w:hAnsi="Verdana"/>
                <w:sz w:val="18"/>
                <w:szCs w:val="18"/>
              </w:rPr>
              <w:t xml:space="preserve">Farm </w:t>
            </w:r>
            <w:r w:rsidR="00D8452B" w:rsidRPr="00ED2A3A">
              <w:rPr>
                <w:rStyle w:val="Emphasis"/>
                <w:rFonts w:ascii="Verdana" w:hAnsi="Verdana"/>
                <w:sz w:val="18"/>
                <w:szCs w:val="18"/>
              </w:rPr>
              <w:t>A</w:t>
            </w:r>
            <w:r w:rsidR="00123D0D" w:rsidRPr="00ED2A3A">
              <w:rPr>
                <w:rStyle w:val="Emphasis"/>
                <w:rFonts w:ascii="Verdana" w:hAnsi="Verdana"/>
                <w:sz w:val="18"/>
                <w:szCs w:val="18"/>
              </w:rPr>
              <w:t xml:space="preserve">ccountancy </w:t>
            </w:r>
            <w:r w:rsidR="00D8452B" w:rsidRPr="00ED2A3A">
              <w:rPr>
                <w:rStyle w:val="Emphasis"/>
                <w:rFonts w:ascii="Verdana" w:hAnsi="Verdana"/>
                <w:sz w:val="18"/>
                <w:szCs w:val="18"/>
              </w:rPr>
              <w:t>D</w:t>
            </w:r>
            <w:r w:rsidR="00123D0D" w:rsidRPr="00ED2A3A">
              <w:rPr>
                <w:rStyle w:val="Emphasis"/>
                <w:rFonts w:ascii="Verdana" w:hAnsi="Verdana"/>
                <w:sz w:val="18"/>
                <w:szCs w:val="18"/>
              </w:rPr>
              <w:t xml:space="preserve">ata </w:t>
            </w:r>
            <w:r w:rsidR="00D8452B" w:rsidRPr="00ED2A3A">
              <w:rPr>
                <w:rStyle w:val="Emphasis"/>
                <w:rFonts w:ascii="Verdana" w:hAnsi="Verdana"/>
                <w:sz w:val="18"/>
                <w:szCs w:val="18"/>
              </w:rPr>
              <w:t>N</w:t>
            </w:r>
            <w:r w:rsidR="00123D0D" w:rsidRPr="00ED2A3A">
              <w:rPr>
                <w:rStyle w:val="Emphasis"/>
                <w:rFonts w:ascii="Verdana" w:hAnsi="Verdana"/>
                <w:sz w:val="18"/>
                <w:szCs w:val="18"/>
              </w:rPr>
              <w:t>etwork (</w:t>
            </w:r>
            <w:r w:rsidRPr="790C88FB">
              <w:rPr>
                <w:rFonts w:ascii="Verdana" w:hAnsi="Verdana"/>
                <w:i/>
                <w:iCs/>
                <w:sz w:val="18"/>
                <w:szCs w:val="18"/>
              </w:rPr>
              <w:t>FADN</w:t>
            </w:r>
            <w:r w:rsidR="00123D0D" w:rsidRPr="790C88FB">
              <w:rPr>
                <w:rFonts w:ascii="Verdana" w:hAnsi="Verdana"/>
                <w:i/>
                <w:iCs/>
                <w:sz w:val="18"/>
                <w:szCs w:val="18"/>
              </w:rPr>
              <w:t>)</w:t>
            </w:r>
            <w:r w:rsidRPr="790C88FB">
              <w:rPr>
                <w:rFonts w:ascii="Verdana" w:hAnsi="Verdana"/>
                <w:i/>
                <w:iCs/>
                <w:sz w:val="18"/>
                <w:szCs w:val="18"/>
              </w:rPr>
              <w:t>, European Environmental Agency, etc.)</w:t>
            </w:r>
          </w:p>
        </w:tc>
      </w:tr>
      <w:tr w:rsidR="002D6AF6" w:rsidRPr="00ED2A3A" w14:paraId="4706784C"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263F0898" w14:textId="77777777" w:rsidR="002D6AF6" w:rsidRPr="00ED2A3A" w:rsidRDefault="002D6AF6" w:rsidP="790C88FB">
            <w:pPr>
              <w:spacing w:before="120" w:after="60"/>
              <w:rPr>
                <w:rFonts w:ascii="Verdana" w:hAnsi="Verdana"/>
                <w:b/>
                <w:bCs/>
                <w:i/>
                <w:iCs/>
                <w:sz w:val="18"/>
                <w:szCs w:val="18"/>
              </w:rPr>
            </w:pPr>
            <w:r w:rsidRPr="5CB4B133">
              <w:rPr>
                <w:rFonts w:ascii="Verdana" w:hAnsi="Verdana"/>
                <w:b/>
                <w:bCs/>
                <w:sz w:val="18"/>
                <w:szCs w:val="18"/>
              </w:rPr>
              <w:t>References/location of the data</w:t>
            </w:r>
          </w:p>
        </w:tc>
        <w:tc>
          <w:tcPr>
            <w:tcW w:w="7054" w:type="dxa"/>
            <w:tcBorders>
              <w:top w:val="single" w:sz="4" w:space="0" w:color="auto"/>
              <w:left w:val="single" w:sz="4" w:space="0" w:color="auto"/>
              <w:bottom w:val="single" w:sz="4" w:space="0" w:color="auto"/>
              <w:right w:val="single" w:sz="4" w:space="0" w:color="auto"/>
            </w:tcBorders>
          </w:tcPr>
          <w:p w14:paraId="5B3979E7"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Links (other refer</w:t>
            </w:r>
            <w:r w:rsidR="00B840B2" w:rsidRPr="790C88FB">
              <w:rPr>
                <w:rFonts w:ascii="Verdana" w:hAnsi="Verdana"/>
                <w:i/>
                <w:iCs/>
                <w:sz w:val="18"/>
                <w:szCs w:val="18"/>
              </w:rPr>
              <w:t>ences) to data sources (e.g. in</w:t>
            </w:r>
            <w:r w:rsidRPr="790C88FB">
              <w:rPr>
                <w:rFonts w:ascii="Verdana" w:hAnsi="Verdana"/>
                <w:i/>
                <w:iCs/>
                <w:sz w:val="18"/>
                <w:szCs w:val="18"/>
              </w:rPr>
              <w:t xml:space="preserve"> EUROSTAT specifying </w:t>
            </w:r>
            <w:r w:rsidR="00B840B2" w:rsidRPr="790C88FB">
              <w:rPr>
                <w:rFonts w:ascii="Verdana" w:hAnsi="Verdana"/>
                <w:i/>
                <w:iCs/>
                <w:sz w:val="18"/>
                <w:szCs w:val="18"/>
              </w:rPr>
              <w:t xml:space="preserve">exact tables, FAO, World bank) </w:t>
            </w:r>
            <w:r w:rsidRPr="790C88FB">
              <w:rPr>
                <w:rFonts w:ascii="Verdana" w:hAnsi="Verdana"/>
                <w:i/>
                <w:iCs/>
                <w:sz w:val="18"/>
                <w:szCs w:val="18"/>
              </w:rPr>
              <w:t>AEI definitions, regulations establishing indicators, etc.</w:t>
            </w:r>
          </w:p>
        </w:tc>
      </w:tr>
      <w:tr w:rsidR="002D6AF6" w:rsidRPr="00ED2A3A" w14:paraId="76132A9D"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5E41CC3B"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 xml:space="preserve">Data collection </w:t>
            </w:r>
            <w:r w:rsidR="0073366C" w:rsidRPr="5CB4B133">
              <w:rPr>
                <w:rFonts w:ascii="Verdana" w:hAnsi="Verdana"/>
                <w:b/>
                <w:bCs/>
                <w:sz w:val="18"/>
                <w:szCs w:val="18"/>
              </w:rPr>
              <w:t xml:space="preserve">/ dissemination </w:t>
            </w:r>
            <w:r w:rsidRPr="5CB4B133">
              <w:rPr>
                <w:rFonts w:ascii="Verdana" w:hAnsi="Verdana"/>
                <w:b/>
                <w:bCs/>
                <w:sz w:val="18"/>
                <w:szCs w:val="18"/>
              </w:rPr>
              <w:t>level</w:t>
            </w:r>
          </w:p>
        </w:tc>
        <w:tc>
          <w:tcPr>
            <w:tcW w:w="7054" w:type="dxa"/>
            <w:tcBorders>
              <w:top w:val="single" w:sz="4" w:space="0" w:color="auto"/>
              <w:left w:val="single" w:sz="4" w:space="0" w:color="auto"/>
              <w:bottom w:val="single" w:sz="4" w:space="0" w:color="auto"/>
              <w:right w:val="single" w:sz="4" w:space="0" w:color="auto"/>
            </w:tcBorders>
          </w:tcPr>
          <w:p w14:paraId="1D44DE5C"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Identification of the geographical level at which the data is available and at which level the indicator should be established</w:t>
            </w:r>
          </w:p>
        </w:tc>
      </w:tr>
      <w:tr w:rsidR="002D6AF6" w:rsidRPr="00ED2A3A" w14:paraId="7719BED8"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5856B5E8"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054" w:type="dxa"/>
            <w:tcBorders>
              <w:top w:val="single" w:sz="4" w:space="0" w:color="auto"/>
              <w:left w:val="single" w:sz="4" w:space="0" w:color="auto"/>
              <w:bottom w:val="single" w:sz="4" w:space="0" w:color="auto"/>
              <w:right w:val="single" w:sz="4" w:space="0" w:color="auto"/>
            </w:tcBorders>
          </w:tcPr>
          <w:p w14:paraId="118D5C47"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Frequency at which the indicator is collected/calculated</w:t>
            </w:r>
          </w:p>
        </w:tc>
      </w:tr>
      <w:tr w:rsidR="002D6AF6" w:rsidRPr="00ED2A3A" w14:paraId="358757DB"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31BB675F" w14:textId="77777777" w:rsidR="002D6AF6" w:rsidRPr="00ED2A3A" w:rsidRDefault="0073366C" w:rsidP="790C88FB">
            <w:pPr>
              <w:spacing w:before="120" w:after="60"/>
              <w:rPr>
                <w:rFonts w:ascii="Verdana" w:hAnsi="Verdana"/>
                <w:b/>
                <w:bCs/>
                <w:i/>
                <w:iCs/>
                <w:sz w:val="18"/>
                <w:szCs w:val="18"/>
              </w:rPr>
            </w:pPr>
            <w:r w:rsidRPr="5CB4B133">
              <w:rPr>
                <w:rFonts w:ascii="Verdana" w:hAnsi="Verdana"/>
                <w:b/>
                <w:bCs/>
                <w:sz w:val="18"/>
                <w:szCs w:val="18"/>
              </w:rPr>
              <w:t xml:space="preserve">Timeliness </w:t>
            </w:r>
          </w:p>
        </w:tc>
        <w:tc>
          <w:tcPr>
            <w:tcW w:w="7054" w:type="dxa"/>
            <w:tcBorders>
              <w:top w:val="single" w:sz="4" w:space="0" w:color="auto"/>
              <w:left w:val="single" w:sz="4" w:space="0" w:color="auto"/>
              <w:bottom w:val="single" w:sz="4" w:space="0" w:color="auto"/>
              <w:right w:val="single" w:sz="4" w:space="0" w:color="auto"/>
            </w:tcBorders>
          </w:tcPr>
          <w:p w14:paraId="7D796792"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Ho</w:t>
            </w:r>
            <w:r w:rsidRPr="790C88FB">
              <w:rPr>
                <w:rFonts w:ascii="Verdana" w:hAnsi="Verdana"/>
                <w:i/>
                <w:iCs/>
                <w:sz w:val="18"/>
                <w:szCs w:val="18"/>
                <w:lang w:val="en-US"/>
              </w:rPr>
              <w:t>w old are the data when they become available</w:t>
            </w:r>
          </w:p>
        </w:tc>
      </w:tr>
      <w:tr w:rsidR="002D6AF6" w:rsidRPr="00ED2A3A" w14:paraId="303D8C0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tcPr>
          <w:p w14:paraId="2442444D" w14:textId="77777777" w:rsidR="002D6AF6" w:rsidRPr="00ED2A3A" w:rsidRDefault="002D6AF6" w:rsidP="5CB4B133">
            <w:pPr>
              <w:spacing w:before="120" w:after="60"/>
              <w:rPr>
                <w:rFonts w:ascii="Verdana" w:hAnsi="Verdana"/>
                <w:b/>
                <w:bCs/>
                <w:sz w:val="18"/>
                <w:szCs w:val="18"/>
              </w:rPr>
            </w:pPr>
            <w:r w:rsidRPr="5CB4B133">
              <w:rPr>
                <w:rFonts w:ascii="Verdana" w:hAnsi="Verdana"/>
                <w:b/>
                <w:bCs/>
                <w:sz w:val="18"/>
                <w:szCs w:val="18"/>
              </w:rPr>
              <w:t>Comments/caveats</w:t>
            </w:r>
            <w:r w:rsidRPr="00ED2A3A">
              <w:rPr>
                <w:rFonts w:ascii="Verdana" w:hAnsi="Verdana"/>
                <w:sz w:val="18"/>
                <w:szCs w:val="18"/>
              </w:rPr>
              <w:t xml:space="preserve"> </w:t>
            </w:r>
          </w:p>
        </w:tc>
        <w:tc>
          <w:tcPr>
            <w:tcW w:w="7054" w:type="dxa"/>
            <w:tcBorders>
              <w:top w:val="single" w:sz="4" w:space="0" w:color="auto"/>
              <w:left w:val="single" w:sz="4" w:space="0" w:color="auto"/>
              <w:bottom w:val="single" w:sz="4" w:space="0" w:color="auto"/>
              <w:right w:val="single" w:sz="4" w:space="0" w:color="auto"/>
            </w:tcBorders>
          </w:tcPr>
          <w:p w14:paraId="1D430C5A" w14:textId="77777777" w:rsidR="002D6AF6" w:rsidRPr="00ED2A3A" w:rsidRDefault="002D6AF6" w:rsidP="5CB4B133">
            <w:pPr>
              <w:spacing w:before="120" w:after="60"/>
              <w:rPr>
                <w:rFonts w:ascii="Verdana" w:hAnsi="Verdana"/>
                <w:b/>
                <w:bCs/>
                <w:sz w:val="18"/>
                <w:szCs w:val="18"/>
              </w:rPr>
            </w:pPr>
            <w:r w:rsidRPr="790C88FB">
              <w:rPr>
                <w:rFonts w:ascii="Verdana" w:hAnsi="Verdana"/>
                <w:i/>
                <w:iCs/>
                <w:sz w:val="18"/>
                <w:szCs w:val="18"/>
              </w:rPr>
              <w:t>Comments concerning interpretation of the indicator for monitoring and evaluation purposes and its caveats, if appropriate</w:t>
            </w:r>
            <w:r w:rsidRPr="5CB4B133">
              <w:rPr>
                <w:rFonts w:ascii="Verdana" w:hAnsi="Verdana"/>
                <w:b/>
                <w:bCs/>
                <w:sz w:val="18"/>
                <w:szCs w:val="18"/>
              </w:rPr>
              <w:t xml:space="preserve">  </w:t>
            </w:r>
          </w:p>
        </w:tc>
      </w:tr>
    </w:tbl>
    <w:p w14:paraId="443185EA" w14:textId="77777777" w:rsidR="002D6AF6" w:rsidRPr="00ED2A3A" w:rsidRDefault="002D6AF6" w:rsidP="00544872">
      <w:pPr>
        <w:spacing w:before="120" w:after="60"/>
        <w:ind w:left="720" w:right="360"/>
        <w:jc w:val="center"/>
        <w:rPr>
          <w:rFonts w:ascii="Verdana" w:hAnsi="Verdana"/>
          <w:sz w:val="18"/>
          <w:szCs w:val="18"/>
        </w:rPr>
      </w:pPr>
    </w:p>
    <w:p w14:paraId="3AEB43A4" w14:textId="77777777" w:rsidR="002D6AF6" w:rsidRPr="00C34DE9" w:rsidRDefault="002D6AF6" w:rsidP="00544872">
      <w:pPr>
        <w:spacing w:after="60"/>
        <w:rPr>
          <w:rFonts w:ascii="Verdana" w:hAnsi="Verdana"/>
          <w:sz w:val="18"/>
          <w:szCs w:val="18"/>
        </w:rPr>
      </w:pPr>
      <w:r w:rsidRPr="00ED2A3A">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841E23" w:rsidRPr="00C34DE9" w14:paraId="1A628401"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E8EB80D" w14:textId="77777777" w:rsidR="00841E23" w:rsidRPr="00C34DE9" w:rsidRDefault="00841E23" w:rsidP="5CB4B133">
            <w:pPr>
              <w:spacing w:after="60"/>
              <w:rPr>
                <w:rFonts w:ascii="Verdana" w:hAnsi="Verdana"/>
                <w:b/>
                <w:bCs/>
                <w:sz w:val="18"/>
                <w:szCs w:val="18"/>
              </w:rPr>
            </w:pPr>
            <w:r w:rsidRPr="5CB4B133">
              <w:rPr>
                <w:rFonts w:ascii="Verdana" w:hAnsi="Verdana"/>
                <w:b/>
                <w:bCs/>
                <w:smallCaps/>
                <w:sz w:val="18"/>
                <w:szCs w:val="18"/>
              </w:rPr>
              <w:lastRenderedPageBreak/>
              <w:t xml:space="preserve">Indicator </w:t>
            </w:r>
            <w:bookmarkStart w:id="1" w:name="C01"/>
            <w:r w:rsidR="002D6AF6" w:rsidRPr="5CB4B133">
              <w:rPr>
                <w:rFonts w:ascii="Verdana" w:hAnsi="Verdana"/>
                <w:b/>
                <w:bCs/>
                <w:smallCaps/>
                <w:sz w:val="18"/>
                <w:szCs w:val="18"/>
              </w:rPr>
              <w:t>C.01</w:t>
            </w:r>
            <w:bookmarkEnd w:id="1"/>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437C3E1" w14:textId="77777777" w:rsidR="00841E23" w:rsidRPr="00C34DE9" w:rsidRDefault="00841E23" w:rsidP="004F1363">
            <w:pPr>
              <w:spacing w:after="60"/>
              <w:rPr>
                <w:rFonts w:ascii="Verdana" w:hAnsi="Verdana"/>
                <w:caps/>
                <w:sz w:val="18"/>
                <w:szCs w:val="18"/>
              </w:rPr>
            </w:pPr>
          </w:p>
        </w:tc>
      </w:tr>
      <w:tr w:rsidR="00841E23" w:rsidRPr="00C34DE9" w14:paraId="0329FA99"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06ED82E" w14:textId="77777777" w:rsidR="00841E23" w:rsidRPr="00C34DE9" w:rsidRDefault="00841E2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76830EE" w14:textId="10853E37" w:rsidR="00841E23" w:rsidRPr="00C34DE9" w:rsidRDefault="007C6E79" w:rsidP="5CB4B133">
            <w:pPr>
              <w:spacing w:after="60"/>
              <w:jc w:val="center"/>
              <w:rPr>
                <w:rFonts w:ascii="Verdana" w:hAnsi="Verdana"/>
                <w:b/>
                <w:bCs/>
                <w:color w:val="808080"/>
                <w:sz w:val="18"/>
                <w:szCs w:val="18"/>
              </w:rPr>
            </w:pPr>
            <w:r>
              <w:rPr>
                <w:rFonts w:ascii="Verdana" w:hAnsi="Verdana"/>
                <w:b/>
                <w:bCs/>
                <w:sz w:val="18"/>
                <w:szCs w:val="18"/>
              </w:rPr>
              <w:t>Total p</w:t>
            </w:r>
            <w:r w:rsidR="00841E23" w:rsidRPr="5CB4B133">
              <w:rPr>
                <w:rFonts w:ascii="Verdana" w:hAnsi="Verdana"/>
                <w:b/>
                <w:bCs/>
                <w:sz w:val="18"/>
                <w:szCs w:val="18"/>
              </w:rPr>
              <w:t xml:space="preserve">opulation </w:t>
            </w:r>
          </w:p>
        </w:tc>
      </w:tr>
      <w:tr w:rsidR="00841E23" w:rsidRPr="00C34DE9" w14:paraId="30BEAEFD"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C7F74C7" w14:textId="77777777" w:rsidR="00841E23" w:rsidRPr="00C34DE9" w:rsidRDefault="00841E2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0AFF526" w14:textId="643E2CBF" w:rsidR="00AE59DD" w:rsidRPr="00C34DE9" w:rsidRDefault="00841E23" w:rsidP="00421AD8">
            <w:pPr>
              <w:spacing w:after="120"/>
              <w:rPr>
                <w:rFonts w:ascii="Verdana" w:hAnsi="Verdana"/>
                <w:sz w:val="18"/>
                <w:szCs w:val="18"/>
              </w:rPr>
            </w:pPr>
            <w:r w:rsidRPr="00AE59DD">
              <w:rPr>
                <w:rFonts w:ascii="Verdana" w:eastAsia="Times New Roman" w:hAnsi="Verdana"/>
                <w:sz w:val="18"/>
                <w:szCs w:val="18"/>
              </w:rPr>
              <w:t xml:space="preserve">This indicator refers to the </w:t>
            </w:r>
            <w:r w:rsidRPr="3F4AE0BD">
              <w:rPr>
                <w:rFonts w:ascii="Verdana" w:eastAsia="Times New Roman" w:hAnsi="Verdana"/>
                <w:b/>
                <w:bCs/>
                <w:sz w:val="18"/>
                <w:szCs w:val="18"/>
              </w:rPr>
              <w:t>population on 1</w:t>
            </w:r>
            <w:r w:rsidR="00C15725" w:rsidRPr="3F4AE0BD">
              <w:rPr>
                <w:rFonts w:ascii="Verdana" w:eastAsia="Times New Roman" w:hAnsi="Verdana"/>
                <w:b/>
                <w:bCs/>
                <w:sz w:val="18"/>
                <w:szCs w:val="18"/>
              </w:rPr>
              <w:t xml:space="preserve">st of </w:t>
            </w:r>
            <w:r w:rsidRPr="3F4AE0BD">
              <w:rPr>
                <w:rFonts w:ascii="Verdana" w:eastAsia="Times New Roman" w:hAnsi="Verdana"/>
                <w:b/>
                <w:bCs/>
                <w:sz w:val="18"/>
                <w:szCs w:val="18"/>
              </w:rPr>
              <w:t>January of any given year</w:t>
            </w:r>
            <w:r w:rsidR="00AE59DD" w:rsidRPr="00AE59DD">
              <w:rPr>
                <w:rFonts w:ascii="Verdana" w:eastAsia="Times New Roman" w:hAnsi="Verdana"/>
                <w:sz w:val="18"/>
                <w:szCs w:val="18"/>
              </w:rPr>
              <w:t xml:space="preserve"> and</w:t>
            </w:r>
            <w:r w:rsidR="00AE59DD" w:rsidRPr="3F4AE0BD">
              <w:rPr>
                <w:rFonts w:cs="Calibri"/>
                <w:b/>
                <w:bCs/>
                <w:sz w:val="18"/>
                <w:szCs w:val="18"/>
              </w:rPr>
              <w:t xml:space="preserve"> </w:t>
            </w:r>
            <w:r w:rsidR="005B3C23">
              <w:rPr>
                <w:rFonts w:ascii="Verdana" w:hAnsi="Verdana"/>
                <w:sz w:val="18"/>
                <w:szCs w:val="18"/>
              </w:rPr>
              <w:t>consists of 3</w:t>
            </w:r>
            <w:r w:rsidR="00AE59DD">
              <w:rPr>
                <w:rFonts w:ascii="Verdana" w:hAnsi="Verdana"/>
                <w:sz w:val="18"/>
                <w:szCs w:val="18"/>
              </w:rPr>
              <w:t xml:space="preserve"> </w:t>
            </w:r>
            <w:r w:rsidR="00DD478B">
              <w:rPr>
                <w:rFonts w:ascii="Verdana" w:hAnsi="Verdana"/>
                <w:sz w:val="18"/>
                <w:szCs w:val="18"/>
              </w:rPr>
              <w:t>specific indicators</w:t>
            </w:r>
            <w:r w:rsidR="00AE59DD" w:rsidRPr="00C34DE9">
              <w:rPr>
                <w:rFonts w:ascii="Verdana" w:hAnsi="Verdana"/>
                <w:sz w:val="18"/>
                <w:szCs w:val="18"/>
              </w:rPr>
              <w:t>:</w:t>
            </w:r>
          </w:p>
          <w:p w14:paraId="395C9124" w14:textId="135033F5" w:rsidR="00E03D02" w:rsidRPr="007D3E04" w:rsidRDefault="00841E23" w:rsidP="00665997">
            <w:pPr>
              <w:pStyle w:val="RD-Indicatortabletext"/>
              <w:numPr>
                <w:ilvl w:val="0"/>
                <w:numId w:val="65"/>
              </w:numPr>
              <w:spacing w:after="60"/>
              <w:rPr>
                <w:rFonts w:cs="Calibri"/>
                <w:b/>
                <w:bCs/>
                <w:sz w:val="18"/>
                <w:szCs w:val="18"/>
              </w:rPr>
            </w:pPr>
            <w:r w:rsidRPr="3F4AE0BD">
              <w:rPr>
                <w:rFonts w:cs="Calibri"/>
                <w:b/>
                <w:bCs/>
                <w:sz w:val="18"/>
                <w:szCs w:val="18"/>
              </w:rPr>
              <w:t>total</w:t>
            </w:r>
            <w:r w:rsidR="00AE59DD" w:rsidRPr="3F4AE0BD">
              <w:rPr>
                <w:rFonts w:cs="Calibri"/>
                <w:b/>
                <w:bCs/>
                <w:sz w:val="18"/>
                <w:szCs w:val="18"/>
              </w:rPr>
              <w:t xml:space="preserve"> population</w:t>
            </w:r>
          </w:p>
          <w:p w14:paraId="2F38DFDB" w14:textId="65516555" w:rsidR="00764128" w:rsidRPr="007D3E04" w:rsidRDefault="005432C4" w:rsidP="00665997">
            <w:pPr>
              <w:pStyle w:val="RD-Indicatortabletext"/>
              <w:numPr>
                <w:ilvl w:val="0"/>
                <w:numId w:val="65"/>
              </w:numPr>
              <w:spacing w:after="60"/>
              <w:rPr>
                <w:rFonts w:cs="Calibri"/>
                <w:b/>
                <w:bCs/>
                <w:sz w:val="18"/>
                <w:szCs w:val="18"/>
              </w:rPr>
            </w:pPr>
            <w:r w:rsidRPr="3F4AE0BD">
              <w:rPr>
                <w:rFonts w:cs="Calibri"/>
                <w:b/>
                <w:bCs/>
                <w:sz w:val="18"/>
                <w:szCs w:val="18"/>
              </w:rPr>
              <w:t xml:space="preserve">share of total </w:t>
            </w:r>
            <w:r w:rsidR="005B3C23" w:rsidRPr="3F4AE0BD">
              <w:rPr>
                <w:rFonts w:cs="Calibri"/>
                <w:b/>
                <w:bCs/>
                <w:sz w:val="18"/>
                <w:szCs w:val="18"/>
              </w:rPr>
              <w:t xml:space="preserve">population </w:t>
            </w:r>
            <w:r w:rsidR="00841E23" w:rsidRPr="3F4AE0BD">
              <w:rPr>
                <w:rFonts w:cs="Calibri"/>
                <w:b/>
                <w:bCs/>
                <w:sz w:val="18"/>
                <w:szCs w:val="18"/>
              </w:rPr>
              <w:t xml:space="preserve">by type of region </w:t>
            </w:r>
            <w:r w:rsidR="00841E23" w:rsidRPr="007D3E04">
              <w:rPr>
                <w:rFonts w:cs="Calibri"/>
                <w:sz w:val="18"/>
                <w:szCs w:val="18"/>
              </w:rPr>
              <w:t>(predominantly rural, intermediate and predominantly urban)</w:t>
            </w:r>
            <w:r w:rsidR="00BD0876">
              <w:rPr>
                <w:rFonts w:cs="Calibri"/>
                <w:sz w:val="18"/>
                <w:szCs w:val="18"/>
              </w:rPr>
              <w:t xml:space="preserve"> </w:t>
            </w:r>
            <w:r w:rsidR="00BD0876" w:rsidRPr="790C88FB">
              <w:rPr>
                <w:rFonts w:cs="Calibri"/>
                <w:b/>
                <w:bCs/>
                <w:sz w:val="18"/>
                <w:szCs w:val="18"/>
              </w:rPr>
              <w:t>and by degree of urbanisation</w:t>
            </w:r>
            <w:r w:rsidR="00BD0876">
              <w:rPr>
                <w:rFonts w:cs="Calibri"/>
                <w:sz w:val="18"/>
                <w:szCs w:val="18"/>
              </w:rPr>
              <w:t xml:space="preserve"> (cities, towns and suburbs, rural areas)</w:t>
            </w:r>
          </w:p>
          <w:p w14:paraId="33F09CDE" w14:textId="426FFF30" w:rsidR="00841E23" w:rsidRPr="00421AD8" w:rsidRDefault="005432C4" w:rsidP="00665997">
            <w:pPr>
              <w:pStyle w:val="RD-Indicatortabletext"/>
              <w:numPr>
                <w:ilvl w:val="0"/>
                <w:numId w:val="65"/>
              </w:numPr>
              <w:spacing w:after="120"/>
              <w:ind w:left="714" w:hanging="357"/>
              <w:rPr>
                <w:rFonts w:cs="Calibri"/>
                <w:b/>
                <w:bCs/>
                <w:sz w:val="18"/>
                <w:szCs w:val="18"/>
              </w:rPr>
            </w:pPr>
            <w:r w:rsidRPr="3F4AE0BD">
              <w:rPr>
                <w:rFonts w:cs="Calibri"/>
                <w:b/>
                <w:bCs/>
                <w:sz w:val="18"/>
                <w:szCs w:val="18"/>
              </w:rPr>
              <w:t xml:space="preserve">share of total </w:t>
            </w:r>
            <w:r w:rsidR="005B3C23" w:rsidRPr="3F4AE0BD">
              <w:rPr>
                <w:rFonts w:cs="Calibri"/>
                <w:b/>
                <w:bCs/>
                <w:sz w:val="18"/>
                <w:szCs w:val="18"/>
              </w:rPr>
              <w:t xml:space="preserve">population </w:t>
            </w:r>
            <w:r w:rsidR="00764128" w:rsidRPr="3F4AE0BD">
              <w:rPr>
                <w:rFonts w:cs="Calibri"/>
                <w:b/>
                <w:bCs/>
                <w:sz w:val="18"/>
                <w:szCs w:val="18"/>
              </w:rPr>
              <w:t>by sex</w:t>
            </w:r>
          </w:p>
        </w:tc>
      </w:tr>
      <w:tr w:rsidR="00841E23" w:rsidRPr="00C34DE9" w14:paraId="2E0D4C11"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E4BFE8C" w14:textId="77777777" w:rsidR="00841E23" w:rsidRPr="00C34DE9" w:rsidRDefault="00841E2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4710425" w14:textId="49529B67" w:rsidR="00174385" w:rsidRPr="00AE59DD" w:rsidRDefault="00421AD8" w:rsidP="00AE59DD">
            <w:pPr>
              <w:spacing w:after="60"/>
            </w:pPr>
            <w:r>
              <w:t xml:space="preserve">1: </w:t>
            </w:r>
            <w:r w:rsidR="00AE59DD">
              <w:t>n</w:t>
            </w:r>
            <w:r w:rsidR="00DB31D4" w:rsidRPr="00AE59DD">
              <w:t xml:space="preserve">umber of </w:t>
            </w:r>
            <w:r w:rsidR="00174385" w:rsidRPr="00AE59DD">
              <w:t xml:space="preserve">persons </w:t>
            </w:r>
            <w:r w:rsidR="0054003A">
              <w:t>(in thousands)</w:t>
            </w:r>
          </w:p>
          <w:p w14:paraId="5EB8DDA0" w14:textId="77777777" w:rsidR="00841E23" w:rsidRDefault="00174385" w:rsidP="5CB4B133">
            <w:pPr>
              <w:spacing w:after="60"/>
              <w:rPr>
                <w:color w:val="000000" w:themeColor="text1"/>
              </w:rPr>
            </w:pPr>
            <w:r>
              <w:rPr>
                <w:rFonts w:ascii="Verdana" w:hAnsi="Verdana"/>
                <w:sz w:val="18"/>
                <w:szCs w:val="18"/>
              </w:rPr>
              <w:t>(where ‘</w:t>
            </w:r>
            <w:r w:rsidRPr="5CB4B133">
              <w:rPr>
                <w:color w:val="000000" w:themeColor="text1"/>
              </w:rPr>
              <w:t xml:space="preserve">persons’ comply with the 'usually resident population' concept as defined in </w:t>
            </w:r>
            <w:hyperlink r:id="rId12" w:history="1">
              <w:r w:rsidRPr="5CB4B133">
                <w:rPr>
                  <w:rStyle w:val="Hyperlink"/>
                  <w:color w:val="000000" w:themeColor="text1"/>
                </w:rPr>
                <w:t>EU Regulation 1260/2013</w:t>
              </w:r>
            </w:hyperlink>
            <w:r w:rsidRPr="5CB4B133">
              <w:rPr>
                <w:color w:val="000000" w:themeColor="text1"/>
              </w:rPr>
              <w:t xml:space="preserve"> on European demographic statistics)</w:t>
            </w:r>
          </w:p>
          <w:p w14:paraId="751B2953" w14:textId="63FCD86D" w:rsidR="00AE59DD" w:rsidRPr="00A00655" w:rsidRDefault="001E4908" w:rsidP="005432C4">
            <w:pPr>
              <w:spacing w:after="60"/>
            </w:pPr>
            <w:r>
              <w:t>2 -</w:t>
            </w:r>
            <w:r w:rsidR="00421AD8">
              <w:t xml:space="preserve"> 3</w:t>
            </w:r>
            <w:r w:rsidR="00501FAB">
              <w:t xml:space="preserve">: </w:t>
            </w:r>
            <w:r w:rsidR="005432C4">
              <w:t>%</w:t>
            </w:r>
            <w:r w:rsidR="00764128">
              <w:t xml:space="preserve"> </w:t>
            </w:r>
          </w:p>
        </w:tc>
      </w:tr>
      <w:tr w:rsidR="00841E23" w:rsidRPr="00C34DE9" w14:paraId="44D29970" w14:textId="77777777" w:rsidTr="240ABBB4">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4F2BE5D7" w14:textId="77777777" w:rsidR="00841E23" w:rsidRPr="00C34DE9" w:rsidRDefault="00841E2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21D55C0" w14:textId="77777777" w:rsidR="00DB31D4" w:rsidRPr="00C34DE9" w:rsidRDefault="00DB31D4" w:rsidP="00DB31D4">
            <w:pPr>
              <w:spacing w:after="60"/>
              <w:rPr>
                <w:rFonts w:ascii="Verdana" w:eastAsia="Times New Roman" w:hAnsi="Verdana"/>
                <w:sz w:val="18"/>
                <w:szCs w:val="18"/>
              </w:rPr>
            </w:pPr>
            <w:r w:rsidRPr="00C34DE9">
              <w:rPr>
                <w:rFonts w:ascii="Verdana" w:eastAsia="Times New Roman" w:hAnsi="Verdana"/>
                <w:sz w:val="18"/>
                <w:szCs w:val="18"/>
              </w:rPr>
              <w:t>Eurostat – Demography and migration</w:t>
            </w:r>
          </w:p>
          <w:p w14:paraId="1A6F8F21" w14:textId="77777777" w:rsidR="00841E23" w:rsidRPr="00C34DE9" w:rsidRDefault="00DB31D4" w:rsidP="00D11CB6">
            <w:pPr>
              <w:spacing w:after="60"/>
              <w:rPr>
                <w:rFonts w:ascii="Verdana" w:eastAsia="Times New Roman" w:hAnsi="Verdana"/>
                <w:sz w:val="18"/>
                <w:szCs w:val="18"/>
              </w:rPr>
            </w:pPr>
            <w:r w:rsidRPr="00C34DE9">
              <w:rPr>
                <w:rFonts w:ascii="Verdana" w:eastAsia="Times New Roman" w:hAnsi="Verdana"/>
                <w:sz w:val="18"/>
                <w:szCs w:val="18"/>
              </w:rPr>
              <w:t>Eurostat – Demography statistics by other typologies</w:t>
            </w:r>
          </w:p>
        </w:tc>
      </w:tr>
      <w:tr w:rsidR="00841E23" w:rsidRPr="00C34DE9" w14:paraId="4A255DE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E553D38" w14:textId="77777777" w:rsidR="00841E23" w:rsidRPr="00C34DE9" w:rsidRDefault="00841E2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71A7DE4" w14:textId="5736B120" w:rsidR="00841E23" w:rsidRDefault="00841E23" w:rsidP="00544872">
            <w:pPr>
              <w:spacing w:after="60"/>
              <w:rPr>
                <w:rFonts w:ascii="Verdana" w:eastAsia="Times New Roman" w:hAnsi="Verdana"/>
                <w:sz w:val="18"/>
                <w:szCs w:val="18"/>
              </w:rPr>
            </w:pPr>
            <w:r w:rsidRPr="00C34DE9">
              <w:rPr>
                <w:rFonts w:ascii="Verdana" w:hAnsi="Verdana"/>
                <w:sz w:val="18"/>
                <w:szCs w:val="18"/>
              </w:rPr>
              <w:t xml:space="preserve">National data: </w:t>
            </w:r>
            <w:r w:rsidR="00442971">
              <w:rPr>
                <w:rFonts w:ascii="Verdana" w:hAnsi="Verdana"/>
                <w:sz w:val="18"/>
                <w:szCs w:val="18"/>
              </w:rPr>
              <w:t>t</w:t>
            </w:r>
            <w:r w:rsidRPr="00C34DE9">
              <w:rPr>
                <w:rFonts w:ascii="Verdana" w:hAnsi="Verdana"/>
                <w:sz w:val="18"/>
                <w:szCs w:val="18"/>
              </w:rPr>
              <w:t>able</w:t>
            </w:r>
            <w:r w:rsidR="00764128">
              <w:rPr>
                <w:rFonts w:ascii="Verdana" w:hAnsi="Verdana"/>
                <w:sz w:val="18"/>
                <w:szCs w:val="18"/>
              </w:rPr>
              <w:t>s</w:t>
            </w:r>
            <w:r w:rsidR="00442971">
              <w:rPr>
                <w:rFonts w:ascii="Verdana" w:hAnsi="Verdana"/>
                <w:sz w:val="18"/>
                <w:szCs w:val="18"/>
              </w:rPr>
              <w:t xml:space="preserve"> </w:t>
            </w:r>
            <w:r w:rsidR="005D50BF" w:rsidRPr="00C34DE9">
              <w:rPr>
                <w:rFonts w:ascii="Verdana" w:eastAsia="Times New Roman" w:hAnsi="Verdana"/>
                <w:sz w:val="18"/>
                <w:szCs w:val="18"/>
              </w:rPr>
              <w:t>Population change - Demographic balance and crude rates at national level [</w:t>
            </w:r>
            <w:hyperlink r:id="rId13" w:history="1">
              <w:r w:rsidRPr="00C34DE9">
                <w:rPr>
                  <w:rStyle w:val="Hyperlink"/>
                  <w:rFonts w:ascii="Verdana" w:hAnsi="Verdana" w:cs="Calibri"/>
                  <w:sz w:val="18"/>
                  <w:szCs w:val="18"/>
                </w:rPr>
                <w:t>demo_gind</w:t>
              </w:r>
            </w:hyperlink>
            <w:r w:rsidR="005D50BF" w:rsidRPr="00C34DE9">
              <w:rPr>
                <w:rFonts w:ascii="Verdana" w:eastAsia="Times New Roman" w:hAnsi="Verdana"/>
                <w:sz w:val="18"/>
                <w:szCs w:val="18"/>
              </w:rPr>
              <w:t>]</w:t>
            </w:r>
            <w:r w:rsidR="00DB31D4" w:rsidRPr="00C34DE9">
              <w:rPr>
                <w:rFonts w:ascii="Verdana" w:eastAsia="Times New Roman" w:hAnsi="Verdana"/>
                <w:sz w:val="18"/>
                <w:szCs w:val="18"/>
              </w:rPr>
              <w:t xml:space="preserve"> </w:t>
            </w:r>
            <w:r w:rsidR="00764128">
              <w:rPr>
                <w:rFonts w:ascii="Verdana" w:eastAsia="Times New Roman" w:hAnsi="Verdana"/>
                <w:sz w:val="18"/>
                <w:szCs w:val="18"/>
              </w:rPr>
              <w:t xml:space="preserve"> and </w:t>
            </w:r>
            <w:r w:rsidR="00764128" w:rsidRPr="00764128">
              <w:rPr>
                <w:rFonts w:ascii="Verdana" w:eastAsia="Times New Roman" w:hAnsi="Verdana"/>
                <w:sz w:val="18"/>
                <w:szCs w:val="18"/>
              </w:rPr>
              <w:t>Population on 1 January by age and sex</w:t>
            </w:r>
            <w:r w:rsidR="00764128">
              <w:rPr>
                <w:rFonts w:ascii="Verdana" w:eastAsia="Times New Roman" w:hAnsi="Verdana"/>
                <w:sz w:val="18"/>
                <w:szCs w:val="18"/>
              </w:rPr>
              <w:t xml:space="preserve"> </w:t>
            </w:r>
            <w:r w:rsidR="00764128" w:rsidRPr="00764128">
              <w:rPr>
                <w:rFonts w:ascii="Verdana" w:eastAsia="Times New Roman" w:hAnsi="Verdana"/>
                <w:sz w:val="18"/>
                <w:szCs w:val="18"/>
              </w:rPr>
              <w:t>[</w:t>
            </w:r>
            <w:hyperlink r:id="rId14" w:history="1">
              <w:r w:rsidR="00764128" w:rsidRPr="00764128">
                <w:rPr>
                  <w:rStyle w:val="Hyperlink"/>
                  <w:rFonts w:ascii="Verdana" w:eastAsia="Times New Roman" w:hAnsi="Verdana"/>
                  <w:sz w:val="18"/>
                  <w:szCs w:val="18"/>
                </w:rPr>
                <w:t>demo_pjan</w:t>
              </w:r>
            </w:hyperlink>
            <w:r w:rsidR="00764128" w:rsidRPr="00764128">
              <w:rPr>
                <w:rFonts w:ascii="Verdana" w:eastAsia="Times New Roman" w:hAnsi="Verdana"/>
                <w:sz w:val="18"/>
                <w:szCs w:val="18"/>
              </w:rPr>
              <w:t>]</w:t>
            </w:r>
          </w:p>
          <w:p w14:paraId="542598A5" w14:textId="77777777" w:rsidR="00841E23" w:rsidRDefault="00841E23" w:rsidP="00D07A7C">
            <w:pPr>
              <w:spacing w:after="60"/>
              <w:rPr>
                <w:rFonts w:ascii="Verdana" w:eastAsia="Times New Roman" w:hAnsi="Verdana"/>
                <w:sz w:val="18"/>
                <w:szCs w:val="18"/>
              </w:rPr>
            </w:pPr>
            <w:r w:rsidRPr="00C34DE9">
              <w:rPr>
                <w:rFonts w:ascii="Verdana" w:hAnsi="Verdana"/>
                <w:sz w:val="18"/>
                <w:szCs w:val="18"/>
              </w:rPr>
              <w:t xml:space="preserve">National data, by typology: table </w:t>
            </w:r>
            <w:r w:rsidR="005D50BF" w:rsidRPr="00C34DE9">
              <w:rPr>
                <w:rFonts w:ascii="Verdana" w:eastAsia="Times New Roman" w:hAnsi="Verdana"/>
                <w:sz w:val="18"/>
                <w:szCs w:val="18"/>
              </w:rPr>
              <w:t xml:space="preserve">Demographic balance and crude rates </w:t>
            </w:r>
            <w:r w:rsidR="00D07A7C" w:rsidRPr="00C34DE9">
              <w:rPr>
                <w:rFonts w:ascii="Verdana" w:eastAsia="Times New Roman" w:hAnsi="Verdana"/>
                <w:sz w:val="18"/>
                <w:szCs w:val="18"/>
              </w:rPr>
              <w:t xml:space="preserve">by other typologies </w:t>
            </w:r>
            <w:r w:rsidR="005D50BF" w:rsidRPr="00C34DE9">
              <w:rPr>
                <w:rFonts w:ascii="Verdana" w:eastAsia="Times New Roman" w:hAnsi="Verdana"/>
                <w:sz w:val="18"/>
                <w:szCs w:val="18"/>
              </w:rPr>
              <w:t>[</w:t>
            </w:r>
            <w:hyperlink r:id="rId15" w:history="1">
              <w:r w:rsidR="005D50BF" w:rsidRPr="00C34DE9">
                <w:rPr>
                  <w:rStyle w:val="Hyperlink"/>
                  <w:rFonts w:ascii="Verdana" w:eastAsia="Times New Roman" w:hAnsi="Verdana"/>
                  <w:sz w:val="18"/>
                  <w:szCs w:val="18"/>
                </w:rPr>
                <w:t>urt_gind3</w:t>
              </w:r>
            </w:hyperlink>
            <w:r w:rsidR="005D50BF" w:rsidRPr="00C34DE9">
              <w:rPr>
                <w:rFonts w:ascii="Verdana" w:eastAsia="Times New Roman" w:hAnsi="Verdana"/>
                <w:sz w:val="18"/>
                <w:szCs w:val="18"/>
              </w:rPr>
              <w:t>]</w:t>
            </w:r>
          </w:p>
          <w:p w14:paraId="5B29F07E" w14:textId="77777777" w:rsidR="00BB3167" w:rsidRPr="00C34DE9" w:rsidRDefault="00A90BF5" w:rsidP="0F8DA3D5">
            <w:pPr>
              <w:spacing w:after="60"/>
              <w:rPr>
                <w:rFonts w:ascii="Verdana" w:eastAsia="Times New Roman" w:hAnsi="Verdana"/>
                <w:color w:val="0000FF"/>
                <w:sz w:val="18"/>
                <w:szCs w:val="18"/>
                <w:u w:val="single"/>
              </w:rPr>
            </w:pPr>
            <w:r>
              <w:rPr>
                <w:rFonts w:ascii="Verdana" w:eastAsia="Times New Roman" w:hAnsi="Verdana"/>
                <w:sz w:val="18"/>
                <w:szCs w:val="18"/>
              </w:rPr>
              <w:t>R</w:t>
            </w:r>
            <w:r w:rsidR="00BB3167">
              <w:rPr>
                <w:rFonts w:ascii="Verdana" w:hAnsi="Verdana"/>
                <w:sz w:val="18"/>
                <w:szCs w:val="18"/>
              </w:rPr>
              <w:t xml:space="preserve">egional </w:t>
            </w:r>
            <w:r w:rsidR="00BB3167" w:rsidRPr="00C34DE9">
              <w:rPr>
                <w:rFonts w:ascii="Verdana" w:hAnsi="Verdana"/>
                <w:sz w:val="18"/>
                <w:szCs w:val="18"/>
              </w:rPr>
              <w:t>data: Table</w:t>
            </w:r>
            <w:r w:rsidR="00DF4D0B">
              <w:rPr>
                <w:rFonts w:ascii="Verdana" w:hAnsi="Verdana"/>
                <w:sz w:val="18"/>
                <w:szCs w:val="18"/>
              </w:rPr>
              <w:t>s</w:t>
            </w:r>
            <w:r w:rsidR="00BB3167" w:rsidRPr="00C34DE9">
              <w:rPr>
                <w:rFonts w:ascii="Verdana" w:hAnsi="Verdana"/>
                <w:sz w:val="18"/>
                <w:szCs w:val="18"/>
              </w:rPr>
              <w:t xml:space="preserve"> </w:t>
            </w:r>
            <w:r w:rsidR="00BB3167" w:rsidRPr="00C34DE9">
              <w:rPr>
                <w:rFonts w:ascii="Verdana" w:eastAsia="Times New Roman" w:hAnsi="Verdana"/>
                <w:sz w:val="18"/>
                <w:szCs w:val="18"/>
              </w:rPr>
              <w:t>Population change - Demographic balance and crude rates at regional level (NUTS</w:t>
            </w:r>
            <w:r w:rsidR="00BB3167">
              <w:rPr>
                <w:rFonts w:ascii="Verdana" w:eastAsia="Times New Roman" w:hAnsi="Verdana"/>
                <w:sz w:val="18"/>
                <w:szCs w:val="18"/>
              </w:rPr>
              <w:t xml:space="preserve"> </w:t>
            </w:r>
            <w:r w:rsidR="00BB3167" w:rsidRPr="00C34DE9">
              <w:rPr>
                <w:rFonts w:ascii="Verdana" w:eastAsia="Times New Roman" w:hAnsi="Verdana"/>
                <w:sz w:val="18"/>
                <w:szCs w:val="18"/>
              </w:rPr>
              <w:t>3) [</w:t>
            </w:r>
            <w:hyperlink r:id="rId16" w:history="1">
              <w:r w:rsidR="00BB3167" w:rsidRPr="00C34DE9">
                <w:rPr>
                  <w:rStyle w:val="Hyperlink"/>
                  <w:rFonts w:ascii="Verdana" w:hAnsi="Verdana" w:cs="Calibri"/>
                  <w:sz w:val="18"/>
                  <w:szCs w:val="18"/>
                </w:rPr>
                <w:t>demo_r_gind3</w:t>
              </w:r>
            </w:hyperlink>
            <w:r w:rsidR="00BB3167" w:rsidRPr="00C34DE9">
              <w:rPr>
                <w:rFonts w:ascii="Verdana" w:eastAsia="Times New Roman" w:hAnsi="Verdana"/>
                <w:sz w:val="18"/>
                <w:szCs w:val="18"/>
              </w:rPr>
              <w:t>]</w:t>
            </w:r>
            <w:r w:rsidR="00DF4D0B">
              <w:rPr>
                <w:rFonts w:ascii="Verdana" w:eastAsia="Times New Roman" w:hAnsi="Verdana"/>
                <w:sz w:val="18"/>
                <w:szCs w:val="18"/>
              </w:rPr>
              <w:t xml:space="preserve"> and </w:t>
            </w:r>
            <w:r w:rsidR="00DF4D0B" w:rsidRPr="00DF4D0B">
              <w:rPr>
                <w:rFonts w:ascii="Verdana" w:eastAsia="Times New Roman" w:hAnsi="Verdana"/>
                <w:sz w:val="18"/>
                <w:szCs w:val="18"/>
              </w:rPr>
              <w:t>Population on 1 January by age group, sex and NUTS 3 region</w:t>
            </w:r>
            <w:r w:rsidR="00DF4D0B">
              <w:rPr>
                <w:rFonts w:ascii="Verdana" w:eastAsia="Times New Roman" w:hAnsi="Verdana"/>
                <w:sz w:val="18"/>
                <w:szCs w:val="18"/>
              </w:rPr>
              <w:t xml:space="preserve"> </w:t>
            </w:r>
            <w:r w:rsidR="00DF4D0B" w:rsidRPr="00DF4D0B">
              <w:rPr>
                <w:rFonts w:ascii="Verdana" w:eastAsia="Times New Roman" w:hAnsi="Verdana"/>
                <w:sz w:val="18"/>
                <w:szCs w:val="18"/>
              </w:rPr>
              <w:t>[</w:t>
            </w:r>
            <w:hyperlink r:id="rId17" w:history="1">
              <w:r w:rsidR="00DF4D0B" w:rsidRPr="00DF4D0B">
                <w:rPr>
                  <w:rStyle w:val="Hyperlink"/>
                  <w:rFonts w:ascii="Verdana" w:eastAsia="Times New Roman" w:hAnsi="Verdana"/>
                  <w:sz w:val="18"/>
                  <w:szCs w:val="18"/>
                </w:rPr>
                <w:t>demo_r_pjangrp3</w:t>
              </w:r>
            </w:hyperlink>
            <w:r w:rsidR="00DF4D0B" w:rsidRPr="00DF4D0B">
              <w:rPr>
                <w:rFonts w:ascii="Verdana" w:eastAsia="Times New Roman" w:hAnsi="Verdana"/>
                <w:sz w:val="18"/>
                <w:szCs w:val="18"/>
              </w:rPr>
              <w:t>]</w:t>
            </w:r>
          </w:p>
          <w:p w14:paraId="0EA0B969" w14:textId="2825F7F9" w:rsidR="0B067EB4" w:rsidRDefault="0B067EB4" w:rsidP="0B067EB4">
            <w:pPr>
              <w:spacing w:after="60"/>
              <w:rPr>
                <w:rFonts w:ascii="Verdana" w:eastAsia="Times New Roman" w:hAnsi="Verdana"/>
                <w:sz w:val="18"/>
                <w:szCs w:val="18"/>
              </w:rPr>
            </w:pPr>
          </w:p>
          <w:p w14:paraId="350B89E5" w14:textId="68360FAF" w:rsidR="00890EA8" w:rsidRDefault="00890EA8" w:rsidP="00890EA8">
            <w:pPr>
              <w:spacing w:after="60"/>
              <w:rPr>
                <w:rFonts w:ascii="Verdana" w:eastAsia="Times New Roman" w:hAnsi="Verdana"/>
                <w:sz w:val="18"/>
                <w:szCs w:val="18"/>
              </w:rPr>
            </w:pPr>
            <w:r w:rsidRPr="627DAE39">
              <w:rPr>
                <w:rFonts w:ascii="Verdana" w:hAnsi="Verdana"/>
                <w:sz w:val="18"/>
                <w:szCs w:val="18"/>
              </w:rPr>
              <w:t>Most recent urban-rural typology</w:t>
            </w:r>
            <w:r>
              <w:rPr>
                <w:rFonts w:ascii="Verdana" w:hAnsi="Verdana"/>
                <w:sz w:val="18"/>
                <w:szCs w:val="18"/>
              </w:rPr>
              <w:t xml:space="preserve"> definition</w:t>
            </w:r>
            <w:r w:rsidRPr="627DAE39">
              <w:rPr>
                <w:rFonts w:ascii="Verdana" w:hAnsi="Verdana"/>
                <w:sz w:val="18"/>
                <w:szCs w:val="18"/>
              </w:rPr>
              <w:t xml:space="preserve">: </w:t>
            </w:r>
            <w:hyperlink r:id="rId18" w:history="1">
              <w:r>
                <w:rPr>
                  <w:rStyle w:val="Hyperlink"/>
                </w:rPr>
                <w:t>Methodology - Rural development - Eurostat (europa.eu)</w:t>
              </w:r>
            </w:hyperlink>
            <w:r w:rsidRPr="240ABBB4">
              <w:t>.</w:t>
            </w:r>
          </w:p>
          <w:p w14:paraId="415DE4F5" w14:textId="5B2AD838" w:rsidR="00BB3167" w:rsidRPr="001170BE" w:rsidRDefault="00890EA8" w:rsidP="00DF4D0B">
            <w:pPr>
              <w:spacing w:after="60"/>
              <w:rPr>
                <w:rFonts w:ascii="Verdana" w:eastAsia="Times New Roman" w:hAnsi="Verdana"/>
                <w:color w:val="0000FF"/>
                <w:sz w:val="18"/>
                <w:szCs w:val="18"/>
                <w:u w:val="single"/>
              </w:rPr>
            </w:pPr>
            <w:r w:rsidRPr="7A95C86D">
              <w:rPr>
                <w:rFonts w:ascii="Verdana" w:eastAsia="Times New Roman" w:hAnsi="Verdana"/>
                <w:sz w:val="18"/>
                <w:szCs w:val="18"/>
              </w:rPr>
              <w:t>The di</w:t>
            </w:r>
            <w:r>
              <w:rPr>
                <w:rFonts w:ascii="Verdana" w:eastAsia="Times New Roman" w:hAnsi="Verdana"/>
                <w:sz w:val="18"/>
                <w:szCs w:val="18"/>
              </w:rPr>
              <w:t>stribution of population by degree of urbanisation will be available by 2023 onwards (census – Eurostat).</w:t>
            </w:r>
          </w:p>
        </w:tc>
      </w:tr>
      <w:tr w:rsidR="00841E23" w:rsidRPr="00ED2A3A" w14:paraId="0AFFD0F7"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68F302C" w14:textId="77777777" w:rsidR="00841E23" w:rsidRPr="00C34DE9" w:rsidRDefault="00841E23" w:rsidP="5CB4B133">
            <w:pPr>
              <w:spacing w:after="60"/>
              <w:rPr>
                <w:rFonts w:ascii="Verdana" w:hAnsi="Verdana"/>
                <w:b/>
                <w:bCs/>
                <w:sz w:val="18"/>
                <w:szCs w:val="18"/>
              </w:rPr>
            </w:pPr>
            <w:r w:rsidRPr="5CB4B133">
              <w:rPr>
                <w:rFonts w:ascii="Verdana" w:hAnsi="Verdana"/>
                <w:b/>
                <w:bCs/>
                <w:sz w:val="18"/>
                <w:szCs w:val="18"/>
              </w:rPr>
              <w:t>Data collection</w:t>
            </w:r>
            <w:r w:rsidR="00DB31D4"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E37BAA4" w14:textId="77777777" w:rsidR="00DB31D4" w:rsidRPr="00ED2A3A" w:rsidDel="00F9611E" w:rsidRDefault="00841E23" w:rsidP="00CC5261">
            <w:pPr>
              <w:spacing w:after="60"/>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 xml:space="preserve">ational (NUTS 0) </w:t>
            </w:r>
            <w:r w:rsidR="00CC5261" w:rsidRPr="00CC5261">
              <w:rPr>
                <w:rFonts w:ascii="Verdana" w:hAnsi="Verdana"/>
                <w:sz w:val="18"/>
                <w:szCs w:val="18"/>
              </w:rPr>
              <w:t>and demographic data at regional level (NUTS 3) which are used to compute population by regional typology</w:t>
            </w:r>
            <w:r w:rsidR="00DB31D4" w:rsidRPr="00C34DE9">
              <w:rPr>
                <w:rFonts w:ascii="Verdana" w:hAnsi="Verdana"/>
                <w:sz w:val="18"/>
                <w:szCs w:val="18"/>
              </w:rPr>
              <w:t xml:space="preserve"> (predominantly rural, intermediate and predominantly urban)</w:t>
            </w:r>
          </w:p>
        </w:tc>
      </w:tr>
      <w:tr w:rsidR="00841E23" w:rsidRPr="00ED2A3A" w14:paraId="191792FA" w14:textId="77777777" w:rsidTr="240ABBB4">
        <w:trPr>
          <w:trHeight w:val="257"/>
        </w:trPr>
        <w:tc>
          <w:tcPr>
            <w:tcW w:w="2518" w:type="dxa"/>
            <w:tcBorders>
              <w:top w:val="single" w:sz="4" w:space="0" w:color="auto"/>
              <w:left w:val="single" w:sz="4" w:space="0" w:color="auto"/>
              <w:bottom w:val="single" w:sz="4" w:space="0" w:color="auto"/>
              <w:right w:val="single" w:sz="4" w:space="0" w:color="auto"/>
            </w:tcBorders>
            <w:vAlign w:val="center"/>
          </w:tcPr>
          <w:p w14:paraId="13004DBA" w14:textId="77777777" w:rsidR="00841E23" w:rsidRPr="00ED2A3A" w:rsidRDefault="00841E2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DB2A2AE" w14:textId="77777777" w:rsidR="00841E23" w:rsidRPr="00ED2A3A" w:rsidRDefault="00841E23" w:rsidP="00544872">
            <w:pPr>
              <w:spacing w:after="60"/>
              <w:rPr>
                <w:rFonts w:ascii="Verdana" w:eastAsia="Times New Roman" w:hAnsi="Verdana"/>
                <w:sz w:val="18"/>
                <w:szCs w:val="18"/>
              </w:rPr>
            </w:pPr>
            <w:r w:rsidRPr="00ED2A3A">
              <w:rPr>
                <w:rFonts w:ascii="Verdana" w:eastAsia="Times New Roman" w:hAnsi="Verdana"/>
                <w:sz w:val="18"/>
                <w:szCs w:val="18"/>
              </w:rPr>
              <w:t>Annual</w:t>
            </w:r>
          </w:p>
        </w:tc>
      </w:tr>
      <w:tr w:rsidR="00841E23" w:rsidRPr="00ED2A3A" w14:paraId="1EAF89EF" w14:textId="77777777" w:rsidTr="240ABBB4">
        <w:trPr>
          <w:trHeight w:val="234"/>
        </w:trPr>
        <w:tc>
          <w:tcPr>
            <w:tcW w:w="2518" w:type="dxa"/>
            <w:tcBorders>
              <w:top w:val="single" w:sz="4" w:space="0" w:color="auto"/>
              <w:left w:val="single" w:sz="4" w:space="0" w:color="auto"/>
              <w:bottom w:val="single" w:sz="4" w:space="0" w:color="auto"/>
              <w:right w:val="single" w:sz="4" w:space="0" w:color="auto"/>
            </w:tcBorders>
            <w:vAlign w:val="center"/>
          </w:tcPr>
          <w:p w14:paraId="386E4947" w14:textId="77777777" w:rsidR="00841E23" w:rsidRPr="00ED2A3A"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9FDF511" w14:textId="77777777" w:rsidR="00841E23" w:rsidRPr="00ED2A3A" w:rsidRDefault="00841E23" w:rsidP="00544872">
            <w:pPr>
              <w:spacing w:after="60"/>
              <w:rPr>
                <w:rFonts w:ascii="Verdana" w:hAnsi="Verdana"/>
                <w:sz w:val="18"/>
                <w:szCs w:val="18"/>
                <w:lang w:val="en-US"/>
              </w:rPr>
            </w:pPr>
            <w:r w:rsidRPr="00ED2A3A">
              <w:rPr>
                <w:rFonts w:ascii="Verdana" w:hAnsi="Verdana"/>
                <w:sz w:val="18"/>
                <w:szCs w:val="18"/>
                <w:lang w:val="en-US"/>
              </w:rPr>
              <w:t>1 year</w:t>
            </w:r>
          </w:p>
        </w:tc>
      </w:tr>
      <w:tr w:rsidR="00841E23" w:rsidRPr="00ED2A3A" w14:paraId="307248CD"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4F4B59EF" w14:textId="77777777" w:rsidR="00841E23" w:rsidRPr="00ED2A3A" w:rsidRDefault="00841E2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8C603F0" w14:textId="77777777" w:rsidR="00841E23" w:rsidRDefault="00841E23" w:rsidP="00544872">
            <w:pPr>
              <w:spacing w:after="60"/>
              <w:jc w:val="both"/>
              <w:rPr>
                <w:rFonts w:ascii="Verdana" w:eastAsia="Times New Roman" w:hAnsi="Verdana"/>
                <w:sz w:val="18"/>
                <w:szCs w:val="18"/>
              </w:rPr>
            </w:pPr>
            <w:r w:rsidRPr="00ED2A3A">
              <w:rPr>
                <w:rFonts w:ascii="Verdana" w:eastAsia="Times New Roman" w:hAnsi="Verdana"/>
                <w:sz w:val="18"/>
                <w:szCs w:val="18"/>
              </w:rPr>
              <w:t>The distribution of population by type of region has been calculated using the Commission's urban-rural typology, which classifies NUTS 3 regions into predominantly rural, intermediate and predominantly urban.</w:t>
            </w:r>
          </w:p>
          <w:p w14:paraId="7F91C70E" w14:textId="163D0457" w:rsidR="00BF2CFB" w:rsidRPr="00421AD8" w:rsidRDefault="00BF2CFB" w:rsidP="00D07A7C">
            <w:pPr>
              <w:spacing w:after="60"/>
              <w:jc w:val="both"/>
              <w:rPr>
                <w:rFonts w:ascii="Verdana" w:hAnsi="Verdana"/>
                <w:sz w:val="18"/>
                <w:szCs w:val="18"/>
              </w:rPr>
            </w:pPr>
            <w:r w:rsidRPr="00421AD8">
              <w:rPr>
                <w:rFonts w:ascii="Verdana" w:hAnsi="Verdana"/>
                <w:sz w:val="18"/>
                <w:szCs w:val="18"/>
              </w:rPr>
              <w:t xml:space="preserve">Some Member States have only some </w:t>
            </w:r>
            <w:r w:rsidR="00CC5261" w:rsidRPr="00421AD8">
              <w:rPr>
                <w:rFonts w:ascii="Verdana" w:hAnsi="Verdana"/>
                <w:sz w:val="18"/>
                <w:szCs w:val="18"/>
              </w:rPr>
              <w:t xml:space="preserve">types of </w:t>
            </w:r>
            <w:r w:rsidR="00890EA8">
              <w:rPr>
                <w:rFonts w:ascii="Verdana" w:hAnsi="Verdana"/>
                <w:sz w:val="18"/>
                <w:szCs w:val="18"/>
              </w:rPr>
              <w:t>regions, or data for some regions</w:t>
            </w:r>
            <w:r w:rsidRPr="00421AD8">
              <w:rPr>
                <w:rFonts w:ascii="Verdana" w:hAnsi="Verdana"/>
                <w:sz w:val="18"/>
                <w:szCs w:val="18"/>
              </w:rPr>
              <w:t>:</w:t>
            </w:r>
          </w:p>
          <w:p w14:paraId="168E5F1F" w14:textId="7569F68A" w:rsidR="00D07A7C" w:rsidRPr="00421AD8" w:rsidRDefault="00D07A7C" w:rsidP="00665997">
            <w:pPr>
              <w:pStyle w:val="ListParagraph"/>
              <w:numPr>
                <w:ilvl w:val="0"/>
                <w:numId w:val="74"/>
              </w:numPr>
              <w:spacing w:after="60"/>
              <w:jc w:val="both"/>
              <w:rPr>
                <w:rFonts w:ascii="Verdana" w:hAnsi="Verdana"/>
                <w:sz w:val="18"/>
                <w:szCs w:val="18"/>
              </w:rPr>
            </w:pPr>
            <w:r w:rsidRPr="00421AD8">
              <w:rPr>
                <w:rFonts w:ascii="Verdana" w:hAnsi="Verdana"/>
                <w:sz w:val="18"/>
                <w:szCs w:val="18"/>
              </w:rPr>
              <w:t>MT</w:t>
            </w:r>
            <w:r w:rsidR="00BF2CFB" w:rsidRPr="00421AD8">
              <w:rPr>
                <w:rFonts w:ascii="Verdana" w:hAnsi="Verdana"/>
                <w:sz w:val="18"/>
                <w:szCs w:val="18"/>
              </w:rPr>
              <w:t xml:space="preserve"> – only </w:t>
            </w:r>
            <w:r w:rsidR="002F6287" w:rsidRPr="00421AD8">
              <w:rPr>
                <w:rFonts w:ascii="Verdana" w:hAnsi="Verdana"/>
                <w:sz w:val="18"/>
                <w:szCs w:val="18"/>
              </w:rPr>
              <w:t xml:space="preserve">predominantly </w:t>
            </w:r>
            <w:r w:rsidR="00890EA8">
              <w:rPr>
                <w:rFonts w:ascii="Verdana" w:hAnsi="Verdana"/>
                <w:sz w:val="18"/>
                <w:szCs w:val="18"/>
              </w:rPr>
              <w:t>urban regions</w:t>
            </w:r>
            <w:r w:rsidR="00BF2CFB" w:rsidRPr="00421AD8">
              <w:rPr>
                <w:rFonts w:ascii="Verdana" w:hAnsi="Verdana"/>
                <w:sz w:val="18"/>
                <w:szCs w:val="18"/>
              </w:rPr>
              <w:t>,</w:t>
            </w:r>
          </w:p>
          <w:p w14:paraId="6EE3E5A0" w14:textId="0461243F" w:rsidR="00BF2CFB" w:rsidRPr="00421AD8" w:rsidRDefault="00BF2CFB" w:rsidP="00665997">
            <w:pPr>
              <w:pStyle w:val="ListParagraph"/>
              <w:numPr>
                <w:ilvl w:val="0"/>
                <w:numId w:val="74"/>
              </w:numPr>
              <w:spacing w:after="120"/>
              <w:ind w:left="714" w:hanging="357"/>
              <w:jc w:val="both"/>
              <w:rPr>
                <w:rFonts w:ascii="Verdana" w:hAnsi="Verdana"/>
                <w:sz w:val="18"/>
                <w:szCs w:val="18"/>
              </w:rPr>
            </w:pPr>
            <w:r w:rsidRPr="00421AD8">
              <w:rPr>
                <w:rFonts w:ascii="Verdana" w:hAnsi="Verdana"/>
                <w:sz w:val="18"/>
                <w:szCs w:val="18"/>
              </w:rPr>
              <w:t>CY</w:t>
            </w:r>
            <w:r w:rsidR="00890EA8">
              <w:rPr>
                <w:rFonts w:ascii="Verdana" w:hAnsi="Verdana"/>
                <w:sz w:val="18"/>
                <w:szCs w:val="18"/>
              </w:rPr>
              <w:t xml:space="preserve"> and LU – only intermediate regions</w:t>
            </w:r>
            <w:r w:rsidRPr="00421AD8">
              <w:rPr>
                <w:rFonts w:ascii="Verdana" w:hAnsi="Verdana"/>
                <w:sz w:val="18"/>
                <w:szCs w:val="18"/>
              </w:rPr>
              <w:t>,</w:t>
            </w:r>
          </w:p>
          <w:p w14:paraId="1F4836FD" w14:textId="69FD93F9" w:rsidR="00BF2CFB" w:rsidRPr="00421AD8" w:rsidRDefault="00BF2CFB" w:rsidP="00665997">
            <w:pPr>
              <w:pStyle w:val="ListParagraph"/>
              <w:numPr>
                <w:ilvl w:val="0"/>
                <w:numId w:val="74"/>
              </w:numPr>
              <w:spacing w:after="120"/>
              <w:ind w:left="714" w:hanging="357"/>
              <w:jc w:val="both"/>
              <w:rPr>
                <w:rFonts w:ascii="Verdana" w:hAnsi="Verdana"/>
                <w:sz w:val="18"/>
                <w:szCs w:val="18"/>
              </w:rPr>
            </w:pPr>
            <w:r w:rsidRPr="00421AD8">
              <w:rPr>
                <w:rFonts w:ascii="Verdana" w:hAnsi="Verdana"/>
                <w:sz w:val="18"/>
                <w:szCs w:val="18"/>
              </w:rPr>
              <w:t xml:space="preserve">SI – only </w:t>
            </w:r>
            <w:r w:rsidR="002F6287" w:rsidRPr="00421AD8">
              <w:rPr>
                <w:rFonts w:ascii="Verdana" w:hAnsi="Verdana"/>
                <w:sz w:val="18"/>
                <w:szCs w:val="18"/>
              </w:rPr>
              <w:t xml:space="preserve">predominantly </w:t>
            </w:r>
            <w:r w:rsidR="00890EA8">
              <w:rPr>
                <w:rFonts w:ascii="Verdana" w:hAnsi="Verdana"/>
                <w:sz w:val="18"/>
                <w:szCs w:val="18"/>
              </w:rPr>
              <w:t>rural and intermediate regions</w:t>
            </w:r>
            <w:r w:rsidR="00421AD8" w:rsidRPr="00421AD8">
              <w:rPr>
                <w:rFonts w:ascii="Verdana" w:hAnsi="Verdana"/>
                <w:sz w:val="18"/>
                <w:szCs w:val="18"/>
              </w:rPr>
              <w:t>.</w:t>
            </w:r>
          </w:p>
        </w:tc>
      </w:tr>
    </w:tbl>
    <w:p w14:paraId="2B5F9F7D" w14:textId="77777777" w:rsidR="00841E23" w:rsidRPr="00ED2A3A" w:rsidRDefault="00841E23" w:rsidP="00544872">
      <w:pPr>
        <w:spacing w:after="60"/>
        <w:rPr>
          <w:rFonts w:ascii="Verdana" w:hAnsi="Verdana"/>
          <w:b/>
          <w:sz w:val="18"/>
          <w:szCs w:val="18"/>
        </w:rPr>
      </w:pPr>
    </w:p>
    <w:p w14:paraId="0E764F09" w14:textId="77777777" w:rsidR="00D8259C" w:rsidRPr="00C34DE9" w:rsidRDefault="00940A4E" w:rsidP="00994391">
      <w:pPr>
        <w:spacing w:after="60"/>
        <w:rPr>
          <w:rFonts w:ascii="Verdana" w:hAnsi="Verdana"/>
          <w:sz w:val="18"/>
          <w:szCs w:val="18"/>
        </w:rPr>
      </w:pPr>
      <w:r w:rsidRPr="00ED2A3A">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D8259C" w:rsidRPr="00C34DE9" w14:paraId="3A846C0F"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BC2D0D4" w14:textId="77777777" w:rsidR="00D8259C" w:rsidRPr="00C34DE9" w:rsidRDefault="00D8259C" w:rsidP="5CB4B133">
            <w:pPr>
              <w:spacing w:after="60"/>
              <w:rPr>
                <w:rFonts w:ascii="Verdana" w:hAnsi="Verdana"/>
                <w:b/>
                <w:bCs/>
                <w:sz w:val="18"/>
                <w:szCs w:val="18"/>
              </w:rPr>
            </w:pPr>
            <w:r w:rsidRPr="5CB4B133">
              <w:rPr>
                <w:rFonts w:ascii="Verdana" w:hAnsi="Verdana"/>
                <w:b/>
                <w:bCs/>
                <w:smallCaps/>
                <w:sz w:val="18"/>
                <w:szCs w:val="18"/>
              </w:rPr>
              <w:lastRenderedPageBreak/>
              <w:t xml:space="preserve">Indicator </w:t>
            </w:r>
            <w:bookmarkStart w:id="2" w:name="C02"/>
            <w:r w:rsidRPr="5CB4B133">
              <w:rPr>
                <w:rFonts w:ascii="Verdana" w:hAnsi="Verdana"/>
                <w:b/>
                <w:bCs/>
                <w:smallCaps/>
                <w:sz w:val="18"/>
                <w:szCs w:val="18"/>
              </w:rPr>
              <w:t>C.02</w:t>
            </w:r>
            <w:bookmarkEnd w:id="2"/>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BD23693" w14:textId="77777777" w:rsidR="004F1363" w:rsidRPr="00C34DE9" w:rsidRDefault="004F1363" w:rsidP="004F1363">
            <w:pPr>
              <w:spacing w:after="60"/>
              <w:rPr>
                <w:rFonts w:ascii="Verdana" w:hAnsi="Verdana"/>
                <w:caps/>
                <w:sz w:val="18"/>
                <w:szCs w:val="18"/>
              </w:rPr>
            </w:pPr>
          </w:p>
        </w:tc>
      </w:tr>
      <w:tr w:rsidR="00D8259C" w:rsidRPr="00C34DE9" w14:paraId="79F5F3E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532604E"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8A5568A" w14:textId="77777777" w:rsidR="00D8259C" w:rsidRPr="00C34DE9" w:rsidRDefault="00D8259C" w:rsidP="5CB4B133">
            <w:pPr>
              <w:spacing w:after="60"/>
              <w:jc w:val="center"/>
              <w:rPr>
                <w:rFonts w:ascii="Verdana" w:hAnsi="Verdana"/>
                <w:b/>
                <w:bCs/>
                <w:color w:val="808080"/>
                <w:sz w:val="18"/>
                <w:szCs w:val="18"/>
              </w:rPr>
            </w:pPr>
            <w:r w:rsidRPr="5CB4B133">
              <w:rPr>
                <w:rFonts w:ascii="Verdana" w:hAnsi="Verdana"/>
                <w:b/>
                <w:bCs/>
                <w:sz w:val="18"/>
                <w:szCs w:val="18"/>
              </w:rPr>
              <w:t>Population density</w:t>
            </w:r>
          </w:p>
        </w:tc>
      </w:tr>
      <w:tr w:rsidR="00D8259C" w:rsidRPr="00C34DE9" w14:paraId="4EADB3A2"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6B9AC3DA"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B58616E" w14:textId="5606695D" w:rsidR="00D8259C" w:rsidRPr="00C34DE9" w:rsidRDefault="00D8259C" w:rsidP="5CB4B133">
            <w:pPr>
              <w:pStyle w:val="RD-Indicatortabletext"/>
              <w:spacing w:after="60"/>
              <w:jc w:val="both"/>
              <w:rPr>
                <w:rFonts w:cs="Calibri"/>
                <w:b/>
                <w:bCs/>
                <w:sz w:val="18"/>
                <w:szCs w:val="18"/>
              </w:rPr>
            </w:pPr>
            <w:r w:rsidRPr="00C34DE9">
              <w:rPr>
                <w:rFonts w:cs="Calibri"/>
                <w:sz w:val="18"/>
                <w:szCs w:val="18"/>
              </w:rPr>
              <w:t xml:space="preserve">This indicator is calculated as the </w:t>
            </w:r>
            <w:r w:rsidRPr="5CB4B133">
              <w:rPr>
                <w:rFonts w:cs="Calibri"/>
                <w:b/>
                <w:bCs/>
                <w:sz w:val="18"/>
                <w:szCs w:val="18"/>
              </w:rPr>
              <w:t xml:space="preserve">annual average population </w:t>
            </w:r>
            <w:r w:rsidR="0073366C" w:rsidRPr="00C34DE9">
              <w:rPr>
                <w:rFonts w:cs="Calibri"/>
                <w:sz w:val="18"/>
                <w:szCs w:val="18"/>
              </w:rPr>
              <w:t>divided by the</w:t>
            </w:r>
            <w:r w:rsidR="0073366C" w:rsidRPr="5CB4B133">
              <w:rPr>
                <w:rFonts w:cs="Calibri"/>
                <w:b/>
                <w:bCs/>
                <w:sz w:val="18"/>
                <w:szCs w:val="18"/>
              </w:rPr>
              <w:t xml:space="preserve"> </w:t>
            </w:r>
            <w:r w:rsidRPr="5CB4B133">
              <w:rPr>
                <w:rFonts w:cs="Calibri"/>
                <w:b/>
                <w:bCs/>
                <w:sz w:val="18"/>
                <w:szCs w:val="18"/>
              </w:rPr>
              <w:t xml:space="preserve">land area </w:t>
            </w:r>
            <w:r w:rsidRPr="00C34DE9">
              <w:rPr>
                <w:rFonts w:cs="Calibri"/>
                <w:sz w:val="18"/>
                <w:szCs w:val="18"/>
              </w:rPr>
              <w:t xml:space="preserve">and refers to the number of </w:t>
            </w:r>
            <w:r w:rsidR="009D51B4">
              <w:rPr>
                <w:rFonts w:cs="Calibri"/>
                <w:sz w:val="18"/>
                <w:szCs w:val="18"/>
              </w:rPr>
              <w:t xml:space="preserve">inhabitants </w:t>
            </w:r>
            <w:r w:rsidRPr="00C34DE9">
              <w:rPr>
                <w:rFonts w:cs="Calibri"/>
                <w:sz w:val="18"/>
                <w:szCs w:val="18"/>
              </w:rPr>
              <w:t>per km</w:t>
            </w:r>
            <w:r w:rsidRPr="00C34DE9">
              <w:rPr>
                <w:rFonts w:cs="Calibri"/>
                <w:sz w:val="18"/>
                <w:szCs w:val="18"/>
                <w:vertAlign w:val="superscript"/>
              </w:rPr>
              <w:t>2</w:t>
            </w:r>
            <w:r w:rsidRPr="00C34DE9">
              <w:rPr>
                <w:rFonts w:cs="Calibri"/>
                <w:sz w:val="18"/>
                <w:szCs w:val="18"/>
              </w:rPr>
              <w:t>.</w:t>
            </w:r>
          </w:p>
          <w:p w14:paraId="789E8DB4" w14:textId="0CD5AFB2" w:rsidR="00E03D02" w:rsidRDefault="00D8259C" w:rsidP="0073366C">
            <w:pPr>
              <w:pStyle w:val="RD-Indicatortabletext"/>
              <w:spacing w:after="60"/>
              <w:jc w:val="both"/>
              <w:rPr>
                <w:rFonts w:cs="Calibri"/>
                <w:sz w:val="18"/>
                <w:szCs w:val="18"/>
              </w:rPr>
            </w:pPr>
            <w:r w:rsidRPr="00C34DE9">
              <w:rPr>
                <w:rFonts w:cs="Calibri"/>
                <w:sz w:val="18"/>
                <w:szCs w:val="18"/>
              </w:rPr>
              <w:t xml:space="preserve">It </w:t>
            </w:r>
            <w:r w:rsidR="00AE59DD">
              <w:rPr>
                <w:rFonts w:cs="Calibri"/>
                <w:sz w:val="18"/>
                <w:szCs w:val="18"/>
              </w:rPr>
              <w:t>consists of</w:t>
            </w:r>
            <w:r w:rsidR="005B3C23">
              <w:rPr>
                <w:rFonts w:cs="Calibri"/>
                <w:sz w:val="18"/>
                <w:szCs w:val="18"/>
              </w:rPr>
              <w:t xml:space="preserve"> 2</w:t>
            </w:r>
            <w:r w:rsidR="00AE59DD">
              <w:rPr>
                <w:rFonts w:cs="Calibri"/>
                <w:sz w:val="18"/>
                <w:szCs w:val="18"/>
              </w:rPr>
              <w:t xml:space="preserve"> </w:t>
            </w:r>
            <w:r w:rsidR="00DD478B">
              <w:rPr>
                <w:rFonts w:cs="Calibri"/>
                <w:sz w:val="18"/>
                <w:szCs w:val="18"/>
              </w:rPr>
              <w:t>specific indicators</w:t>
            </w:r>
            <w:r w:rsidR="00E03D02">
              <w:rPr>
                <w:rFonts w:cs="Calibri"/>
                <w:sz w:val="18"/>
                <w:szCs w:val="18"/>
              </w:rPr>
              <w:t>:</w:t>
            </w:r>
          </w:p>
          <w:p w14:paraId="75AF1CF0" w14:textId="733FB778" w:rsidR="00E03D02" w:rsidRPr="007D3E04" w:rsidRDefault="00131FAF" w:rsidP="00665997">
            <w:pPr>
              <w:pStyle w:val="RD-Indicatortabletext"/>
              <w:numPr>
                <w:ilvl w:val="0"/>
                <w:numId w:val="64"/>
              </w:numPr>
              <w:spacing w:after="60"/>
              <w:jc w:val="both"/>
              <w:rPr>
                <w:rFonts w:cs="Calibri"/>
                <w:b/>
                <w:bCs/>
                <w:sz w:val="18"/>
                <w:szCs w:val="18"/>
              </w:rPr>
            </w:pPr>
            <w:r w:rsidRPr="3F4AE0BD">
              <w:rPr>
                <w:rFonts w:cs="Calibri"/>
                <w:b/>
                <w:bCs/>
                <w:sz w:val="18"/>
                <w:szCs w:val="18"/>
              </w:rPr>
              <w:t xml:space="preserve">population </w:t>
            </w:r>
            <w:r w:rsidR="005B3C23" w:rsidRPr="3F4AE0BD">
              <w:rPr>
                <w:rFonts w:cs="Calibri"/>
                <w:b/>
                <w:bCs/>
                <w:sz w:val="18"/>
                <w:szCs w:val="18"/>
              </w:rPr>
              <w:t xml:space="preserve">density </w:t>
            </w:r>
          </w:p>
          <w:p w14:paraId="59F6086A" w14:textId="32816AEA" w:rsidR="00D8259C" w:rsidRPr="00C34DE9" w:rsidRDefault="00131FAF" w:rsidP="00665997">
            <w:pPr>
              <w:pStyle w:val="RD-Indicatortabletext"/>
              <w:numPr>
                <w:ilvl w:val="0"/>
                <w:numId w:val="64"/>
              </w:numPr>
              <w:spacing w:after="60"/>
              <w:jc w:val="both"/>
              <w:rPr>
                <w:rFonts w:cs="Calibri"/>
                <w:sz w:val="18"/>
                <w:szCs w:val="18"/>
              </w:rPr>
            </w:pPr>
            <w:r w:rsidRPr="3F4AE0BD">
              <w:rPr>
                <w:rFonts w:cs="Calibri"/>
                <w:b/>
                <w:bCs/>
                <w:sz w:val="18"/>
                <w:szCs w:val="18"/>
              </w:rPr>
              <w:t xml:space="preserve">population </w:t>
            </w:r>
            <w:r w:rsidR="005B3C23" w:rsidRPr="3F4AE0BD">
              <w:rPr>
                <w:rFonts w:cs="Calibri"/>
                <w:b/>
                <w:bCs/>
                <w:sz w:val="18"/>
                <w:szCs w:val="18"/>
              </w:rPr>
              <w:t xml:space="preserve">density </w:t>
            </w:r>
            <w:r w:rsidR="0073366C" w:rsidRPr="3F4AE0BD">
              <w:rPr>
                <w:rFonts w:cs="Calibri"/>
                <w:b/>
                <w:bCs/>
                <w:sz w:val="18"/>
                <w:szCs w:val="18"/>
              </w:rPr>
              <w:t>by typ</w:t>
            </w:r>
            <w:r w:rsidR="005B3C23" w:rsidRPr="3F4AE0BD">
              <w:rPr>
                <w:rFonts w:cs="Calibri"/>
                <w:b/>
                <w:bCs/>
                <w:sz w:val="18"/>
                <w:szCs w:val="18"/>
              </w:rPr>
              <w:t>e of region</w:t>
            </w:r>
            <w:r w:rsidR="0073366C" w:rsidRPr="00C34DE9">
              <w:rPr>
                <w:rFonts w:cs="Calibri"/>
                <w:sz w:val="18"/>
                <w:szCs w:val="18"/>
              </w:rPr>
              <w:t xml:space="preserve"> (</w:t>
            </w:r>
            <w:r w:rsidR="00D8259C" w:rsidRPr="00C34DE9">
              <w:rPr>
                <w:rFonts w:cs="Calibri"/>
                <w:sz w:val="18"/>
                <w:szCs w:val="18"/>
              </w:rPr>
              <w:t>predominantly rural, intermediate and urban regions</w:t>
            </w:r>
            <w:r w:rsidR="0073366C" w:rsidRPr="00C34DE9">
              <w:rPr>
                <w:rFonts w:cs="Calibri"/>
                <w:sz w:val="18"/>
                <w:szCs w:val="18"/>
              </w:rPr>
              <w:t>)</w:t>
            </w:r>
            <w:r w:rsidR="00D8259C" w:rsidRPr="00C34DE9">
              <w:rPr>
                <w:rFonts w:cs="Calibri"/>
                <w:sz w:val="18"/>
                <w:szCs w:val="18"/>
              </w:rPr>
              <w:t>.</w:t>
            </w:r>
          </w:p>
        </w:tc>
      </w:tr>
      <w:tr w:rsidR="00D8259C" w:rsidRPr="00C34DE9" w14:paraId="1105C98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8D1219E"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A03AD74" w14:textId="77777777" w:rsidR="0073366C" w:rsidRPr="00C34DE9" w:rsidRDefault="00B8041A" w:rsidP="0073366C">
            <w:pPr>
              <w:spacing w:after="60"/>
              <w:jc w:val="both"/>
              <w:rPr>
                <w:rFonts w:ascii="Verdana" w:hAnsi="Verdana"/>
                <w:sz w:val="18"/>
                <w:szCs w:val="18"/>
              </w:rPr>
            </w:pPr>
            <w:r>
              <w:rPr>
                <w:rFonts w:ascii="Verdana" w:hAnsi="Verdana"/>
                <w:sz w:val="18"/>
                <w:szCs w:val="18"/>
              </w:rPr>
              <w:t>1 – 2</w:t>
            </w:r>
            <w:r w:rsidR="00501FAB">
              <w:rPr>
                <w:rFonts w:ascii="Verdana" w:hAnsi="Verdana"/>
                <w:sz w:val="18"/>
                <w:szCs w:val="18"/>
              </w:rPr>
              <w:t xml:space="preserve">: </w:t>
            </w:r>
            <w:r w:rsidR="009D51B4">
              <w:rPr>
                <w:rFonts w:ascii="Verdana" w:hAnsi="Verdana"/>
                <w:sz w:val="18"/>
                <w:szCs w:val="18"/>
              </w:rPr>
              <w:t xml:space="preserve">Number of </w:t>
            </w:r>
            <w:r w:rsidR="00174385">
              <w:rPr>
                <w:rFonts w:ascii="Verdana" w:hAnsi="Verdana"/>
                <w:sz w:val="18"/>
                <w:szCs w:val="18"/>
              </w:rPr>
              <w:t>persons</w:t>
            </w:r>
            <w:r w:rsidR="0073366C" w:rsidRPr="00C34DE9">
              <w:rPr>
                <w:rFonts w:ascii="Verdana" w:hAnsi="Verdana"/>
                <w:sz w:val="18"/>
                <w:szCs w:val="18"/>
              </w:rPr>
              <w:t>/km</w:t>
            </w:r>
            <w:r w:rsidR="0073366C" w:rsidRPr="00C34DE9">
              <w:rPr>
                <w:rFonts w:ascii="Verdana" w:hAnsi="Verdana"/>
                <w:sz w:val="18"/>
                <w:szCs w:val="18"/>
                <w:vertAlign w:val="superscript"/>
              </w:rPr>
              <w:t>2</w:t>
            </w:r>
          </w:p>
          <w:p w14:paraId="4A21E2C7" w14:textId="77777777" w:rsidR="00AE59DD" w:rsidRPr="00AE59DD" w:rsidRDefault="00174385" w:rsidP="5CB4B133">
            <w:pPr>
              <w:spacing w:after="60"/>
              <w:jc w:val="both"/>
              <w:rPr>
                <w:color w:val="000000" w:themeColor="text1"/>
              </w:rPr>
            </w:pPr>
            <w:r>
              <w:rPr>
                <w:rFonts w:ascii="Verdana" w:hAnsi="Verdana"/>
                <w:sz w:val="18"/>
                <w:szCs w:val="18"/>
              </w:rPr>
              <w:t>(where ‘</w:t>
            </w:r>
            <w:r w:rsidRPr="5CB4B133">
              <w:rPr>
                <w:color w:val="000000" w:themeColor="text1"/>
              </w:rPr>
              <w:t xml:space="preserve">persons’ comply with the 'usually resident population' concept as defined in </w:t>
            </w:r>
            <w:hyperlink r:id="rId19" w:history="1">
              <w:r w:rsidRPr="5CB4B133">
                <w:rPr>
                  <w:rStyle w:val="Hyperlink"/>
                  <w:color w:val="000000" w:themeColor="text1"/>
                </w:rPr>
                <w:t>EU Regulation 1260/2013</w:t>
              </w:r>
            </w:hyperlink>
            <w:r w:rsidRPr="5CB4B133">
              <w:rPr>
                <w:color w:val="000000" w:themeColor="text1"/>
              </w:rPr>
              <w:t xml:space="preserve"> on European demographic statistics)</w:t>
            </w:r>
          </w:p>
        </w:tc>
      </w:tr>
      <w:tr w:rsidR="00D8259C" w:rsidRPr="00C34DE9" w14:paraId="08489A10"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6103235" w14:textId="77777777" w:rsidR="00D8259C" w:rsidRPr="00C34DE9" w:rsidRDefault="00D8259C"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662D4A6" w14:textId="77777777" w:rsidR="00D8259C" w:rsidRPr="00C34DE9"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73366C" w:rsidRPr="00C34DE9">
              <w:rPr>
                <w:rFonts w:ascii="Verdana" w:eastAsia="Times New Roman" w:hAnsi="Verdana"/>
                <w:sz w:val="18"/>
                <w:szCs w:val="18"/>
              </w:rPr>
              <w:t xml:space="preserve">Demography and migration </w:t>
            </w:r>
          </w:p>
          <w:p w14:paraId="2884C364" w14:textId="77777777" w:rsidR="00D8259C" w:rsidRPr="00C34DE9" w:rsidRDefault="00D8259C" w:rsidP="00D11CB6">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73366C" w:rsidRPr="00C34DE9">
              <w:rPr>
                <w:rFonts w:ascii="Verdana" w:eastAsia="Times New Roman" w:hAnsi="Verdana"/>
                <w:sz w:val="18"/>
                <w:szCs w:val="18"/>
              </w:rPr>
              <w:t>Demography statistics by other typologies</w:t>
            </w:r>
          </w:p>
        </w:tc>
      </w:tr>
      <w:tr w:rsidR="00D8259C" w:rsidRPr="00C34DE9" w14:paraId="2939678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44B1D45" w14:textId="77777777" w:rsidR="00D8259C" w:rsidRPr="00C34DE9" w:rsidRDefault="00D8259C"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0AEC885" w14:textId="77777777" w:rsidR="00D8259C"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 xml:space="preserve">National </w:t>
            </w:r>
            <w:r w:rsidR="0073366C" w:rsidRPr="00C34DE9">
              <w:rPr>
                <w:rFonts w:ascii="Verdana" w:eastAsia="Times New Roman" w:hAnsi="Verdana"/>
                <w:sz w:val="18"/>
                <w:szCs w:val="18"/>
              </w:rPr>
              <w:t>and</w:t>
            </w:r>
            <w:r w:rsidR="002279C7" w:rsidRPr="00C34DE9">
              <w:rPr>
                <w:rFonts w:ascii="Verdana" w:eastAsia="Times New Roman" w:hAnsi="Verdana"/>
                <w:sz w:val="18"/>
                <w:szCs w:val="18"/>
              </w:rPr>
              <w:t xml:space="preserve"> </w:t>
            </w:r>
            <w:r w:rsidR="00420D0B">
              <w:rPr>
                <w:rFonts w:ascii="Verdana" w:eastAsia="Times New Roman" w:hAnsi="Verdana"/>
                <w:sz w:val="18"/>
                <w:szCs w:val="18"/>
              </w:rPr>
              <w:t xml:space="preserve">regional </w:t>
            </w:r>
            <w:r w:rsidRPr="00C34DE9">
              <w:rPr>
                <w:rFonts w:ascii="Verdana" w:eastAsia="Times New Roman" w:hAnsi="Verdana"/>
                <w:sz w:val="18"/>
                <w:szCs w:val="18"/>
              </w:rPr>
              <w:t xml:space="preserve">data: Table: Population density </w:t>
            </w:r>
            <w:r w:rsidR="002279C7" w:rsidRPr="00C34DE9">
              <w:rPr>
                <w:rFonts w:ascii="Verdana" w:eastAsia="Times New Roman" w:hAnsi="Verdana"/>
                <w:sz w:val="18"/>
                <w:szCs w:val="18"/>
              </w:rPr>
              <w:t>by NUTS 3 region [</w:t>
            </w:r>
            <w:hyperlink r:id="rId20" w:history="1">
              <w:r w:rsidRPr="002D54D6">
                <w:rPr>
                  <w:rStyle w:val="Hyperlink"/>
                  <w:rFonts w:ascii="Verdana" w:eastAsia="Times New Roman" w:hAnsi="Verdana"/>
                  <w:sz w:val="18"/>
                  <w:szCs w:val="18"/>
                </w:rPr>
                <w:t>demo_r_d3dens</w:t>
              </w:r>
            </w:hyperlink>
            <w:r w:rsidR="002279C7" w:rsidRPr="00C34DE9">
              <w:rPr>
                <w:rFonts w:ascii="Verdana" w:eastAsia="Times New Roman" w:hAnsi="Verdana"/>
                <w:sz w:val="18"/>
                <w:szCs w:val="18"/>
              </w:rPr>
              <w:t>]</w:t>
            </w:r>
          </w:p>
          <w:p w14:paraId="294A7A0F" w14:textId="65A5F8E3" w:rsidR="00D8259C" w:rsidRPr="000F176F" w:rsidRDefault="002279C7" w:rsidP="005B5547">
            <w:pPr>
              <w:spacing w:after="60"/>
              <w:jc w:val="both"/>
              <w:rPr>
                <w:rFonts w:ascii="Verdana" w:hAnsi="Verdana"/>
                <w:sz w:val="18"/>
                <w:szCs w:val="18"/>
              </w:rPr>
            </w:pPr>
            <w:r w:rsidRPr="00C34DE9">
              <w:rPr>
                <w:rFonts w:ascii="Verdana" w:hAnsi="Verdana"/>
                <w:sz w:val="18"/>
                <w:szCs w:val="18"/>
              </w:rPr>
              <w:t xml:space="preserve">National data, by typology: table Population density by other typologies </w:t>
            </w:r>
            <w:r w:rsidRPr="00C34DE9">
              <w:rPr>
                <w:rFonts w:ascii="Verdana" w:eastAsia="Times New Roman" w:hAnsi="Verdana"/>
                <w:sz w:val="18"/>
                <w:szCs w:val="18"/>
              </w:rPr>
              <w:t>[</w:t>
            </w:r>
            <w:hyperlink r:id="rId21" w:history="1">
              <w:r w:rsidRPr="00C34DE9">
                <w:rPr>
                  <w:rStyle w:val="Hyperlink"/>
                  <w:rFonts w:ascii="Verdana" w:hAnsi="Verdana"/>
                  <w:sz w:val="18"/>
                  <w:szCs w:val="18"/>
                </w:rPr>
                <w:t>urt_d3dens</w:t>
              </w:r>
            </w:hyperlink>
            <w:r w:rsidRPr="00C34DE9">
              <w:rPr>
                <w:rFonts w:ascii="Verdana" w:eastAsia="Times New Roman" w:hAnsi="Verdana"/>
                <w:sz w:val="18"/>
                <w:szCs w:val="18"/>
              </w:rPr>
              <w:t xml:space="preserve">] </w:t>
            </w:r>
          </w:p>
        </w:tc>
      </w:tr>
      <w:tr w:rsidR="00D8259C" w:rsidRPr="00C34DE9" w14:paraId="15359BA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A460E06" w14:textId="77777777" w:rsidR="00D8259C" w:rsidRPr="00C34DE9" w:rsidRDefault="00D8259C" w:rsidP="5CB4B133">
            <w:pPr>
              <w:spacing w:after="60"/>
              <w:rPr>
                <w:rFonts w:ascii="Verdana" w:hAnsi="Verdana"/>
                <w:b/>
                <w:bCs/>
                <w:sz w:val="18"/>
                <w:szCs w:val="18"/>
              </w:rPr>
            </w:pPr>
            <w:r w:rsidRPr="5CB4B133">
              <w:rPr>
                <w:rFonts w:ascii="Verdana" w:hAnsi="Verdana"/>
                <w:b/>
                <w:bCs/>
                <w:sz w:val="18"/>
                <w:szCs w:val="18"/>
              </w:rPr>
              <w:t xml:space="preserve">Data collection </w:t>
            </w:r>
            <w:r w:rsidR="00C83C94"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C94BD72" w14:textId="77777777" w:rsidR="00D8259C" w:rsidRPr="00C34DE9" w:rsidRDefault="00D8259C" w:rsidP="005B5547">
            <w:pPr>
              <w:spacing w:after="60"/>
              <w:jc w:val="both"/>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ational (NUTS 0)</w:t>
            </w:r>
            <w:r w:rsidR="00381761">
              <w:rPr>
                <w:rFonts w:ascii="Verdana" w:hAnsi="Verdana"/>
                <w:sz w:val="18"/>
                <w:szCs w:val="18"/>
              </w:rPr>
              <w:t>, R</w:t>
            </w:r>
            <w:r w:rsidRPr="00C34DE9">
              <w:rPr>
                <w:rFonts w:ascii="Verdana" w:hAnsi="Verdana"/>
                <w:sz w:val="18"/>
                <w:szCs w:val="18"/>
              </w:rPr>
              <w:t>egional (NUTS 1, 2 and 3)</w:t>
            </w:r>
          </w:p>
          <w:p w14:paraId="413479E8" w14:textId="77777777" w:rsidR="00C83C94" w:rsidRPr="00C34DE9" w:rsidDel="00F9611E" w:rsidRDefault="00C83C94" w:rsidP="005B5547">
            <w:pPr>
              <w:spacing w:after="60"/>
              <w:jc w:val="both"/>
              <w:rPr>
                <w:rFonts w:ascii="Verdana" w:hAnsi="Verdana"/>
                <w:sz w:val="18"/>
                <w:szCs w:val="18"/>
              </w:rPr>
            </w:pPr>
            <w:r w:rsidRPr="00C34DE9">
              <w:rPr>
                <w:rFonts w:ascii="Verdana" w:hAnsi="Verdana"/>
                <w:sz w:val="18"/>
                <w:szCs w:val="18"/>
              </w:rPr>
              <w:t xml:space="preserve">by type of region (predominantly rural, intermediate and predominantly urban) </w:t>
            </w:r>
          </w:p>
        </w:tc>
      </w:tr>
      <w:tr w:rsidR="00D8259C" w:rsidRPr="00C34DE9" w14:paraId="49B20A52"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44A18F31" w14:textId="77777777" w:rsidR="00D8259C" w:rsidRPr="00C34DE9" w:rsidRDefault="00D8259C"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4FF1AC1" w14:textId="77777777" w:rsidR="00D8259C" w:rsidRPr="00C34DE9"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D8259C" w:rsidRPr="00C34DE9" w14:paraId="37F027E2"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4E42CC12" w14:textId="77777777" w:rsidR="00D8259C" w:rsidRPr="00C34DE9" w:rsidRDefault="00C83C94"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39BB809" w14:textId="77777777" w:rsidR="00D8259C" w:rsidRPr="00C34DE9" w:rsidRDefault="00C83C94" w:rsidP="005B5547">
            <w:pPr>
              <w:spacing w:after="60"/>
              <w:jc w:val="both"/>
              <w:rPr>
                <w:rFonts w:ascii="Verdana" w:hAnsi="Verdana"/>
                <w:sz w:val="18"/>
                <w:szCs w:val="18"/>
                <w:lang w:val="en-US"/>
              </w:rPr>
            </w:pPr>
            <w:r w:rsidRPr="00C34DE9">
              <w:rPr>
                <w:rFonts w:ascii="Verdana" w:hAnsi="Verdana"/>
                <w:sz w:val="18"/>
                <w:szCs w:val="18"/>
                <w:lang w:val="en-US"/>
              </w:rPr>
              <w:t>1</w:t>
            </w:r>
            <w:r w:rsidR="00D8259C" w:rsidRPr="00C34DE9">
              <w:rPr>
                <w:rFonts w:ascii="Verdana" w:hAnsi="Verdana"/>
                <w:sz w:val="18"/>
                <w:szCs w:val="18"/>
                <w:lang w:val="en-US"/>
              </w:rPr>
              <w:t xml:space="preserve"> year</w:t>
            </w:r>
            <w:r w:rsidRPr="00C34DE9">
              <w:rPr>
                <w:rFonts w:ascii="Verdana" w:hAnsi="Verdana"/>
                <w:sz w:val="18"/>
                <w:szCs w:val="18"/>
                <w:lang w:val="en-US"/>
              </w:rPr>
              <w:t xml:space="preserve"> </w:t>
            </w:r>
          </w:p>
        </w:tc>
      </w:tr>
      <w:tr w:rsidR="00D8259C" w:rsidRPr="00C34DE9" w14:paraId="3C85C053"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336D143" w14:textId="77777777" w:rsidR="00D8259C" w:rsidRPr="00C34DE9" w:rsidRDefault="00D8259C"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906A7BF" w14:textId="77777777" w:rsidR="00D8259C" w:rsidRPr="00C34DE9" w:rsidRDefault="00D8259C" w:rsidP="005B5547">
            <w:pPr>
              <w:spacing w:after="60"/>
              <w:jc w:val="both"/>
              <w:rPr>
                <w:rFonts w:ascii="Verdana" w:eastAsia="Times New Roman" w:hAnsi="Verdana"/>
                <w:sz w:val="18"/>
                <w:szCs w:val="18"/>
              </w:rPr>
            </w:pPr>
            <w:r w:rsidRPr="00C34DE9">
              <w:rPr>
                <w:rFonts w:ascii="Verdana" w:eastAsia="Times New Roman" w:hAnsi="Verdana"/>
                <w:sz w:val="18"/>
                <w:szCs w:val="18"/>
              </w:rPr>
              <w:t>The distribution of population by type of region has been calculated using the Commission's urban-rural typology, which classifies NUTS 3 regions into predominantly rural, intermediate and predominantly urban.</w:t>
            </w:r>
          </w:p>
          <w:p w14:paraId="4F5E0AE6" w14:textId="77777777" w:rsidR="00D8259C" w:rsidRPr="00C34DE9" w:rsidRDefault="00D8259C" w:rsidP="005B5547">
            <w:pPr>
              <w:spacing w:after="60"/>
              <w:jc w:val="both"/>
              <w:rPr>
                <w:rFonts w:ascii="Verdana" w:hAnsi="Verdana" w:cs="Calibri"/>
                <w:sz w:val="18"/>
                <w:szCs w:val="18"/>
              </w:rPr>
            </w:pPr>
            <w:r w:rsidRPr="00C34DE9">
              <w:rPr>
                <w:rFonts w:ascii="Verdana" w:eastAsia="Times New Roman" w:hAnsi="Verdana"/>
                <w:sz w:val="18"/>
                <w:szCs w:val="18"/>
              </w:rPr>
              <w:t>Total area (including inland waters) is used</w:t>
            </w:r>
            <w:r w:rsidRPr="00C34DE9">
              <w:rPr>
                <w:rFonts w:ascii="Verdana" w:hAnsi="Verdana" w:cs="Calibri"/>
                <w:sz w:val="18"/>
                <w:szCs w:val="18"/>
              </w:rPr>
              <w:t xml:space="preserve"> when land area is not available.</w:t>
            </w:r>
            <w:r w:rsidR="00C83C94" w:rsidRPr="00C34DE9">
              <w:rPr>
                <w:rFonts w:ascii="Verdana" w:hAnsi="Verdana" w:cs="Calibri"/>
                <w:sz w:val="18"/>
                <w:szCs w:val="18"/>
              </w:rPr>
              <w:t xml:space="preserve"> </w:t>
            </w:r>
          </w:p>
          <w:p w14:paraId="65D50274" w14:textId="77777777" w:rsidR="00C83C94" w:rsidRPr="00C34DE9" w:rsidRDefault="00C83C94" w:rsidP="00C83C94">
            <w:pPr>
              <w:spacing w:after="60"/>
              <w:jc w:val="both"/>
              <w:rPr>
                <w:rFonts w:ascii="Verdana" w:hAnsi="Verdana" w:cs="Calibri"/>
                <w:sz w:val="18"/>
                <w:szCs w:val="18"/>
              </w:rPr>
            </w:pPr>
            <w:r w:rsidRPr="00C34DE9">
              <w:rPr>
                <w:rFonts w:ascii="Verdana" w:hAnsi="Verdana" w:cs="Calibri"/>
                <w:sz w:val="18"/>
                <w:szCs w:val="18"/>
              </w:rPr>
              <w:t>All tables at regional level include data at national level.</w:t>
            </w:r>
          </w:p>
          <w:p w14:paraId="37CC015F" w14:textId="77777777" w:rsidR="00C83C94" w:rsidRPr="00C34DE9" w:rsidRDefault="00C83C94" w:rsidP="00C83C94">
            <w:pPr>
              <w:spacing w:after="60"/>
              <w:jc w:val="both"/>
              <w:rPr>
                <w:rStyle w:val="leaf"/>
              </w:rPr>
            </w:pPr>
            <w:r w:rsidRPr="00C34DE9">
              <w:rPr>
                <w:rFonts w:ascii="Verdana" w:hAnsi="Verdana"/>
                <w:sz w:val="18"/>
                <w:szCs w:val="18"/>
              </w:rPr>
              <w:t>Starting with the year 2016, the population density included in the table [</w:t>
            </w:r>
            <w:hyperlink r:id="rId22" w:history="1">
              <w:r w:rsidRPr="00C34DE9">
                <w:rPr>
                  <w:rStyle w:val="Hyperlink"/>
                  <w:rFonts w:ascii="Verdana" w:eastAsia="Times New Roman" w:hAnsi="Verdana"/>
                  <w:sz w:val="18"/>
                  <w:szCs w:val="18"/>
                </w:rPr>
                <w:t>demo_r_d3dens</w:t>
              </w:r>
            </w:hyperlink>
            <w:r w:rsidRPr="00C34DE9">
              <w:rPr>
                <w:rFonts w:ascii="Verdana" w:eastAsia="Times New Roman" w:hAnsi="Verdana"/>
                <w:sz w:val="18"/>
                <w:szCs w:val="18"/>
              </w:rPr>
              <w:t>] is computed using the area data included in the table [</w:t>
            </w:r>
            <w:hyperlink r:id="rId23" w:history="1">
              <w:r w:rsidRPr="008545E1">
                <w:rPr>
                  <w:rStyle w:val="Hyperlink"/>
                  <w:rFonts w:ascii="Verdana" w:hAnsi="Verdana"/>
                  <w:sz w:val="18"/>
                  <w:szCs w:val="18"/>
                </w:rPr>
                <w:t>reg_area3</w:t>
              </w:r>
            </w:hyperlink>
            <w:r w:rsidRPr="00C34DE9">
              <w:rPr>
                <w:rStyle w:val="leaf"/>
              </w:rPr>
              <w:t xml:space="preserve">]. </w:t>
            </w:r>
          </w:p>
          <w:p w14:paraId="285D5C33" w14:textId="52DEF8F3" w:rsidR="00C83C94" w:rsidRPr="00C34DE9" w:rsidRDefault="00A07830" w:rsidP="00C83C94">
            <w:pPr>
              <w:spacing w:after="60"/>
              <w:jc w:val="both"/>
              <w:rPr>
                <w:rFonts w:ascii="Verdana" w:hAnsi="Verdana"/>
                <w:sz w:val="18"/>
                <w:szCs w:val="18"/>
              </w:rPr>
            </w:pPr>
            <w:r>
              <w:rPr>
                <w:rFonts w:ascii="Verdana" w:hAnsi="Verdana"/>
                <w:sz w:val="18"/>
                <w:szCs w:val="18"/>
              </w:rPr>
              <w:t>R</w:t>
            </w:r>
            <w:r w:rsidR="00C83C94" w:rsidRPr="00C34DE9">
              <w:rPr>
                <w:rFonts w:ascii="Verdana" w:hAnsi="Verdana"/>
                <w:sz w:val="18"/>
                <w:szCs w:val="18"/>
              </w:rPr>
              <w:t xml:space="preserve">egional data by type of region calculated as </w:t>
            </w:r>
            <w:hyperlink r:id="rId24" w:history="1">
              <w:r w:rsidR="00421AD8" w:rsidRPr="00E16115">
                <w:rPr>
                  <w:rStyle w:val="Hyperlink"/>
                  <w:rFonts w:ascii="Verdana" w:hAnsi="Verdana" w:cs="Calibri"/>
                  <w:sz w:val="18"/>
                  <w:szCs w:val="18"/>
                </w:rPr>
                <w:t>demo_r_gind3</w:t>
              </w:r>
            </w:hyperlink>
            <w:r w:rsidRPr="00421AD8">
              <w:rPr>
                <w:rStyle w:val="Hyperlink"/>
                <w:rFonts w:ascii="Verdana" w:hAnsi="Verdana" w:cs="Calibri"/>
                <w:color w:val="auto"/>
                <w:sz w:val="18"/>
                <w:szCs w:val="18"/>
                <w:u w:val="none"/>
              </w:rPr>
              <w:t xml:space="preserve"> (average population)</w:t>
            </w:r>
            <w:r w:rsidR="00C83C94" w:rsidRPr="00421AD8">
              <w:rPr>
                <w:rFonts w:ascii="Verdana" w:hAnsi="Verdana"/>
                <w:sz w:val="18"/>
                <w:szCs w:val="18"/>
              </w:rPr>
              <w:t xml:space="preserve"> </w:t>
            </w:r>
            <w:r w:rsidR="00C83C94" w:rsidRPr="00C34DE9">
              <w:rPr>
                <w:rFonts w:ascii="Verdana" w:hAnsi="Verdana"/>
                <w:sz w:val="18"/>
                <w:szCs w:val="18"/>
              </w:rPr>
              <w:t xml:space="preserve">/ </w:t>
            </w:r>
            <w:hyperlink r:id="rId25" w:history="1">
              <w:r w:rsidR="00C83C94" w:rsidRPr="00C34DE9">
                <w:rPr>
                  <w:rStyle w:val="Hyperlink"/>
                  <w:rFonts w:ascii="Verdana" w:hAnsi="Verdana" w:cs="Calibri"/>
                  <w:sz w:val="18"/>
                  <w:szCs w:val="18"/>
                </w:rPr>
                <w:t>demo_r_d3area</w:t>
              </w:r>
            </w:hyperlink>
            <w:r w:rsidR="00C83C94" w:rsidRPr="00C34DE9">
              <w:rPr>
                <w:rStyle w:val="Hyperlink"/>
                <w:rFonts w:ascii="Verdana" w:hAnsi="Verdana" w:cs="Calibri"/>
                <w:sz w:val="18"/>
                <w:szCs w:val="18"/>
              </w:rPr>
              <w:t xml:space="preserve"> </w:t>
            </w:r>
            <w:r w:rsidR="00C83C94" w:rsidRPr="00C34DE9">
              <w:rPr>
                <w:rFonts w:ascii="Verdana" w:hAnsi="Verdana"/>
                <w:sz w:val="18"/>
                <w:szCs w:val="18"/>
              </w:rPr>
              <w:t>and classified according to the Commission's urban-rural typology.</w:t>
            </w:r>
          </w:p>
          <w:p w14:paraId="20A6DD55" w14:textId="7D049E76" w:rsidR="00C83C94" w:rsidRPr="000F176F" w:rsidRDefault="00C83C94" w:rsidP="000F176F">
            <w:pPr>
              <w:spacing w:after="60"/>
              <w:jc w:val="both"/>
              <w:rPr>
                <w:rFonts w:ascii="Verdana" w:hAnsi="Verdana"/>
                <w:sz w:val="18"/>
                <w:szCs w:val="18"/>
              </w:rPr>
            </w:pPr>
            <w:r w:rsidRPr="00C34DE9">
              <w:rPr>
                <w:rFonts w:ascii="Verdana" w:hAnsi="Verdana"/>
                <w:sz w:val="18"/>
                <w:szCs w:val="18"/>
              </w:rPr>
              <w:t>Most recent urban-rural typology</w:t>
            </w:r>
            <w:r w:rsidR="00410DDD">
              <w:rPr>
                <w:rFonts w:ascii="Verdana" w:hAnsi="Verdana"/>
                <w:sz w:val="18"/>
                <w:szCs w:val="18"/>
              </w:rPr>
              <w:t xml:space="preserve"> definition</w:t>
            </w:r>
            <w:r w:rsidRPr="00C34DE9">
              <w:rPr>
                <w:rFonts w:ascii="Verdana" w:hAnsi="Verdana"/>
                <w:sz w:val="18"/>
                <w:szCs w:val="18"/>
              </w:rPr>
              <w:t xml:space="preserve">: </w:t>
            </w:r>
            <w:hyperlink r:id="rId26" w:history="1">
              <w:r w:rsidR="000F176F" w:rsidRPr="00910EA0">
                <w:rPr>
                  <w:rStyle w:val="Hyperlink"/>
                  <w:rFonts w:ascii="Verdana" w:hAnsi="Verdana"/>
                  <w:sz w:val="18"/>
                  <w:szCs w:val="18"/>
                </w:rPr>
                <w:t>https://ec.europa.eu/eurostat/web/rural-development/methodology</w:t>
              </w:r>
            </w:hyperlink>
            <w:r w:rsidR="000F176F">
              <w:rPr>
                <w:rFonts w:ascii="Verdana" w:hAnsi="Verdana"/>
                <w:sz w:val="18"/>
                <w:szCs w:val="18"/>
              </w:rPr>
              <w:t xml:space="preserve"> </w:t>
            </w:r>
          </w:p>
        </w:tc>
      </w:tr>
    </w:tbl>
    <w:p w14:paraId="722FFDB3" w14:textId="77777777" w:rsidR="00940A4E" w:rsidRPr="00C34DE9" w:rsidRDefault="00D8259C">
      <w:pPr>
        <w:rPr>
          <w:rFonts w:ascii="Verdana" w:hAnsi="Verdana"/>
          <w:sz w:val="18"/>
          <w:szCs w:val="18"/>
        </w:rPr>
      </w:pPr>
      <w:r w:rsidRPr="00C34DE9">
        <w:rPr>
          <w:rFonts w:ascii="Verdana" w:hAnsi="Verdana"/>
          <w:sz w:val="18"/>
          <w:szCs w:val="18"/>
        </w:rPr>
        <w:t xml:space="preserve"> </w:t>
      </w: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20683C0D"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624BC28" w14:textId="77777777" w:rsidR="004F1363" w:rsidRPr="00C34DE9" w:rsidRDefault="004F1363" w:rsidP="5CB4B133">
            <w:pPr>
              <w:spacing w:after="60"/>
              <w:rPr>
                <w:rFonts w:ascii="Verdana" w:hAnsi="Verdana"/>
                <w:b/>
                <w:bCs/>
                <w:sz w:val="18"/>
                <w:szCs w:val="18"/>
              </w:rPr>
            </w:pPr>
            <w:bookmarkStart w:id="3" w:name="C03"/>
            <w:r w:rsidRPr="5CB4B133">
              <w:rPr>
                <w:rFonts w:ascii="Verdana" w:hAnsi="Verdana"/>
                <w:b/>
                <w:bCs/>
                <w:smallCaps/>
                <w:sz w:val="18"/>
                <w:szCs w:val="18"/>
              </w:rPr>
              <w:lastRenderedPageBreak/>
              <w:t>Indicator C.0</w:t>
            </w:r>
            <w:r w:rsidRPr="5CB4B133">
              <w:rPr>
                <w:rFonts w:ascii="Verdana" w:hAnsi="Verdana"/>
                <w:b/>
                <w:bCs/>
                <w:sz w:val="18"/>
                <w:szCs w:val="18"/>
              </w:rPr>
              <w:t>3</w:t>
            </w:r>
            <w:bookmarkEnd w:id="3"/>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A531563" w14:textId="77777777" w:rsidR="004F1363" w:rsidRPr="00C34DE9" w:rsidRDefault="004F1363" w:rsidP="00C30187">
            <w:pPr>
              <w:spacing w:after="60"/>
              <w:rPr>
                <w:rFonts w:ascii="Verdana" w:hAnsi="Verdana"/>
                <w:caps/>
                <w:sz w:val="18"/>
                <w:szCs w:val="18"/>
              </w:rPr>
            </w:pPr>
          </w:p>
        </w:tc>
      </w:tr>
      <w:tr w:rsidR="004F1363" w:rsidRPr="00C34DE9" w14:paraId="278EF77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9D48454"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8E580E7" w14:textId="77777777"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Age structure of the population</w:t>
            </w:r>
          </w:p>
        </w:tc>
      </w:tr>
      <w:tr w:rsidR="004F1363" w:rsidRPr="00C34DE9" w14:paraId="158DD993" w14:textId="77777777" w:rsidTr="790C88FB">
        <w:trPr>
          <w:trHeight w:val="1358"/>
        </w:trPr>
        <w:tc>
          <w:tcPr>
            <w:tcW w:w="2518" w:type="dxa"/>
            <w:tcBorders>
              <w:top w:val="single" w:sz="4" w:space="0" w:color="auto"/>
              <w:left w:val="single" w:sz="4" w:space="0" w:color="auto"/>
              <w:bottom w:val="single" w:sz="4" w:space="0" w:color="auto"/>
              <w:right w:val="single" w:sz="4" w:space="0" w:color="auto"/>
            </w:tcBorders>
            <w:vAlign w:val="center"/>
          </w:tcPr>
          <w:p w14:paraId="32B81FAB"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CA3A6A1" w14:textId="77777777" w:rsidR="00E03D02" w:rsidRDefault="004F1363" w:rsidP="3F4AE0BD">
            <w:pPr>
              <w:pStyle w:val="RD-Indicatortabletext"/>
              <w:spacing w:after="60"/>
              <w:jc w:val="both"/>
              <w:rPr>
                <w:rFonts w:cs="Calibri"/>
                <w:b/>
                <w:bCs/>
                <w:sz w:val="18"/>
                <w:szCs w:val="18"/>
              </w:rPr>
            </w:pPr>
            <w:r w:rsidRPr="00C34DE9">
              <w:rPr>
                <w:rFonts w:cs="Calibri"/>
                <w:sz w:val="18"/>
                <w:szCs w:val="18"/>
              </w:rPr>
              <w:t xml:space="preserve">This indicator refers to the age structure of the EU population </w:t>
            </w:r>
            <w:r w:rsidRPr="3F4AE0BD">
              <w:rPr>
                <w:rFonts w:cs="Calibri"/>
                <w:b/>
                <w:bCs/>
                <w:sz w:val="18"/>
                <w:szCs w:val="18"/>
              </w:rPr>
              <w:t>on 1</w:t>
            </w:r>
            <w:r w:rsidRPr="3F4AE0BD">
              <w:rPr>
                <w:rFonts w:cs="Calibri"/>
                <w:b/>
                <w:bCs/>
                <w:sz w:val="18"/>
                <w:szCs w:val="18"/>
                <w:vertAlign w:val="superscript"/>
              </w:rPr>
              <w:t>st</w:t>
            </w:r>
            <w:r w:rsidRPr="3F4AE0BD">
              <w:rPr>
                <w:rFonts w:cs="Calibri"/>
                <w:b/>
                <w:bCs/>
                <w:sz w:val="18"/>
                <w:szCs w:val="18"/>
              </w:rPr>
              <w:t xml:space="preserve"> of January of any given year</w:t>
            </w:r>
            <w:r w:rsidR="00AE59DD" w:rsidRPr="3F4AE0BD">
              <w:rPr>
                <w:rFonts w:cs="Calibri"/>
                <w:b/>
                <w:bCs/>
                <w:sz w:val="18"/>
                <w:szCs w:val="18"/>
              </w:rPr>
              <w:t xml:space="preserve">. </w:t>
            </w:r>
            <w:r w:rsidR="00501FAB" w:rsidRPr="007D3E04">
              <w:rPr>
                <w:rFonts w:cs="Calibri"/>
                <w:sz w:val="18"/>
                <w:szCs w:val="18"/>
              </w:rPr>
              <w:t>It consists of 3</w:t>
            </w:r>
            <w:r w:rsidR="005B3C23" w:rsidRPr="007D3E04">
              <w:rPr>
                <w:rFonts w:cs="Calibri"/>
                <w:sz w:val="18"/>
                <w:szCs w:val="18"/>
              </w:rPr>
              <w:t xml:space="preserve"> </w:t>
            </w:r>
            <w:r w:rsidR="00DD478B">
              <w:rPr>
                <w:rFonts w:cs="Calibri"/>
                <w:sz w:val="18"/>
                <w:szCs w:val="18"/>
              </w:rPr>
              <w:t xml:space="preserve">specific </w:t>
            </w:r>
            <w:r w:rsidR="00AE59DD" w:rsidRPr="007D3E04">
              <w:rPr>
                <w:rFonts w:cs="Calibri"/>
                <w:sz w:val="18"/>
                <w:szCs w:val="18"/>
              </w:rPr>
              <w:t>indica</w:t>
            </w:r>
            <w:r w:rsidR="0077760C" w:rsidRPr="007D3E04">
              <w:rPr>
                <w:rFonts w:cs="Calibri"/>
                <w:sz w:val="18"/>
                <w:szCs w:val="18"/>
              </w:rPr>
              <w:t>t</w:t>
            </w:r>
            <w:r w:rsidR="00AE59DD" w:rsidRPr="007D3E04">
              <w:rPr>
                <w:rFonts w:cs="Calibri"/>
                <w:sz w:val="18"/>
                <w:szCs w:val="18"/>
              </w:rPr>
              <w:t>ors:</w:t>
            </w:r>
          </w:p>
          <w:p w14:paraId="0D3C6195" w14:textId="4C4DD7D0" w:rsidR="00AE59DD" w:rsidRPr="008545E1" w:rsidRDefault="004F4C14" w:rsidP="00665997">
            <w:pPr>
              <w:pStyle w:val="RD-Indicatortabletext"/>
              <w:numPr>
                <w:ilvl w:val="0"/>
                <w:numId w:val="75"/>
              </w:numPr>
              <w:spacing w:after="60"/>
              <w:jc w:val="both"/>
              <w:rPr>
                <w:rFonts w:cs="Calibri"/>
                <w:sz w:val="18"/>
                <w:szCs w:val="18"/>
              </w:rPr>
            </w:pPr>
            <w:r w:rsidRPr="3F4AE0BD">
              <w:rPr>
                <w:rFonts w:cs="Calibri"/>
                <w:b/>
                <w:bCs/>
                <w:sz w:val="18"/>
                <w:szCs w:val="18"/>
              </w:rPr>
              <w:t>s</w:t>
            </w:r>
            <w:r w:rsidR="005432C4" w:rsidRPr="3F4AE0BD">
              <w:rPr>
                <w:rFonts w:cs="Calibri"/>
                <w:b/>
                <w:bCs/>
                <w:sz w:val="18"/>
                <w:szCs w:val="18"/>
              </w:rPr>
              <w:t xml:space="preserve">hare of </w:t>
            </w:r>
            <w:r w:rsidR="00AE59DD" w:rsidRPr="3F4AE0BD">
              <w:rPr>
                <w:rFonts w:cs="Calibri"/>
                <w:b/>
                <w:bCs/>
                <w:sz w:val="18"/>
                <w:szCs w:val="18"/>
              </w:rPr>
              <w:t>total population</w:t>
            </w:r>
            <w:r w:rsidR="00501FAB" w:rsidRPr="3F4AE0BD">
              <w:rPr>
                <w:rFonts w:cs="Calibri"/>
                <w:b/>
                <w:bCs/>
                <w:sz w:val="18"/>
                <w:szCs w:val="18"/>
              </w:rPr>
              <w:t xml:space="preserve"> by broad age groups</w:t>
            </w:r>
            <w:r w:rsidR="00501FAB" w:rsidRPr="008545E1">
              <w:rPr>
                <w:rFonts w:cs="Calibri"/>
                <w:sz w:val="18"/>
                <w:szCs w:val="18"/>
              </w:rPr>
              <w:t xml:space="preserve"> (less than 15 years / from 15 to 64 years / 65 years or over)</w:t>
            </w:r>
          </w:p>
          <w:p w14:paraId="6078449A" w14:textId="2579CC98" w:rsidR="00E03D02" w:rsidRPr="008545E1" w:rsidRDefault="004F4C14" w:rsidP="00665997">
            <w:pPr>
              <w:pStyle w:val="RD-Indicatortabletext"/>
              <w:numPr>
                <w:ilvl w:val="0"/>
                <w:numId w:val="75"/>
              </w:numPr>
              <w:spacing w:after="60"/>
              <w:jc w:val="both"/>
              <w:rPr>
                <w:rFonts w:cs="Calibri"/>
                <w:sz w:val="18"/>
                <w:szCs w:val="18"/>
              </w:rPr>
            </w:pPr>
            <w:r w:rsidRPr="3F4AE0BD">
              <w:rPr>
                <w:rFonts w:cs="Calibri"/>
                <w:b/>
                <w:bCs/>
                <w:sz w:val="18"/>
                <w:szCs w:val="18"/>
              </w:rPr>
              <w:t>s</w:t>
            </w:r>
            <w:r w:rsidR="005432C4" w:rsidRPr="3F4AE0BD">
              <w:rPr>
                <w:rFonts w:cs="Calibri"/>
                <w:b/>
                <w:bCs/>
                <w:sz w:val="18"/>
                <w:szCs w:val="18"/>
              </w:rPr>
              <w:t xml:space="preserve">hare of </w:t>
            </w:r>
            <w:r w:rsidR="005B3C23" w:rsidRPr="3F4AE0BD">
              <w:rPr>
                <w:rFonts w:cs="Calibri"/>
                <w:b/>
                <w:bCs/>
                <w:sz w:val="18"/>
                <w:szCs w:val="18"/>
              </w:rPr>
              <w:t xml:space="preserve">population </w:t>
            </w:r>
            <w:r w:rsidR="004F1363" w:rsidRPr="3F4AE0BD">
              <w:rPr>
                <w:rFonts w:cs="Calibri"/>
                <w:b/>
                <w:bCs/>
                <w:sz w:val="18"/>
                <w:szCs w:val="18"/>
              </w:rPr>
              <w:t>by</w:t>
            </w:r>
            <w:r w:rsidR="00DA5AC4" w:rsidRPr="3F4AE0BD">
              <w:rPr>
                <w:rFonts w:cs="Calibri"/>
                <w:b/>
                <w:bCs/>
                <w:sz w:val="18"/>
                <w:szCs w:val="18"/>
              </w:rPr>
              <w:t xml:space="preserve"> </w:t>
            </w:r>
            <w:r w:rsidR="009D51B4" w:rsidRPr="3F4AE0BD">
              <w:rPr>
                <w:rFonts w:cs="Calibri"/>
                <w:b/>
                <w:bCs/>
                <w:sz w:val="18"/>
                <w:szCs w:val="18"/>
              </w:rPr>
              <w:t>sex</w:t>
            </w:r>
            <w:r w:rsidR="00501FAB" w:rsidRPr="3F4AE0BD">
              <w:rPr>
                <w:rFonts w:cs="Calibri"/>
                <w:b/>
                <w:bCs/>
                <w:sz w:val="18"/>
                <w:szCs w:val="18"/>
              </w:rPr>
              <w:t xml:space="preserve"> </w:t>
            </w:r>
            <w:r w:rsidR="00410DDD">
              <w:rPr>
                <w:rFonts w:cs="Calibri"/>
                <w:b/>
                <w:bCs/>
                <w:sz w:val="18"/>
                <w:szCs w:val="18"/>
              </w:rPr>
              <w:t xml:space="preserve">and </w:t>
            </w:r>
            <w:r w:rsidR="00501FAB" w:rsidRPr="3F4AE0BD">
              <w:rPr>
                <w:rFonts w:cs="Calibri"/>
                <w:b/>
                <w:bCs/>
                <w:sz w:val="18"/>
                <w:szCs w:val="18"/>
              </w:rPr>
              <w:t>by broad age groups</w:t>
            </w:r>
            <w:r w:rsidR="00501FAB" w:rsidRPr="008545E1">
              <w:rPr>
                <w:rFonts w:cs="Calibri"/>
                <w:sz w:val="18"/>
                <w:szCs w:val="18"/>
              </w:rPr>
              <w:t xml:space="preserve"> (less than 15 years / from 15 to 64 years / 65 years or over)</w:t>
            </w:r>
          </w:p>
          <w:p w14:paraId="00ECBFFC" w14:textId="15E83711" w:rsidR="004F1363" w:rsidRPr="00501FAB" w:rsidRDefault="004F4C14" w:rsidP="00665997">
            <w:pPr>
              <w:pStyle w:val="RD-Indicatortabletext"/>
              <w:numPr>
                <w:ilvl w:val="0"/>
                <w:numId w:val="75"/>
              </w:numPr>
              <w:spacing w:after="60"/>
              <w:jc w:val="both"/>
              <w:rPr>
                <w:rFonts w:cs="Calibri"/>
                <w:b/>
                <w:bCs/>
                <w:sz w:val="18"/>
                <w:szCs w:val="18"/>
              </w:rPr>
            </w:pPr>
            <w:r w:rsidRPr="3F4AE0BD">
              <w:rPr>
                <w:rFonts w:cs="Calibri"/>
                <w:b/>
                <w:bCs/>
                <w:sz w:val="18"/>
                <w:szCs w:val="18"/>
              </w:rPr>
              <w:t>s</w:t>
            </w:r>
            <w:r w:rsidR="005432C4" w:rsidRPr="3F4AE0BD">
              <w:rPr>
                <w:rFonts w:cs="Calibri"/>
                <w:b/>
                <w:bCs/>
                <w:sz w:val="18"/>
                <w:szCs w:val="18"/>
              </w:rPr>
              <w:t xml:space="preserve">hare of </w:t>
            </w:r>
            <w:r w:rsidR="005B3C23" w:rsidRPr="3F4AE0BD">
              <w:rPr>
                <w:rFonts w:cs="Calibri"/>
                <w:b/>
                <w:bCs/>
                <w:sz w:val="18"/>
                <w:szCs w:val="18"/>
              </w:rPr>
              <w:t>population</w:t>
            </w:r>
            <w:r w:rsidR="008545E1" w:rsidRPr="3F4AE0BD">
              <w:rPr>
                <w:rFonts w:cs="Calibri"/>
                <w:b/>
                <w:bCs/>
                <w:sz w:val="18"/>
                <w:szCs w:val="18"/>
              </w:rPr>
              <w:t xml:space="preserve"> </w:t>
            </w:r>
            <w:r w:rsidR="00E03D02" w:rsidRPr="3F4AE0BD">
              <w:rPr>
                <w:rFonts w:cs="Calibri"/>
                <w:b/>
                <w:bCs/>
                <w:sz w:val="18"/>
                <w:szCs w:val="18"/>
              </w:rPr>
              <w:t xml:space="preserve">by </w:t>
            </w:r>
            <w:r w:rsidR="004F1363" w:rsidRPr="3F4AE0BD">
              <w:rPr>
                <w:rFonts w:cs="Calibri"/>
                <w:b/>
                <w:bCs/>
                <w:sz w:val="18"/>
                <w:szCs w:val="18"/>
              </w:rPr>
              <w:t>broad age groups</w:t>
            </w:r>
            <w:r w:rsidR="004F1363" w:rsidRPr="008545E1">
              <w:rPr>
                <w:rFonts w:cs="Calibri"/>
                <w:sz w:val="18"/>
                <w:szCs w:val="18"/>
              </w:rPr>
              <w:t xml:space="preserve"> (less than 15 years / from 15 to 64 years / 65 years or over)</w:t>
            </w:r>
            <w:r w:rsidR="00421AD8" w:rsidRPr="008545E1">
              <w:rPr>
                <w:rFonts w:cs="Calibri"/>
                <w:sz w:val="18"/>
                <w:szCs w:val="18"/>
              </w:rPr>
              <w:t xml:space="preserve"> </w:t>
            </w:r>
            <w:r w:rsidR="004F1363" w:rsidRPr="008545E1">
              <w:rPr>
                <w:rFonts w:cs="Calibri"/>
                <w:sz w:val="18"/>
                <w:szCs w:val="18"/>
              </w:rPr>
              <w:t xml:space="preserve">and </w:t>
            </w:r>
            <w:r w:rsidR="004F1363" w:rsidRPr="3F4AE0BD">
              <w:rPr>
                <w:rFonts w:cs="Calibri"/>
                <w:b/>
                <w:bCs/>
                <w:sz w:val="18"/>
                <w:szCs w:val="18"/>
              </w:rPr>
              <w:t xml:space="preserve">by type of region </w:t>
            </w:r>
            <w:r w:rsidR="004F1363" w:rsidRPr="00421AD8">
              <w:rPr>
                <w:rFonts w:cs="Calibri"/>
                <w:sz w:val="18"/>
                <w:szCs w:val="18"/>
              </w:rPr>
              <w:t>(predominantly rural, intermediate and predominantly urban).</w:t>
            </w:r>
          </w:p>
        </w:tc>
      </w:tr>
      <w:tr w:rsidR="004F1363" w:rsidRPr="00C34DE9" w14:paraId="6125593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DE0AAA0"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7137968" w14:textId="6B925434" w:rsidR="00821BA8" w:rsidRPr="00C34DE9" w:rsidRDefault="00501FAB" w:rsidP="3F4AE0BD">
            <w:pPr>
              <w:spacing w:after="60"/>
              <w:rPr>
                <w:rFonts w:ascii="Verdana" w:hAnsi="Verdana"/>
                <w:b/>
                <w:bCs/>
                <w:sz w:val="18"/>
                <w:szCs w:val="18"/>
              </w:rPr>
            </w:pPr>
            <w:r w:rsidRPr="3F4AE0BD">
              <w:rPr>
                <w:color w:val="000000" w:themeColor="text1"/>
              </w:rPr>
              <w:t xml:space="preserve">1 </w:t>
            </w:r>
            <w:r w:rsidR="00E42460" w:rsidRPr="3F4AE0BD">
              <w:rPr>
                <w:color w:val="000000" w:themeColor="text1"/>
              </w:rPr>
              <w:t>-</w:t>
            </w:r>
            <w:r w:rsidRPr="3F4AE0BD">
              <w:rPr>
                <w:color w:val="000000" w:themeColor="text1"/>
              </w:rPr>
              <w:t xml:space="preserve"> 3:</w:t>
            </w:r>
            <w:r w:rsidR="00421AD8" w:rsidRPr="3F4AE0BD">
              <w:rPr>
                <w:color w:val="000000" w:themeColor="text1"/>
              </w:rPr>
              <w:t xml:space="preserve"> </w:t>
            </w:r>
            <w:r w:rsidR="005432C4" w:rsidRPr="3F4AE0BD">
              <w:rPr>
                <w:color w:val="000000" w:themeColor="text1"/>
              </w:rPr>
              <w:t>%</w:t>
            </w:r>
          </w:p>
        </w:tc>
      </w:tr>
      <w:tr w:rsidR="004F1363" w:rsidRPr="00C34DE9" w14:paraId="573A6D5D"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70DD0D17"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B4C1155" w14:textId="77777777" w:rsidR="00C83C94" w:rsidRPr="00C34DE9" w:rsidRDefault="004F1363" w:rsidP="00C83C94">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C83C94" w:rsidRPr="00C34DE9">
              <w:rPr>
                <w:rFonts w:ascii="Verdana" w:eastAsia="Times New Roman" w:hAnsi="Verdana"/>
                <w:sz w:val="18"/>
                <w:szCs w:val="18"/>
              </w:rPr>
              <w:t>Demography and migration</w:t>
            </w:r>
          </w:p>
          <w:p w14:paraId="6041CBF5"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C83C94" w:rsidRPr="00C34DE9">
              <w:rPr>
                <w:rFonts w:ascii="Verdana" w:eastAsia="Times New Roman" w:hAnsi="Verdana"/>
                <w:sz w:val="18"/>
                <w:szCs w:val="18"/>
              </w:rPr>
              <w:t>Demography statistics by other typologies</w:t>
            </w:r>
          </w:p>
        </w:tc>
      </w:tr>
      <w:tr w:rsidR="004F1363" w:rsidRPr="00C34DE9" w14:paraId="111D5D33"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782702F"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216AE63" w14:textId="65AF9D04" w:rsidR="004F1363" w:rsidRPr="00C34DE9" w:rsidRDefault="004F1363" w:rsidP="00CE27E0">
            <w:pPr>
              <w:spacing w:after="120"/>
              <w:jc w:val="both"/>
              <w:rPr>
                <w:rFonts w:ascii="Verdana" w:hAnsi="Verdana"/>
                <w:sz w:val="18"/>
                <w:szCs w:val="18"/>
              </w:rPr>
            </w:pPr>
            <w:r w:rsidRPr="00C34DE9">
              <w:rPr>
                <w:rFonts w:ascii="Verdana" w:eastAsia="Times New Roman" w:hAnsi="Verdana"/>
                <w:sz w:val="18"/>
                <w:szCs w:val="18"/>
              </w:rPr>
              <w:t xml:space="preserve">National data: Table </w:t>
            </w:r>
            <w:r w:rsidR="00D443E3" w:rsidRPr="00D443E3">
              <w:rPr>
                <w:rFonts w:ascii="Verdana" w:eastAsia="Times New Roman" w:hAnsi="Verdana"/>
                <w:sz w:val="18"/>
                <w:szCs w:val="18"/>
              </w:rPr>
              <w:t>Population on 1 January by broad age group and sex</w:t>
            </w:r>
            <w:r w:rsidR="00D443E3">
              <w:rPr>
                <w:rFonts w:ascii="Verdana" w:eastAsia="Times New Roman" w:hAnsi="Verdana"/>
                <w:sz w:val="18"/>
                <w:szCs w:val="18"/>
              </w:rPr>
              <w:t xml:space="preserve"> </w:t>
            </w:r>
            <w:r w:rsidR="00D443E3" w:rsidRPr="004F261D">
              <w:rPr>
                <w:rStyle w:val="Hyperlink"/>
                <w:rFonts w:cs="Calibri"/>
              </w:rPr>
              <w:t>[</w:t>
            </w:r>
            <w:hyperlink r:id="rId27" w:history="1">
              <w:r w:rsidR="00D443E3" w:rsidRPr="008545E1">
                <w:rPr>
                  <w:rStyle w:val="Hyperlink"/>
                  <w:rFonts w:ascii="Verdana" w:hAnsi="Verdana" w:cs="Calibri"/>
                  <w:sz w:val="18"/>
                  <w:szCs w:val="18"/>
                </w:rPr>
                <w:t>demo_pjanbroad</w:t>
              </w:r>
            </w:hyperlink>
            <w:r w:rsidR="00D443E3">
              <w:rPr>
                <w:rStyle w:val="Hyperlink"/>
                <w:rFonts w:cs="Calibri"/>
              </w:rPr>
              <w:t xml:space="preserve">] </w:t>
            </w:r>
          </w:p>
          <w:p w14:paraId="1B2CFAC9" w14:textId="77777777" w:rsidR="00247380" w:rsidRDefault="00247380"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National data, by typology: Table Population by sex and age groups on 1 January </w:t>
            </w:r>
            <w:r w:rsidRPr="004F261D">
              <w:rPr>
                <w:rStyle w:val="Hyperlink"/>
                <w:rFonts w:cs="Calibri"/>
              </w:rPr>
              <w:t>[</w:t>
            </w:r>
            <w:hyperlink r:id="rId28" w:history="1">
              <w:r w:rsidRPr="00C34DE9">
                <w:rPr>
                  <w:rStyle w:val="Hyperlink"/>
                  <w:rFonts w:ascii="Verdana" w:hAnsi="Verdana" w:cs="Calibri"/>
                  <w:sz w:val="18"/>
                  <w:szCs w:val="18"/>
                </w:rPr>
                <w:t>urt_pjanaggr3</w:t>
              </w:r>
            </w:hyperlink>
            <w:r w:rsidRPr="00C34DE9">
              <w:rPr>
                <w:rFonts w:ascii="Verdana" w:eastAsia="Times New Roman" w:hAnsi="Verdana"/>
                <w:sz w:val="18"/>
                <w:szCs w:val="18"/>
              </w:rPr>
              <w:t>]</w:t>
            </w:r>
            <w:r w:rsidRPr="00C34DE9">
              <w:rPr>
                <w:rStyle w:val="rightside"/>
                <w:rFonts w:ascii="Verdana" w:hAnsi="Verdana"/>
                <w:sz w:val="18"/>
                <w:szCs w:val="18"/>
              </w:rPr>
              <w:t xml:space="preserve"> </w:t>
            </w:r>
            <w:r w:rsidRPr="00C34DE9">
              <w:rPr>
                <w:rFonts w:ascii="Verdana" w:eastAsia="Times New Roman" w:hAnsi="Verdana"/>
                <w:sz w:val="18"/>
                <w:szCs w:val="18"/>
              </w:rPr>
              <w:t xml:space="preserve"> </w:t>
            </w:r>
          </w:p>
          <w:p w14:paraId="279DBD4C" w14:textId="77777777" w:rsidR="0011649C" w:rsidRPr="00C34DE9" w:rsidRDefault="0011649C" w:rsidP="0011649C">
            <w:pPr>
              <w:spacing w:after="120"/>
              <w:jc w:val="both"/>
              <w:rPr>
                <w:rFonts w:ascii="Verdana" w:hAnsi="Verdana"/>
                <w:sz w:val="18"/>
                <w:szCs w:val="18"/>
              </w:rPr>
            </w:pPr>
            <w:r>
              <w:t>R</w:t>
            </w:r>
            <w:r w:rsidRPr="00C34DE9">
              <w:rPr>
                <w:rFonts w:ascii="Verdana" w:eastAsia="Times New Roman" w:hAnsi="Verdana"/>
                <w:sz w:val="18"/>
                <w:szCs w:val="18"/>
              </w:rPr>
              <w:t>egional data: Table Population on 1 January by broad age group, sex and NUTS 3 region [</w:t>
            </w:r>
            <w:hyperlink r:id="rId29" w:history="1">
              <w:r w:rsidRPr="00C34DE9">
                <w:rPr>
                  <w:rStyle w:val="Hyperlink"/>
                  <w:rFonts w:ascii="Verdana" w:eastAsia="Times New Roman" w:hAnsi="Verdana"/>
                  <w:sz w:val="18"/>
                  <w:szCs w:val="18"/>
                </w:rPr>
                <w:t>demo_r_pjanaggr3</w:t>
              </w:r>
            </w:hyperlink>
            <w:r w:rsidRPr="00C34DE9">
              <w:rPr>
                <w:rFonts w:ascii="Verdana" w:eastAsia="Times New Roman" w:hAnsi="Verdana"/>
                <w:sz w:val="18"/>
                <w:szCs w:val="18"/>
              </w:rPr>
              <w:t>]</w:t>
            </w:r>
            <w:r w:rsidRPr="00C34DE9">
              <w:rPr>
                <w:rStyle w:val="rightside"/>
                <w:rFonts w:ascii="Verdana" w:hAnsi="Verdana"/>
                <w:sz w:val="18"/>
                <w:szCs w:val="18"/>
              </w:rPr>
              <w:t xml:space="preserve"> </w:t>
            </w:r>
          </w:p>
          <w:p w14:paraId="1DD86167" w14:textId="77777777" w:rsidR="004F1363" w:rsidRPr="00C34DE9" w:rsidRDefault="00247380" w:rsidP="00D11CB6">
            <w:pPr>
              <w:spacing w:after="60"/>
              <w:jc w:val="both"/>
              <w:rPr>
                <w:rFonts w:ascii="Verdana" w:eastAsia="Times New Roman" w:hAnsi="Verdana"/>
                <w:color w:val="0000FF"/>
                <w:sz w:val="18"/>
                <w:szCs w:val="18"/>
                <w:u w:val="single"/>
              </w:rPr>
            </w:pPr>
            <w:r w:rsidRPr="00FA7243">
              <w:t>Alternatively, there is more detailed data</w:t>
            </w:r>
            <w:r w:rsidRPr="00C34DE9">
              <w:rPr>
                <w:rFonts w:ascii="Verdana" w:eastAsia="Times New Roman" w:hAnsi="Verdana"/>
                <w:sz w:val="18"/>
                <w:szCs w:val="18"/>
              </w:rPr>
              <w:t xml:space="preserve"> age structure of the population by NUTS 3 regi</w:t>
            </w:r>
            <w:r w:rsidR="001A7CEC" w:rsidRPr="00C34DE9">
              <w:rPr>
                <w:rFonts w:ascii="Verdana" w:eastAsia="Times New Roman" w:hAnsi="Verdana"/>
                <w:sz w:val="18"/>
                <w:szCs w:val="18"/>
              </w:rPr>
              <w:t>ons starting with the year 2014: d</w:t>
            </w:r>
            <w:r w:rsidRPr="00C34DE9">
              <w:rPr>
                <w:rFonts w:ascii="Verdana" w:eastAsia="Times New Roman" w:hAnsi="Verdana"/>
                <w:sz w:val="18"/>
                <w:szCs w:val="18"/>
              </w:rPr>
              <w:t>ata by 5-year age group are available in the table [</w:t>
            </w:r>
            <w:hyperlink r:id="rId30" w:history="1">
              <w:r w:rsidRPr="008545E1">
                <w:rPr>
                  <w:rStyle w:val="Hyperlink"/>
                  <w:rFonts w:ascii="Verdana" w:hAnsi="Verdana"/>
                  <w:sz w:val="18"/>
                  <w:szCs w:val="18"/>
                </w:rPr>
                <w:t>demo_r_pjangrp3</w:t>
              </w:r>
            </w:hyperlink>
            <w:r w:rsidRPr="00C34DE9">
              <w:rPr>
                <w:rStyle w:val="leaf"/>
              </w:rPr>
              <w:t>].</w:t>
            </w:r>
          </w:p>
        </w:tc>
      </w:tr>
      <w:tr w:rsidR="004F1363" w:rsidRPr="00C34DE9" w14:paraId="6366725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E8D2A85"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247380"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8A5049C" w14:textId="77777777" w:rsidR="004F1363" w:rsidRPr="00C34DE9" w:rsidRDefault="004F1363" w:rsidP="00896E60">
            <w:pPr>
              <w:spacing w:after="60"/>
              <w:jc w:val="both"/>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ational (NUTS 0)</w:t>
            </w:r>
            <w:r w:rsidR="00381761">
              <w:rPr>
                <w:rFonts w:ascii="Verdana" w:hAnsi="Verdana"/>
                <w:sz w:val="18"/>
                <w:szCs w:val="18"/>
              </w:rPr>
              <w:t>,</w:t>
            </w:r>
            <w:r w:rsidRPr="00C34DE9">
              <w:rPr>
                <w:rFonts w:ascii="Verdana" w:hAnsi="Verdana"/>
                <w:sz w:val="18"/>
                <w:szCs w:val="18"/>
              </w:rPr>
              <w:t xml:space="preserve"> </w:t>
            </w:r>
            <w:r w:rsidR="00381761">
              <w:rPr>
                <w:rFonts w:ascii="Verdana" w:hAnsi="Verdana"/>
                <w:sz w:val="18"/>
                <w:szCs w:val="18"/>
              </w:rPr>
              <w:t>R</w:t>
            </w:r>
            <w:r w:rsidRPr="00C34DE9">
              <w:rPr>
                <w:rFonts w:ascii="Verdana" w:hAnsi="Verdana"/>
                <w:sz w:val="18"/>
                <w:szCs w:val="18"/>
              </w:rPr>
              <w:t>egional (NUTS 1, 2 and 3)</w:t>
            </w:r>
          </w:p>
          <w:p w14:paraId="6DAEBBC5" w14:textId="77777777" w:rsidR="00247380" w:rsidRPr="00C34DE9" w:rsidDel="00F9611E" w:rsidRDefault="00247380" w:rsidP="00896E60">
            <w:pPr>
              <w:spacing w:after="60"/>
              <w:jc w:val="both"/>
              <w:rPr>
                <w:rFonts w:ascii="Verdana" w:hAnsi="Verdana"/>
                <w:sz w:val="18"/>
                <w:szCs w:val="18"/>
              </w:rPr>
            </w:pPr>
            <w:r w:rsidRPr="00C34DE9">
              <w:rPr>
                <w:rFonts w:ascii="Verdana" w:hAnsi="Verdana"/>
                <w:sz w:val="18"/>
                <w:szCs w:val="18"/>
              </w:rPr>
              <w:t xml:space="preserve">by type of region (predominantly rural, intermediate and predominantly urban) </w:t>
            </w:r>
          </w:p>
        </w:tc>
      </w:tr>
      <w:tr w:rsidR="004F1363" w:rsidRPr="00C34DE9" w14:paraId="5182CF00"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6C3E7F73"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4AC4FEC"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32745DDB"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224C0AAB" w14:textId="77777777" w:rsidR="004F1363" w:rsidRPr="00C34DE9" w:rsidRDefault="00247380"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A420987" w14:textId="77777777" w:rsidR="004F1363" w:rsidRPr="00C34DE9" w:rsidRDefault="004F1363" w:rsidP="00896E60">
            <w:pPr>
              <w:spacing w:after="60"/>
              <w:jc w:val="both"/>
              <w:rPr>
                <w:rFonts w:ascii="Verdana" w:hAnsi="Verdana"/>
                <w:sz w:val="18"/>
                <w:szCs w:val="18"/>
                <w:lang w:val="en-US"/>
              </w:rPr>
            </w:pPr>
            <w:r w:rsidRPr="00C34DE9">
              <w:rPr>
                <w:rFonts w:ascii="Verdana" w:hAnsi="Verdana"/>
                <w:sz w:val="18"/>
                <w:szCs w:val="18"/>
                <w:lang w:val="en-US"/>
              </w:rPr>
              <w:t>1 year</w:t>
            </w:r>
          </w:p>
        </w:tc>
      </w:tr>
      <w:tr w:rsidR="004F1363" w:rsidRPr="00C34DE9" w14:paraId="14BE27C4"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35415DEC"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7BCE587" w14:textId="37123C3A" w:rsidR="00247380" w:rsidRPr="00C34DE9" w:rsidRDefault="00247380" w:rsidP="00D11CB6">
            <w:pPr>
              <w:spacing w:after="60"/>
              <w:jc w:val="both"/>
              <w:rPr>
                <w:rFonts w:ascii="Verdana" w:hAnsi="Verdana"/>
                <w:sz w:val="18"/>
                <w:szCs w:val="18"/>
              </w:rPr>
            </w:pPr>
          </w:p>
        </w:tc>
      </w:tr>
    </w:tbl>
    <w:p w14:paraId="5E0834C3" w14:textId="77777777" w:rsidR="00841E23" w:rsidRPr="00C34DE9" w:rsidRDefault="00841E23" w:rsidP="00544872">
      <w:pPr>
        <w:spacing w:after="60"/>
        <w:rPr>
          <w:rFonts w:ascii="Verdana" w:hAnsi="Verdana"/>
          <w:sz w:val="18"/>
          <w:szCs w:val="18"/>
        </w:rPr>
      </w:pPr>
    </w:p>
    <w:p w14:paraId="7BDCFD45" w14:textId="77777777" w:rsidR="00841E23" w:rsidRPr="00C34DE9" w:rsidRDefault="00841E23" w:rsidP="00544872">
      <w:pPr>
        <w:spacing w:after="60"/>
        <w:rPr>
          <w:rFonts w:ascii="Verdana" w:hAnsi="Verdana"/>
          <w:b/>
          <w:sz w:val="18"/>
          <w:szCs w:val="18"/>
        </w:rPr>
      </w:pPr>
    </w:p>
    <w:p w14:paraId="67ED3780"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47909101"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2771806" w14:textId="77777777" w:rsidR="004F1363" w:rsidRPr="00C34DE9" w:rsidRDefault="00CF4810" w:rsidP="3F4AE0BD">
            <w:pPr>
              <w:spacing w:after="60"/>
              <w:rPr>
                <w:rFonts w:ascii="Verdana" w:hAnsi="Verdana"/>
                <w:b/>
                <w:bCs/>
                <w:sz w:val="18"/>
                <w:szCs w:val="18"/>
              </w:rPr>
            </w:pPr>
            <w:r w:rsidRPr="3F4AE0BD">
              <w:rPr>
                <w:rFonts w:ascii="Verdana" w:hAnsi="Verdana"/>
                <w:b/>
                <w:bCs/>
                <w:smallCaps/>
                <w:sz w:val="18"/>
                <w:szCs w:val="18"/>
              </w:rPr>
              <w:lastRenderedPageBreak/>
              <w:t>Indicator C.0</w:t>
            </w:r>
            <w:r w:rsidRPr="3F4AE0BD">
              <w:rPr>
                <w:rFonts w:ascii="Verdana" w:hAnsi="Verdana"/>
                <w:b/>
                <w:bCs/>
                <w:sz w:val="18"/>
                <w:szCs w:val="18"/>
              </w:rPr>
              <w:t>4</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DE14E94" w14:textId="77777777" w:rsidR="004F1363" w:rsidRPr="00C34DE9" w:rsidRDefault="004F1363" w:rsidP="00C30187">
            <w:pPr>
              <w:spacing w:after="60"/>
              <w:rPr>
                <w:rFonts w:ascii="Verdana" w:hAnsi="Verdana"/>
                <w:caps/>
                <w:sz w:val="18"/>
                <w:szCs w:val="18"/>
              </w:rPr>
            </w:pPr>
          </w:p>
        </w:tc>
      </w:tr>
      <w:tr w:rsidR="004F1363" w:rsidRPr="00C34DE9" w14:paraId="34A67C9E"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017BC57"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9A11B6F" w14:textId="77777777"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Total area</w:t>
            </w:r>
          </w:p>
        </w:tc>
      </w:tr>
      <w:tr w:rsidR="004F1363" w:rsidRPr="00C34DE9" w14:paraId="05E08C4B"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20786A6"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5C57290" w14:textId="77777777" w:rsidR="00E03D02" w:rsidRDefault="004F1363" w:rsidP="00D11CB6">
            <w:pPr>
              <w:pStyle w:val="RD-Indicatortabletext"/>
              <w:spacing w:after="60"/>
              <w:jc w:val="both"/>
              <w:rPr>
                <w:rFonts w:cs="Calibri"/>
                <w:sz w:val="18"/>
                <w:szCs w:val="18"/>
              </w:rPr>
            </w:pPr>
            <w:r w:rsidRPr="00C34DE9">
              <w:rPr>
                <w:rFonts w:cs="Calibri"/>
                <w:sz w:val="18"/>
                <w:szCs w:val="18"/>
              </w:rPr>
              <w:t>This indicator refers to</w:t>
            </w:r>
            <w:r w:rsidR="00AE59DD">
              <w:rPr>
                <w:rFonts w:cs="Calibri"/>
                <w:sz w:val="18"/>
                <w:szCs w:val="18"/>
              </w:rPr>
              <w:t xml:space="preserve"> the total area, </w:t>
            </w:r>
            <w:r w:rsidR="005B3C23">
              <w:rPr>
                <w:rFonts w:cs="Calibri"/>
                <w:sz w:val="18"/>
                <w:szCs w:val="18"/>
              </w:rPr>
              <w:t>with 2</w:t>
            </w:r>
            <w:r w:rsidR="00AE59DD">
              <w:rPr>
                <w:rFonts w:cs="Calibri"/>
                <w:sz w:val="18"/>
                <w:szCs w:val="18"/>
              </w:rPr>
              <w:t xml:space="preserve"> </w:t>
            </w:r>
            <w:r w:rsidR="00DD478B">
              <w:rPr>
                <w:rFonts w:cs="Calibri"/>
                <w:sz w:val="18"/>
                <w:szCs w:val="18"/>
              </w:rPr>
              <w:t>specific indicators</w:t>
            </w:r>
            <w:r w:rsidR="00E03D02">
              <w:rPr>
                <w:rFonts w:cs="Calibri"/>
                <w:sz w:val="18"/>
                <w:szCs w:val="18"/>
              </w:rPr>
              <w:t>:</w:t>
            </w:r>
          </w:p>
          <w:p w14:paraId="22C8B34A" w14:textId="11CB5E44" w:rsidR="00E03D02" w:rsidRPr="008545E1" w:rsidRDefault="004F1363" w:rsidP="00665997">
            <w:pPr>
              <w:pStyle w:val="RD-Indicatortabletext"/>
              <w:numPr>
                <w:ilvl w:val="0"/>
                <w:numId w:val="76"/>
              </w:numPr>
              <w:spacing w:after="60"/>
              <w:ind w:left="714" w:hanging="357"/>
              <w:jc w:val="both"/>
              <w:rPr>
                <w:rFonts w:cs="Calibri"/>
                <w:sz w:val="18"/>
                <w:szCs w:val="18"/>
              </w:rPr>
            </w:pPr>
            <w:r w:rsidRPr="3F4AE0BD">
              <w:rPr>
                <w:rFonts w:cs="Calibri"/>
                <w:b/>
                <w:bCs/>
                <w:sz w:val="18"/>
                <w:szCs w:val="18"/>
              </w:rPr>
              <w:t>total area</w:t>
            </w:r>
            <w:r w:rsidRPr="008545E1">
              <w:rPr>
                <w:rFonts w:cs="Calibri"/>
                <w:sz w:val="18"/>
                <w:szCs w:val="18"/>
              </w:rPr>
              <w:t xml:space="preserve"> (including inland waters) </w:t>
            </w:r>
          </w:p>
          <w:p w14:paraId="0892E179" w14:textId="25DCD736" w:rsidR="004F1363" w:rsidRPr="00C34DE9" w:rsidRDefault="004F4C14" w:rsidP="00665997">
            <w:pPr>
              <w:pStyle w:val="RD-Indicatortabletext"/>
              <w:numPr>
                <w:ilvl w:val="0"/>
                <w:numId w:val="76"/>
              </w:numPr>
              <w:spacing w:after="60"/>
              <w:ind w:left="714" w:hanging="357"/>
              <w:jc w:val="both"/>
              <w:rPr>
                <w:rFonts w:cs="Calibri"/>
                <w:sz w:val="18"/>
                <w:szCs w:val="18"/>
              </w:rPr>
            </w:pPr>
            <w:r w:rsidRPr="3F4AE0BD">
              <w:rPr>
                <w:rFonts w:cs="Calibri"/>
                <w:b/>
                <w:bCs/>
                <w:sz w:val="18"/>
                <w:szCs w:val="18"/>
              </w:rPr>
              <w:t xml:space="preserve">share of total </w:t>
            </w:r>
            <w:r w:rsidR="005B3C23" w:rsidRPr="3F4AE0BD">
              <w:rPr>
                <w:rFonts w:cs="Calibri"/>
                <w:b/>
                <w:bCs/>
                <w:sz w:val="18"/>
                <w:szCs w:val="18"/>
              </w:rPr>
              <w:t xml:space="preserve">area </w:t>
            </w:r>
            <w:r w:rsidR="004F1363" w:rsidRPr="3F4AE0BD">
              <w:rPr>
                <w:rFonts w:cs="Calibri"/>
                <w:b/>
                <w:bCs/>
                <w:sz w:val="18"/>
                <w:szCs w:val="18"/>
              </w:rPr>
              <w:t>by type of region</w:t>
            </w:r>
            <w:r w:rsidR="004F1363" w:rsidRPr="008545E1">
              <w:rPr>
                <w:rFonts w:cs="Calibri"/>
                <w:sz w:val="18"/>
                <w:szCs w:val="18"/>
              </w:rPr>
              <w:t xml:space="preserve"> (predominantly rural, interm</w:t>
            </w:r>
            <w:r w:rsidR="00410DDD">
              <w:rPr>
                <w:rFonts w:cs="Calibri"/>
                <w:sz w:val="18"/>
                <w:szCs w:val="18"/>
              </w:rPr>
              <w:t xml:space="preserve">ediate and predominantly urban) </w:t>
            </w:r>
            <w:r w:rsidR="00410DDD" w:rsidRPr="790C88FB">
              <w:rPr>
                <w:rFonts w:cs="Calibri"/>
                <w:b/>
                <w:bCs/>
                <w:sz w:val="18"/>
                <w:szCs w:val="18"/>
              </w:rPr>
              <w:t>and by degree of urbanisation</w:t>
            </w:r>
            <w:r w:rsidR="00410DDD">
              <w:rPr>
                <w:rFonts w:cs="Calibri"/>
                <w:sz w:val="18"/>
                <w:szCs w:val="18"/>
              </w:rPr>
              <w:t xml:space="preserve"> (cities, towns and suburbs, rural areas)</w:t>
            </w:r>
          </w:p>
        </w:tc>
      </w:tr>
      <w:tr w:rsidR="004F1363" w:rsidRPr="00C34DE9" w14:paraId="1571881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272C89B"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8868DFE" w14:textId="14137A7C" w:rsidR="004F1363" w:rsidRDefault="00131FAF" w:rsidP="00896E60">
            <w:pPr>
              <w:spacing w:after="60"/>
              <w:jc w:val="both"/>
              <w:rPr>
                <w:rFonts w:ascii="Verdana" w:eastAsia="Times New Roman" w:hAnsi="Verdana" w:cs="Calibri"/>
                <w:sz w:val="18"/>
                <w:szCs w:val="18"/>
                <w:vertAlign w:val="superscript"/>
              </w:rPr>
            </w:pPr>
            <w:r>
              <w:rPr>
                <w:rFonts w:ascii="Verdana" w:eastAsia="Times New Roman" w:hAnsi="Verdana" w:cs="Calibri"/>
                <w:sz w:val="18"/>
                <w:szCs w:val="18"/>
              </w:rPr>
              <w:t xml:space="preserve">1: </w:t>
            </w:r>
            <w:r w:rsidR="004F1363" w:rsidRPr="00C34DE9">
              <w:rPr>
                <w:rFonts w:ascii="Verdana" w:eastAsia="Times New Roman" w:hAnsi="Verdana" w:cs="Calibri"/>
                <w:sz w:val="18"/>
                <w:szCs w:val="18"/>
              </w:rPr>
              <w:t>km</w:t>
            </w:r>
            <w:r w:rsidR="004F1363" w:rsidRPr="00C34DE9">
              <w:rPr>
                <w:rFonts w:ascii="Verdana" w:eastAsia="Times New Roman" w:hAnsi="Verdana" w:cs="Calibri"/>
                <w:sz w:val="18"/>
                <w:szCs w:val="18"/>
                <w:vertAlign w:val="superscript"/>
              </w:rPr>
              <w:t>2</w:t>
            </w:r>
          </w:p>
          <w:p w14:paraId="3D021F24" w14:textId="433A877C" w:rsidR="00AE59DD" w:rsidRPr="00CE27E0" w:rsidRDefault="00B8041A" w:rsidP="004F4C14">
            <w:pPr>
              <w:spacing w:after="60"/>
              <w:jc w:val="both"/>
              <w:rPr>
                <w:rFonts w:ascii="Verdana" w:eastAsia="Times New Roman" w:hAnsi="Verdana" w:cs="Calibri"/>
                <w:sz w:val="18"/>
                <w:szCs w:val="18"/>
              </w:rPr>
            </w:pPr>
            <w:r>
              <w:rPr>
                <w:rFonts w:ascii="Verdana" w:eastAsia="Times New Roman" w:hAnsi="Verdana" w:cs="Calibri"/>
                <w:sz w:val="18"/>
                <w:szCs w:val="18"/>
              </w:rPr>
              <w:t>2</w:t>
            </w:r>
            <w:r w:rsidR="00131FAF">
              <w:rPr>
                <w:rFonts w:ascii="Verdana" w:eastAsia="Times New Roman" w:hAnsi="Verdana" w:cs="Calibri"/>
                <w:sz w:val="18"/>
                <w:szCs w:val="18"/>
              </w:rPr>
              <w:t xml:space="preserve">: </w:t>
            </w:r>
            <w:r w:rsidR="004F4C14">
              <w:rPr>
                <w:rFonts w:ascii="Verdana" w:eastAsia="Times New Roman" w:hAnsi="Verdana" w:cs="Calibri"/>
                <w:sz w:val="18"/>
                <w:szCs w:val="18"/>
              </w:rPr>
              <w:t>%</w:t>
            </w:r>
          </w:p>
        </w:tc>
      </w:tr>
      <w:tr w:rsidR="004F1363" w:rsidRPr="00C34DE9" w14:paraId="27A9E8D0" w14:textId="77777777" w:rsidTr="240ABBB4">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3F7D9B70"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0C0F86B"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687F47" w:rsidRPr="00C34DE9">
              <w:rPr>
                <w:rFonts w:ascii="Verdana" w:eastAsia="Times New Roman" w:hAnsi="Verdana"/>
                <w:sz w:val="18"/>
                <w:szCs w:val="18"/>
              </w:rPr>
              <w:t xml:space="preserve">Demography and migration </w:t>
            </w:r>
          </w:p>
          <w:p w14:paraId="16070DD2" w14:textId="77777777" w:rsidR="004F1363" w:rsidRPr="00C34DE9" w:rsidRDefault="004F1363" w:rsidP="00687F47">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w:t>
            </w:r>
            <w:r w:rsidR="00687F47" w:rsidRPr="00C34DE9">
              <w:rPr>
                <w:rFonts w:ascii="Verdana" w:eastAsia="Times New Roman" w:hAnsi="Verdana"/>
                <w:sz w:val="18"/>
                <w:szCs w:val="18"/>
              </w:rPr>
              <w:t xml:space="preserve">Demography statistics by other typologies </w:t>
            </w:r>
          </w:p>
        </w:tc>
      </w:tr>
      <w:tr w:rsidR="004F1363" w:rsidRPr="00C34DE9" w14:paraId="606ECB67"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3C553DE4"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D3434DD" w14:textId="5500487E" w:rsidR="003A34B7" w:rsidRPr="00C34DE9" w:rsidRDefault="004F1363" w:rsidP="00896E60">
            <w:pPr>
              <w:spacing w:after="60"/>
              <w:jc w:val="both"/>
              <w:rPr>
                <w:rFonts w:ascii="Verdana" w:eastAsia="Times New Roman" w:hAnsi="Verdana" w:cs="Calibri"/>
                <w:sz w:val="18"/>
                <w:szCs w:val="18"/>
              </w:rPr>
            </w:pPr>
            <w:r w:rsidRPr="00C34DE9">
              <w:rPr>
                <w:rFonts w:ascii="Verdana" w:eastAsia="Times New Roman" w:hAnsi="Verdana" w:cs="Calibri"/>
                <w:sz w:val="18"/>
                <w:szCs w:val="18"/>
              </w:rPr>
              <w:t xml:space="preserve">National data: </w:t>
            </w:r>
            <w:r w:rsidR="00442971">
              <w:rPr>
                <w:rFonts w:ascii="Verdana" w:eastAsia="Times New Roman" w:hAnsi="Verdana" w:cs="Calibri"/>
                <w:sz w:val="18"/>
                <w:szCs w:val="18"/>
              </w:rPr>
              <w:t>u</w:t>
            </w:r>
            <w:r w:rsidR="003A34B7" w:rsidRPr="00C34DE9">
              <w:rPr>
                <w:rFonts w:ascii="Verdana" w:eastAsia="Times New Roman" w:hAnsi="Verdana" w:cs="Calibri"/>
                <w:sz w:val="18"/>
                <w:szCs w:val="18"/>
              </w:rPr>
              <w:t xml:space="preserve">sers should use total area figures from </w:t>
            </w:r>
            <w:r w:rsidR="00FF5970">
              <w:rPr>
                <w:rFonts w:ascii="Verdana" w:eastAsia="Times New Roman" w:hAnsi="Verdana" w:cs="Calibri"/>
                <w:sz w:val="18"/>
                <w:szCs w:val="18"/>
              </w:rPr>
              <w:t>T</w:t>
            </w:r>
            <w:r w:rsidR="003A34B7" w:rsidRPr="00C34DE9">
              <w:rPr>
                <w:rFonts w:ascii="Verdana" w:eastAsia="Times New Roman" w:hAnsi="Verdana" w:cs="Calibri"/>
                <w:sz w:val="18"/>
                <w:szCs w:val="18"/>
              </w:rPr>
              <w:t>able</w:t>
            </w:r>
            <w:r w:rsidR="00FF5970">
              <w:rPr>
                <w:rFonts w:ascii="Verdana" w:eastAsia="Times New Roman" w:hAnsi="Verdana" w:cs="Calibri"/>
                <w:sz w:val="18"/>
                <w:szCs w:val="18"/>
              </w:rPr>
              <w:t xml:space="preserve"> </w:t>
            </w:r>
            <w:r w:rsidR="00FF5970" w:rsidRPr="00FF5970">
              <w:rPr>
                <w:rFonts w:ascii="Verdana" w:eastAsia="Times New Roman" w:hAnsi="Verdana" w:cs="Calibri"/>
                <w:sz w:val="18"/>
                <w:szCs w:val="18"/>
              </w:rPr>
              <w:t>Area by NUTS 3 region</w:t>
            </w:r>
            <w:r w:rsidR="003A34B7" w:rsidRPr="00C34DE9">
              <w:rPr>
                <w:rFonts w:ascii="Verdana" w:eastAsia="Times New Roman" w:hAnsi="Verdana" w:cs="Calibri"/>
                <w:sz w:val="18"/>
                <w:szCs w:val="18"/>
              </w:rPr>
              <w:t xml:space="preserve"> [</w:t>
            </w:r>
            <w:hyperlink r:id="rId31" w:history="1">
              <w:r w:rsidR="003A34B7" w:rsidRPr="00D11CB6">
                <w:rPr>
                  <w:rStyle w:val="Hyperlink"/>
                  <w:rFonts w:ascii="Verdana" w:eastAsia="Times New Roman" w:hAnsi="Verdana" w:cs="Calibri"/>
                  <w:sz w:val="18"/>
                  <w:szCs w:val="18"/>
                </w:rPr>
                <w:t>reg_area3</w:t>
              </w:r>
            </w:hyperlink>
            <w:r w:rsidR="00D11CB6">
              <w:rPr>
                <w:rFonts w:ascii="Verdana" w:eastAsia="Times New Roman" w:hAnsi="Verdana" w:cs="Calibri"/>
                <w:sz w:val="18"/>
                <w:szCs w:val="18"/>
              </w:rPr>
              <w:t xml:space="preserve">] </w:t>
            </w:r>
          </w:p>
          <w:p w14:paraId="46DCBE61" w14:textId="77777777" w:rsidR="003A34B7" w:rsidRPr="00C34DE9" w:rsidRDefault="003A34B7" w:rsidP="00896E60">
            <w:pPr>
              <w:spacing w:after="60"/>
              <w:jc w:val="both"/>
              <w:rPr>
                <w:rFonts w:ascii="Verdana" w:eastAsia="Times New Roman" w:hAnsi="Verdana" w:cs="Calibri"/>
                <w:sz w:val="18"/>
                <w:szCs w:val="18"/>
              </w:rPr>
            </w:pPr>
            <w:r w:rsidRPr="00C34DE9">
              <w:rPr>
                <w:rFonts w:ascii="Verdana" w:eastAsia="Times New Roman" w:hAnsi="Verdana" w:cs="Calibri"/>
                <w:sz w:val="18"/>
                <w:szCs w:val="18"/>
              </w:rPr>
              <w:t>National data, by typology: Table Area of the regions by other typologies [</w:t>
            </w:r>
            <w:hyperlink r:id="rId32" w:history="1">
              <w:r w:rsidRPr="00D11CB6">
                <w:rPr>
                  <w:rStyle w:val="Hyperlink"/>
                  <w:rFonts w:ascii="Verdana" w:eastAsia="Times New Roman" w:hAnsi="Verdana" w:cs="Calibri"/>
                  <w:sz w:val="18"/>
                  <w:szCs w:val="18"/>
                </w:rPr>
                <w:t>urt_d3area</w:t>
              </w:r>
            </w:hyperlink>
            <w:r w:rsidRPr="00C34DE9">
              <w:rPr>
                <w:rFonts w:ascii="Verdana" w:eastAsia="Times New Roman" w:hAnsi="Verdana" w:cs="Calibri"/>
                <w:sz w:val="18"/>
                <w:szCs w:val="18"/>
              </w:rPr>
              <w:t xml:space="preserve">] </w:t>
            </w:r>
          </w:p>
          <w:p w14:paraId="3705631C" w14:textId="77777777" w:rsidR="004F1363" w:rsidRDefault="004F1363" w:rsidP="3F4AE0BD">
            <w:pPr>
              <w:spacing w:after="60"/>
              <w:jc w:val="both"/>
              <w:rPr>
                <w:rStyle w:val="leaf"/>
              </w:rPr>
            </w:pPr>
            <w:r w:rsidRPr="00C34DE9">
              <w:rPr>
                <w:rFonts w:ascii="Verdana" w:eastAsia="Times New Roman" w:hAnsi="Verdana" w:cs="Calibri"/>
                <w:sz w:val="18"/>
                <w:szCs w:val="18"/>
              </w:rPr>
              <w:t xml:space="preserve">Regional data: Area by NUTS 3 region </w:t>
            </w:r>
            <w:r w:rsidR="00D46BBE" w:rsidRPr="00C34DE9">
              <w:rPr>
                <w:rFonts w:ascii="Verdana" w:eastAsia="Times New Roman" w:hAnsi="Verdana" w:cs="Calibri"/>
                <w:sz w:val="18"/>
                <w:szCs w:val="18"/>
              </w:rPr>
              <w:t>[</w:t>
            </w:r>
            <w:hyperlink r:id="rId33" w:history="1">
              <w:r w:rsidR="00D46BBE" w:rsidRPr="008545E1">
                <w:rPr>
                  <w:rStyle w:val="Hyperlink"/>
                  <w:rFonts w:ascii="Verdana" w:hAnsi="Verdana"/>
                  <w:sz w:val="18"/>
                  <w:szCs w:val="18"/>
                </w:rPr>
                <w:t>reg_area3</w:t>
              </w:r>
            </w:hyperlink>
            <w:r w:rsidR="00D46BBE" w:rsidRPr="00C34DE9">
              <w:rPr>
                <w:rStyle w:val="leaf"/>
              </w:rPr>
              <w:t xml:space="preserve">] </w:t>
            </w:r>
          </w:p>
          <w:p w14:paraId="2EE0112A" w14:textId="354018AB" w:rsidR="00410DDD" w:rsidRDefault="00410DDD" w:rsidP="00410DDD">
            <w:pPr>
              <w:spacing w:after="60"/>
              <w:rPr>
                <w:rFonts w:ascii="Verdana" w:eastAsia="Times New Roman" w:hAnsi="Verdana"/>
                <w:sz w:val="18"/>
                <w:szCs w:val="18"/>
              </w:rPr>
            </w:pPr>
            <w:r w:rsidRPr="627DAE39">
              <w:rPr>
                <w:rFonts w:ascii="Verdana" w:hAnsi="Verdana"/>
                <w:sz w:val="18"/>
                <w:szCs w:val="18"/>
              </w:rPr>
              <w:t>Most recent urban-rural typology</w:t>
            </w:r>
            <w:r>
              <w:rPr>
                <w:rFonts w:ascii="Verdana" w:hAnsi="Verdana"/>
                <w:sz w:val="18"/>
                <w:szCs w:val="18"/>
              </w:rPr>
              <w:t xml:space="preserve"> definition</w:t>
            </w:r>
            <w:r w:rsidRPr="627DAE39">
              <w:rPr>
                <w:rFonts w:ascii="Verdana" w:hAnsi="Verdana"/>
                <w:sz w:val="18"/>
                <w:szCs w:val="18"/>
              </w:rPr>
              <w:t xml:space="preserve">: </w:t>
            </w:r>
            <w:hyperlink r:id="rId34" w:history="1">
              <w:r>
                <w:rPr>
                  <w:rStyle w:val="Hyperlink"/>
                </w:rPr>
                <w:t>Methodology - Rural development - Eurostat (europa.eu)</w:t>
              </w:r>
            </w:hyperlink>
            <w:r w:rsidRPr="240ABBB4">
              <w:t>.</w:t>
            </w:r>
          </w:p>
          <w:p w14:paraId="1D805CA4" w14:textId="2E0B0179" w:rsidR="00410DDD" w:rsidRPr="00410DDD" w:rsidRDefault="00410DDD" w:rsidP="00410DDD">
            <w:pPr>
              <w:spacing w:after="60"/>
              <w:rPr>
                <w:rFonts w:ascii="Verdana" w:eastAsia="Times New Roman" w:hAnsi="Verdana"/>
                <w:color w:val="0000FF"/>
                <w:sz w:val="18"/>
                <w:szCs w:val="18"/>
                <w:u w:val="single"/>
              </w:rPr>
            </w:pPr>
            <w:r w:rsidRPr="7A95C86D">
              <w:rPr>
                <w:rFonts w:ascii="Verdana" w:eastAsia="Times New Roman" w:hAnsi="Verdana"/>
                <w:sz w:val="18"/>
                <w:szCs w:val="18"/>
              </w:rPr>
              <w:t>The di</w:t>
            </w:r>
            <w:r>
              <w:rPr>
                <w:rFonts w:ascii="Verdana" w:eastAsia="Times New Roman" w:hAnsi="Verdana"/>
                <w:sz w:val="18"/>
                <w:szCs w:val="18"/>
              </w:rPr>
              <w:t>stribution of population by degree of urbanisation will be available by 2023 onwards (census – Eurostat).</w:t>
            </w:r>
          </w:p>
        </w:tc>
      </w:tr>
      <w:tr w:rsidR="004F1363" w:rsidRPr="00C34DE9" w14:paraId="20A57CC6"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57E27BB"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Data collection</w:t>
            </w:r>
            <w:r w:rsidR="003A34B7"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3C6E755" w14:textId="77777777" w:rsidR="004F1363" w:rsidRPr="00C34DE9" w:rsidDel="00F9611E" w:rsidRDefault="004F1363" w:rsidP="00896E60">
            <w:pPr>
              <w:spacing w:after="60"/>
              <w:jc w:val="both"/>
              <w:rPr>
                <w:rFonts w:ascii="Verdana" w:hAnsi="Verdana"/>
                <w:sz w:val="18"/>
                <w:szCs w:val="18"/>
              </w:rPr>
            </w:pPr>
            <w:r w:rsidRPr="00C34DE9">
              <w:rPr>
                <w:rFonts w:ascii="Verdana" w:hAnsi="Verdana"/>
                <w:sz w:val="18"/>
                <w:szCs w:val="18"/>
              </w:rPr>
              <w:t xml:space="preserve">EU, </w:t>
            </w:r>
            <w:r w:rsidR="00381761">
              <w:rPr>
                <w:rFonts w:ascii="Verdana" w:hAnsi="Verdana"/>
                <w:sz w:val="18"/>
                <w:szCs w:val="18"/>
              </w:rPr>
              <w:t>N</w:t>
            </w:r>
            <w:r w:rsidRPr="00C34DE9">
              <w:rPr>
                <w:rFonts w:ascii="Verdana" w:hAnsi="Verdana"/>
                <w:sz w:val="18"/>
                <w:szCs w:val="18"/>
              </w:rPr>
              <w:t>ational (NUTS 0)</w:t>
            </w:r>
            <w:r w:rsidR="00B840B2">
              <w:rPr>
                <w:rFonts w:ascii="Verdana" w:hAnsi="Verdana"/>
                <w:sz w:val="18"/>
                <w:szCs w:val="18"/>
              </w:rPr>
              <w:t xml:space="preserve"> </w:t>
            </w:r>
            <w:r w:rsidRPr="00C34DE9">
              <w:rPr>
                <w:rFonts w:ascii="Verdana" w:hAnsi="Verdana"/>
                <w:sz w:val="18"/>
                <w:szCs w:val="18"/>
              </w:rPr>
              <w:t xml:space="preserve">and </w:t>
            </w:r>
            <w:r w:rsidR="00381761">
              <w:rPr>
                <w:rFonts w:ascii="Verdana" w:hAnsi="Verdana"/>
                <w:sz w:val="18"/>
                <w:szCs w:val="18"/>
              </w:rPr>
              <w:t>R</w:t>
            </w:r>
            <w:r w:rsidRPr="00C34DE9">
              <w:rPr>
                <w:rFonts w:ascii="Verdana" w:hAnsi="Verdana"/>
                <w:sz w:val="18"/>
                <w:szCs w:val="18"/>
              </w:rPr>
              <w:t>egional (NUTS 1, 2 and 3)</w:t>
            </w:r>
          </w:p>
        </w:tc>
      </w:tr>
      <w:tr w:rsidR="004F1363" w:rsidRPr="00C34DE9" w14:paraId="77BBD6CF" w14:textId="77777777" w:rsidTr="240ABBB4">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07B08A0E"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AACF190"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1EA388F8" w14:textId="77777777" w:rsidTr="240ABBB4">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7C2CB78F" w14:textId="77777777" w:rsidR="004F1363" w:rsidRPr="00C34DE9" w:rsidRDefault="003A34B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A8AEC99" w14:textId="77777777" w:rsidR="004F1363" w:rsidRPr="00C34DE9" w:rsidRDefault="004F1363" w:rsidP="00896E60">
            <w:pPr>
              <w:spacing w:after="60"/>
              <w:jc w:val="both"/>
              <w:rPr>
                <w:rFonts w:ascii="Verdana" w:hAnsi="Verdana"/>
                <w:sz w:val="18"/>
                <w:szCs w:val="18"/>
                <w:lang w:val="en-US"/>
              </w:rPr>
            </w:pPr>
            <w:r w:rsidRPr="00C34DE9">
              <w:rPr>
                <w:rFonts w:ascii="Verdana" w:hAnsi="Verdana"/>
                <w:sz w:val="18"/>
                <w:szCs w:val="18"/>
                <w:lang w:val="en-US"/>
              </w:rPr>
              <w:t>1 year</w:t>
            </w:r>
          </w:p>
        </w:tc>
      </w:tr>
      <w:tr w:rsidR="004F1363" w:rsidRPr="00C34DE9" w14:paraId="7FA9BF5C"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02CA4E57"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41E5BB8" w14:textId="1D0CE47C" w:rsidR="004F1363" w:rsidRPr="00C34DE9" w:rsidRDefault="004F1363" w:rsidP="00896E60">
            <w:pPr>
              <w:pStyle w:val="RD-Indicatortabletext"/>
              <w:spacing w:after="60"/>
              <w:jc w:val="both"/>
              <w:rPr>
                <w:sz w:val="18"/>
                <w:szCs w:val="18"/>
              </w:rPr>
            </w:pPr>
            <w:r w:rsidRPr="00C34DE9">
              <w:rPr>
                <w:rFonts w:cs="Calibri"/>
                <w:sz w:val="18"/>
                <w:szCs w:val="18"/>
              </w:rPr>
              <w:t xml:space="preserve">In case of missing data, land area has </w:t>
            </w:r>
            <w:r w:rsidR="00684C9B">
              <w:rPr>
                <w:rFonts w:cs="Calibri"/>
                <w:sz w:val="18"/>
                <w:szCs w:val="18"/>
              </w:rPr>
              <w:t xml:space="preserve">to </w:t>
            </w:r>
            <w:r w:rsidRPr="00C34DE9">
              <w:rPr>
                <w:rFonts w:cs="Calibri"/>
                <w:sz w:val="18"/>
                <w:szCs w:val="18"/>
              </w:rPr>
              <w:t>be used instead of total area.</w:t>
            </w:r>
          </w:p>
          <w:p w14:paraId="1BB1662E" w14:textId="5527157A" w:rsidR="004F1363" w:rsidRPr="00C34DE9" w:rsidRDefault="004F1363" w:rsidP="00D11CB6">
            <w:pPr>
              <w:spacing w:after="60"/>
              <w:jc w:val="both"/>
              <w:rPr>
                <w:rFonts w:ascii="Verdana" w:hAnsi="Verdana"/>
                <w:sz w:val="18"/>
                <w:szCs w:val="18"/>
              </w:rPr>
            </w:pPr>
          </w:p>
        </w:tc>
      </w:tr>
    </w:tbl>
    <w:p w14:paraId="2E1F25A8" w14:textId="77777777" w:rsidR="00841E23" w:rsidRPr="00C34DE9" w:rsidRDefault="00841E23" w:rsidP="00544872">
      <w:pPr>
        <w:spacing w:after="60"/>
        <w:rPr>
          <w:rFonts w:ascii="Verdana" w:hAnsi="Verdana"/>
          <w:sz w:val="18"/>
          <w:szCs w:val="18"/>
        </w:rPr>
      </w:pPr>
    </w:p>
    <w:p w14:paraId="7BF473F8" w14:textId="77777777" w:rsidR="00841E23" w:rsidRPr="00C34DE9" w:rsidRDefault="00841E23" w:rsidP="00544872">
      <w:pPr>
        <w:spacing w:after="60"/>
        <w:rPr>
          <w:rFonts w:ascii="Verdana" w:hAnsi="Verdana"/>
          <w:b/>
          <w:sz w:val="18"/>
          <w:szCs w:val="18"/>
        </w:rPr>
      </w:pPr>
    </w:p>
    <w:p w14:paraId="6C11FE68" w14:textId="77777777" w:rsidR="00D8259C" w:rsidRPr="00C34DE9" w:rsidRDefault="00940A4E">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0668D939"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959CBCD" w14:textId="77777777" w:rsidR="004F1363" w:rsidRPr="00C34DE9" w:rsidRDefault="004F1363" w:rsidP="5CB4B133">
            <w:pPr>
              <w:spacing w:after="60"/>
              <w:rPr>
                <w:rFonts w:ascii="Verdana" w:hAnsi="Verdana"/>
                <w:b/>
                <w:bCs/>
                <w:sz w:val="18"/>
                <w:szCs w:val="18"/>
              </w:rPr>
            </w:pPr>
            <w:bookmarkStart w:id="4" w:name="C05"/>
            <w:r w:rsidRPr="5CB4B133">
              <w:rPr>
                <w:rFonts w:ascii="Verdana" w:hAnsi="Verdana"/>
                <w:b/>
                <w:bCs/>
                <w:smallCaps/>
                <w:sz w:val="18"/>
                <w:szCs w:val="18"/>
              </w:rPr>
              <w:lastRenderedPageBreak/>
              <w:t>Indicator C.05</w:t>
            </w:r>
            <w:bookmarkEnd w:id="4"/>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4EC403A" w14:textId="77777777" w:rsidR="004F1363" w:rsidRPr="00C34DE9" w:rsidRDefault="004F1363" w:rsidP="00C30187">
            <w:pPr>
              <w:spacing w:after="60"/>
              <w:rPr>
                <w:rFonts w:ascii="Verdana" w:hAnsi="Verdana"/>
                <w:caps/>
                <w:sz w:val="18"/>
                <w:szCs w:val="18"/>
              </w:rPr>
            </w:pPr>
          </w:p>
        </w:tc>
      </w:tr>
      <w:tr w:rsidR="004F1363" w:rsidRPr="00C34DE9" w14:paraId="74BA10E0"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F62259D"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349E3EE" w14:textId="62B084F1"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 xml:space="preserve">Land </w:t>
            </w:r>
            <w:r w:rsidR="007C6E79">
              <w:rPr>
                <w:rFonts w:ascii="Verdana" w:hAnsi="Verdana"/>
                <w:b/>
                <w:bCs/>
                <w:sz w:val="18"/>
                <w:szCs w:val="18"/>
              </w:rPr>
              <w:t>c</w:t>
            </w:r>
            <w:r w:rsidRPr="5CB4B133">
              <w:rPr>
                <w:rFonts w:ascii="Verdana" w:hAnsi="Verdana"/>
                <w:b/>
                <w:bCs/>
                <w:sz w:val="18"/>
                <w:szCs w:val="18"/>
              </w:rPr>
              <w:t>over</w:t>
            </w:r>
          </w:p>
        </w:tc>
      </w:tr>
      <w:tr w:rsidR="004F1363" w:rsidRPr="00C34DE9" w14:paraId="5D2A5F7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26657A"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90FB5C9" w14:textId="67A57B87" w:rsidR="004F1363" w:rsidRPr="00C34DE9" w:rsidRDefault="004F1363" w:rsidP="3F4AE0BD">
            <w:pPr>
              <w:autoSpaceDE w:val="0"/>
              <w:autoSpaceDN w:val="0"/>
              <w:adjustRightInd w:val="0"/>
              <w:spacing w:after="60" w:line="240" w:lineRule="auto"/>
              <w:rPr>
                <w:rFonts w:ascii="Verdana" w:hAnsi="Verdana" w:cs="Calibri"/>
                <w:b/>
                <w:bCs/>
                <w:sz w:val="18"/>
                <w:szCs w:val="18"/>
              </w:rPr>
            </w:pPr>
            <w:r w:rsidRPr="00C34DE9">
              <w:rPr>
                <w:rFonts w:ascii="Verdana" w:hAnsi="Verdana" w:cs="Calibri"/>
                <w:sz w:val="18"/>
                <w:szCs w:val="18"/>
              </w:rPr>
              <w:t>The indicator measures the area in the different categories of land cover</w:t>
            </w:r>
            <w:r w:rsidR="00AE59DD">
              <w:rPr>
                <w:rFonts w:ascii="Verdana" w:hAnsi="Verdana" w:cs="Calibri"/>
                <w:sz w:val="18"/>
                <w:szCs w:val="18"/>
              </w:rPr>
              <w:t xml:space="preserve"> and it consists of </w:t>
            </w:r>
            <w:r w:rsidR="00CB37D1">
              <w:rPr>
                <w:rFonts w:ascii="Verdana" w:hAnsi="Verdana" w:cs="Calibri"/>
                <w:sz w:val="18"/>
                <w:szCs w:val="18"/>
              </w:rPr>
              <w:t>5</w:t>
            </w:r>
            <w:r w:rsidR="00AE59DD">
              <w:rPr>
                <w:rFonts w:ascii="Verdana" w:hAnsi="Verdana" w:cs="Calibri"/>
                <w:sz w:val="18"/>
                <w:szCs w:val="18"/>
              </w:rPr>
              <w:t xml:space="preserve"> </w:t>
            </w:r>
            <w:r w:rsidR="00DD478B">
              <w:rPr>
                <w:rFonts w:ascii="Verdana" w:hAnsi="Verdana" w:cs="Calibri"/>
                <w:sz w:val="18"/>
                <w:szCs w:val="18"/>
              </w:rPr>
              <w:t>specific indicators</w:t>
            </w:r>
            <w:r w:rsidRPr="00C34DE9">
              <w:rPr>
                <w:rFonts w:ascii="Verdana" w:hAnsi="Verdana" w:cs="Calibri"/>
                <w:sz w:val="18"/>
                <w:szCs w:val="18"/>
              </w:rPr>
              <w:t>:</w:t>
            </w:r>
            <w:r w:rsidRPr="3F4AE0BD">
              <w:rPr>
                <w:rFonts w:ascii="Verdana" w:hAnsi="Verdana" w:cs="Calibri"/>
                <w:b/>
                <w:bCs/>
                <w:sz w:val="18"/>
                <w:szCs w:val="18"/>
              </w:rPr>
              <w:t xml:space="preserve"> </w:t>
            </w:r>
          </w:p>
          <w:p w14:paraId="4ABDD043" w14:textId="5280E573" w:rsidR="002F6287" w:rsidRPr="007D3E04" w:rsidRDefault="002F6287"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 xml:space="preserve">Artificial </w:t>
            </w:r>
            <w:r w:rsidR="00CF4810" w:rsidRPr="3F4AE0BD">
              <w:rPr>
                <w:rFonts w:ascii="Verdana" w:hAnsi="Verdana"/>
                <w:b/>
                <w:bCs/>
                <w:sz w:val="18"/>
                <w:szCs w:val="18"/>
              </w:rPr>
              <w:t>surface</w:t>
            </w:r>
          </w:p>
          <w:p w14:paraId="6EEB77EC" w14:textId="35EF4CD6" w:rsidR="002F6287" w:rsidRDefault="002F6287"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Agricultural area</w:t>
            </w:r>
            <w:r w:rsidR="00CF4810" w:rsidRPr="3F4AE0BD">
              <w:rPr>
                <w:rFonts w:ascii="Verdana" w:hAnsi="Verdana"/>
                <w:b/>
                <w:bCs/>
                <w:sz w:val="18"/>
                <w:szCs w:val="18"/>
              </w:rPr>
              <w:t>s</w:t>
            </w:r>
          </w:p>
          <w:p w14:paraId="5A6493EA" w14:textId="77777777" w:rsidR="00176076" w:rsidRPr="007D3E04" w:rsidRDefault="00176076"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Natural grassland</w:t>
            </w:r>
          </w:p>
          <w:p w14:paraId="6BB52850" w14:textId="77777777" w:rsidR="00DB4B58" w:rsidRDefault="002F6287" w:rsidP="00665997">
            <w:pPr>
              <w:pStyle w:val="LegalNumPar"/>
              <w:numPr>
                <w:ilvl w:val="0"/>
                <w:numId w:val="77"/>
              </w:numPr>
              <w:spacing w:after="60" w:line="240" w:lineRule="auto"/>
              <w:ind w:left="714" w:hanging="357"/>
              <w:rPr>
                <w:rFonts w:ascii="Verdana" w:hAnsi="Verdana"/>
                <w:b/>
                <w:bCs/>
                <w:sz w:val="18"/>
                <w:szCs w:val="18"/>
              </w:rPr>
            </w:pPr>
            <w:r w:rsidRPr="3F4AE0BD">
              <w:rPr>
                <w:rFonts w:ascii="Verdana" w:hAnsi="Verdana"/>
                <w:b/>
                <w:bCs/>
                <w:sz w:val="18"/>
                <w:szCs w:val="18"/>
              </w:rPr>
              <w:t>Forest</w:t>
            </w:r>
          </w:p>
          <w:p w14:paraId="5F8B6986" w14:textId="0D612D0F" w:rsidR="002F6287" w:rsidRPr="00CF4810" w:rsidRDefault="00DB4B58" w:rsidP="00DB4B58">
            <w:pPr>
              <w:pStyle w:val="LegalNumPar"/>
              <w:numPr>
                <w:ilvl w:val="0"/>
                <w:numId w:val="77"/>
              </w:numPr>
              <w:spacing w:after="60" w:line="240" w:lineRule="auto"/>
              <w:ind w:hanging="363"/>
              <w:rPr>
                <w:rFonts w:ascii="Verdana" w:hAnsi="Verdana"/>
                <w:b/>
                <w:bCs/>
                <w:sz w:val="18"/>
                <w:szCs w:val="18"/>
              </w:rPr>
            </w:pPr>
            <w:r>
              <w:rPr>
                <w:rFonts w:ascii="Verdana" w:hAnsi="Verdana"/>
                <w:b/>
                <w:bCs/>
                <w:sz w:val="18"/>
                <w:szCs w:val="18"/>
                <w:lang w:val="en-US"/>
              </w:rPr>
              <w:t>T</w:t>
            </w:r>
            <w:r w:rsidR="00351E42" w:rsidRPr="3F4AE0BD">
              <w:rPr>
                <w:rFonts w:ascii="Verdana" w:hAnsi="Verdana"/>
                <w:b/>
                <w:bCs/>
                <w:sz w:val="18"/>
                <w:szCs w:val="18"/>
                <w:lang w:val="en-US"/>
              </w:rPr>
              <w:t>ransitional woodland-shrub</w:t>
            </w:r>
          </w:p>
          <w:p w14:paraId="2276BAB4" w14:textId="122A0723" w:rsidR="002F6287" w:rsidRPr="00CF4810" w:rsidRDefault="002F6287" w:rsidP="00665997">
            <w:pPr>
              <w:pStyle w:val="LegalNumPar"/>
              <w:numPr>
                <w:ilvl w:val="0"/>
                <w:numId w:val="77"/>
              </w:numPr>
              <w:spacing w:after="60" w:line="240" w:lineRule="auto"/>
              <w:ind w:left="714" w:hanging="357"/>
              <w:rPr>
                <w:rFonts w:ascii="Verdana" w:hAnsi="Verdana"/>
                <w:sz w:val="18"/>
                <w:szCs w:val="18"/>
              </w:rPr>
            </w:pPr>
            <w:r w:rsidRPr="3F4AE0BD">
              <w:rPr>
                <w:rFonts w:ascii="Verdana" w:hAnsi="Verdana"/>
                <w:b/>
                <w:bCs/>
                <w:sz w:val="18"/>
                <w:szCs w:val="18"/>
              </w:rPr>
              <w:t xml:space="preserve">Wetlands </w:t>
            </w:r>
            <w:r w:rsidR="00CF4810" w:rsidRPr="3F4AE0BD">
              <w:rPr>
                <w:rFonts w:ascii="Verdana" w:hAnsi="Verdana"/>
                <w:b/>
                <w:bCs/>
                <w:sz w:val="18"/>
                <w:szCs w:val="18"/>
              </w:rPr>
              <w:t>and w</w:t>
            </w:r>
            <w:r w:rsidRPr="3F4AE0BD">
              <w:rPr>
                <w:rFonts w:ascii="Verdana" w:hAnsi="Verdana"/>
                <w:b/>
                <w:bCs/>
                <w:sz w:val="18"/>
                <w:szCs w:val="18"/>
              </w:rPr>
              <w:t>ater bodies</w:t>
            </w:r>
            <w:r w:rsidRPr="00CF4810">
              <w:rPr>
                <w:rFonts w:ascii="Verdana" w:hAnsi="Verdana"/>
                <w:sz w:val="18"/>
                <w:szCs w:val="18"/>
              </w:rPr>
              <w:t xml:space="preserve"> </w:t>
            </w:r>
          </w:p>
          <w:p w14:paraId="3FE55CEA" w14:textId="77777777" w:rsidR="004F1363" w:rsidRPr="00C34DE9" w:rsidRDefault="004F1363" w:rsidP="00B840B2">
            <w:pPr>
              <w:autoSpaceDE w:val="0"/>
              <w:autoSpaceDN w:val="0"/>
              <w:adjustRightInd w:val="0"/>
              <w:spacing w:after="60" w:line="240" w:lineRule="auto"/>
              <w:jc w:val="both"/>
              <w:rPr>
                <w:rFonts w:ascii="Verdana" w:hAnsi="Verdana" w:cs="Calibri"/>
                <w:sz w:val="18"/>
                <w:szCs w:val="18"/>
              </w:rPr>
            </w:pPr>
            <w:r w:rsidRPr="00C34DE9">
              <w:rPr>
                <w:rFonts w:ascii="Verdana" w:eastAsia="Times New Roman" w:hAnsi="Verdana" w:cs="Calibri"/>
                <w:sz w:val="18"/>
                <w:szCs w:val="18"/>
              </w:rPr>
              <w:t>Land cover is the actual distribution of forests, water, desert, grassland and other physical features of the land, including those created by human activities. Land use, on the other hand, characterises the human use of a land cover type.</w:t>
            </w:r>
          </w:p>
        </w:tc>
      </w:tr>
      <w:tr w:rsidR="004F1363" w:rsidRPr="00C34DE9" w14:paraId="52B7444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3D9D25A2"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7FD7D27" w14:textId="640A5D62" w:rsidR="004F1363" w:rsidRPr="00C34DE9" w:rsidRDefault="00B8041A" w:rsidP="00DB4B58">
            <w:pPr>
              <w:spacing w:after="60"/>
              <w:rPr>
                <w:rFonts w:ascii="Verdana" w:hAnsi="Verdana"/>
                <w:b/>
                <w:bCs/>
                <w:sz w:val="18"/>
                <w:szCs w:val="18"/>
              </w:rPr>
            </w:pPr>
            <w:r>
              <w:rPr>
                <w:rFonts w:ascii="Verdana" w:eastAsia="Times New Roman" w:hAnsi="Verdana"/>
                <w:sz w:val="18"/>
                <w:szCs w:val="18"/>
              </w:rPr>
              <w:t xml:space="preserve">1 – </w:t>
            </w:r>
            <w:r w:rsidR="00DB4B58">
              <w:rPr>
                <w:rFonts w:ascii="Verdana" w:eastAsia="Times New Roman" w:hAnsi="Verdana"/>
                <w:sz w:val="18"/>
                <w:szCs w:val="18"/>
              </w:rPr>
              <w:t>6</w:t>
            </w:r>
            <w:r>
              <w:rPr>
                <w:rFonts w:ascii="Verdana" w:eastAsia="Times New Roman" w:hAnsi="Verdana"/>
                <w:sz w:val="18"/>
                <w:szCs w:val="18"/>
              </w:rPr>
              <w:t xml:space="preserve"> </w:t>
            </w:r>
            <w:r w:rsidR="006A131E">
              <w:rPr>
                <w:rFonts w:ascii="Verdana" w:eastAsia="Times New Roman" w:hAnsi="Verdana"/>
                <w:sz w:val="18"/>
                <w:szCs w:val="18"/>
              </w:rPr>
              <w:t xml:space="preserve">: </w:t>
            </w:r>
            <w:r w:rsidR="008E6BE1">
              <w:rPr>
                <w:rFonts w:ascii="Verdana" w:eastAsia="Times New Roman" w:hAnsi="Verdana"/>
                <w:sz w:val="18"/>
                <w:szCs w:val="18"/>
              </w:rPr>
              <w:t>total area in km</w:t>
            </w:r>
            <w:r w:rsidR="008E6BE1" w:rsidRPr="008E6BE1">
              <w:rPr>
                <w:rFonts w:ascii="Verdana" w:eastAsia="Times New Roman" w:hAnsi="Verdana"/>
                <w:sz w:val="18"/>
                <w:szCs w:val="18"/>
                <w:vertAlign w:val="superscript"/>
              </w:rPr>
              <w:t>2</w:t>
            </w:r>
            <w:r>
              <w:rPr>
                <w:rFonts w:ascii="Verdana" w:eastAsia="Times New Roman" w:hAnsi="Verdana"/>
                <w:sz w:val="18"/>
                <w:szCs w:val="18"/>
              </w:rPr>
              <w:t xml:space="preserve"> and </w:t>
            </w:r>
            <w:r w:rsidR="003A7118">
              <w:rPr>
                <w:rFonts w:ascii="Verdana" w:eastAsia="Times New Roman" w:hAnsi="Verdana"/>
                <w:sz w:val="18"/>
                <w:szCs w:val="18"/>
              </w:rPr>
              <w:t>in %</w:t>
            </w:r>
          </w:p>
        </w:tc>
      </w:tr>
      <w:tr w:rsidR="004F1363" w:rsidRPr="00C34DE9" w14:paraId="514DC62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BC3C64A"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09AE4F2" w14:textId="77777777" w:rsidR="004F1363" w:rsidRPr="00C34DE9" w:rsidRDefault="004F1363" w:rsidP="5CB4B133">
            <w:pPr>
              <w:spacing w:after="60"/>
              <w:rPr>
                <w:rFonts w:ascii="Verdana" w:eastAsia="Times New Roman" w:hAnsi="Verdana"/>
                <w:b/>
                <w:bCs/>
                <w:sz w:val="18"/>
                <w:szCs w:val="18"/>
              </w:rPr>
            </w:pPr>
            <w:r w:rsidRPr="5CB4B133">
              <w:rPr>
                <w:rFonts w:ascii="Verdana" w:eastAsia="Times New Roman" w:hAnsi="Verdana"/>
                <w:b/>
                <w:bCs/>
                <w:sz w:val="18"/>
                <w:szCs w:val="18"/>
              </w:rPr>
              <w:t>CORINE Land Cover (CLC) 2012</w:t>
            </w:r>
            <w:r w:rsidR="00182BB5" w:rsidRPr="5CB4B133">
              <w:rPr>
                <w:rFonts w:ascii="Verdana" w:eastAsia="Times New Roman" w:hAnsi="Verdana"/>
                <w:b/>
                <w:bCs/>
                <w:sz w:val="18"/>
                <w:szCs w:val="18"/>
              </w:rPr>
              <w:t>, 2018, CLC Change (CHA) 2012-2018</w:t>
            </w:r>
          </w:p>
        </w:tc>
      </w:tr>
      <w:tr w:rsidR="004F1363" w:rsidRPr="00174385" w14:paraId="7B1551A7"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FB7560E"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76D2982" w14:textId="77777777" w:rsidR="00381761" w:rsidRDefault="004F1363" w:rsidP="005B5547">
            <w:pPr>
              <w:spacing w:after="60"/>
              <w:rPr>
                <w:rFonts w:ascii="Verdana" w:eastAsia="Times New Roman" w:hAnsi="Verdana"/>
                <w:sz w:val="18"/>
                <w:szCs w:val="18"/>
              </w:rPr>
            </w:pPr>
            <w:r w:rsidRPr="00C34DE9">
              <w:rPr>
                <w:rFonts w:ascii="Verdana" w:eastAsia="Times New Roman" w:hAnsi="Verdana"/>
                <w:sz w:val="18"/>
                <w:szCs w:val="18"/>
              </w:rPr>
              <w:t xml:space="preserve">European Environment Agency </w:t>
            </w:r>
          </w:p>
          <w:p w14:paraId="21DE3293" w14:textId="77777777" w:rsidR="004F1363" w:rsidRPr="00C34DE9" w:rsidRDefault="00AA07F1" w:rsidP="005B5547">
            <w:pPr>
              <w:spacing w:after="60"/>
              <w:rPr>
                <w:rFonts w:ascii="Verdana" w:eastAsia="Times New Roman" w:hAnsi="Verdana"/>
                <w:sz w:val="18"/>
                <w:szCs w:val="18"/>
              </w:rPr>
            </w:pPr>
            <w:hyperlink r:id="rId35" w:history="1">
              <w:r w:rsidR="00381761" w:rsidRPr="00F31D88">
                <w:rPr>
                  <w:rStyle w:val="Hyperlink"/>
                  <w:rFonts w:ascii="Verdana" w:eastAsia="Times New Roman" w:hAnsi="Verdana"/>
                  <w:sz w:val="18"/>
                  <w:szCs w:val="18"/>
                </w:rPr>
                <w:t>https://www.eea.europa.eu/data-and-maps/data/copernicus-land-monitoring-service-corine</w:t>
              </w:r>
            </w:hyperlink>
          </w:p>
          <w:p w14:paraId="6446FCC7" w14:textId="77777777" w:rsidR="00B55D87" w:rsidRPr="00381761" w:rsidRDefault="00AA07F1" w:rsidP="005B5547">
            <w:pPr>
              <w:spacing w:after="60"/>
              <w:rPr>
                <w:rFonts w:ascii="Verdana" w:hAnsi="Verdana"/>
                <w:sz w:val="18"/>
                <w:szCs w:val="18"/>
              </w:rPr>
            </w:pPr>
            <w:hyperlink r:id="rId36" w:history="1">
              <w:r w:rsidR="00182BB5" w:rsidRPr="00381761">
                <w:rPr>
                  <w:rStyle w:val="Hyperlink"/>
                  <w:rFonts w:ascii="Verdana" w:hAnsi="Verdana"/>
                  <w:sz w:val="18"/>
                  <w:szCs w:val="18"/>
                </w:rPr>
                <w:t>https://land.copernicus.eu/pan-european/corine-land-cover/clc2018</w:t>
              </w:r>
            </w:hyperlink>
          </w:p>
          <w:p w14:paraId="125C5429" w14:textId="77777777" w:rsidR="00B55D87" w:rsidRPr="00161B7C" w:rsidRDefault="00AA07F1" w:rsidP="00B55D87">
            <w:pPr>
              <w:spacing w:after="60"/>
              <w:rPr>
                <w:rFonts w:ascii="Verdana" w:eastAsia="Times New Roman" w:hAnsi="Verdana"/>
                <w:sz w:val="18"/>
                <w:szCs w:val="18"/>
              </w:rPr>
            </w:pPr>
            <w:hyperlink r:id="rId37" w:history="1">
              <w:r w:rsidR="00182BB5" w:rsidRPr="00381761">
                <w:rPr>
                  <w:rStyle w:val="Hyperlink"/>
                  <w:rFonts w:ascii="Verdana" w:hAnsi="Verdana"/>
                  <w:sz w:val="18"/>
                  <w:szCs w:val="18"/>
                </w:rPr>
                <w:t>https://land.copernicus.eu/pan-european/corine-land-cover/lcc-2012-2018</w:t>
              </w:r>
            </w:hyperlink>
          </w:p>
        </w:tc>
      </w:tr>
      <w:tr w:rsidR="004F1363" w:rsidRPr="00693B7B" w14:paraId="2C715468"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BEA6CAD"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B55D87"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B58102C" w14:textId="77777777" w:rsidR="004F1363" w:rsidRPr="002F6287" w:rsidDel="00F9611E" w:rsidRDefault="002F6287" w:rsidP="005B5547">
            <w:pPr>
              <w:spacing w:after="60"/>
              <w:rPr>
                <w:rFonts w:ascii="Verdana" w:hAnsi="Verdana"/>
                <w:sz w:val="18"/>
                <w:szCs w:val="18"/>
                <w:lang w:val="fr-BE"/>
              </w:rPr>
            </w:pPr>
            <w:r w:rsidRPr="002F6287">
              <w:rPr>
                <w:rFonts w:ascii="Verdana" w:hAnsi="Verdana"/>
                <w:sz w:val="18"/>
                <w:szCs w:val="18"/>
                <w:lang w:val="fr-BE"/>
              </w:rPr>
              <w:t>EU, National (N</w:t>
            </w:r>
            <w:r w:rsidR="00B840B2">
              <w:rPr>
                <w:rFonts w:ascii="Verdana" w:hAnsi="Verdana"/>
                <w:sz w:val="18"/>
                <w:szCs w:val="18"/>
                <w:lang w:val="fr-BE"/>
              </w:rPr>
              <w:t>UTS</w:t>
            </w:r>
            <w:r w:rsidRPr="002F6287">
              <w:rPr>
                <w:rFonts w:ascii="Verdana" w:hAnsi="Verdana"/>
                <w:sz w:val="18"/>
                <w:szCs w:val="18"/>
                <w:lang w:val="fr-BE"/>
              </w:rPr>
              <w:t xml:space="preserve"> 1),</w:t>
            </w:r>
            <w:r w:rsidRPr="002E3F6E">
              <w:rPr>
                <w:rFonts w:ascii="Verdana" w:hAnsi="Verdana"/>
                <w:sz w:val="18"/>
                <w:szCs w:val="18"/>
                <w:lang w:val="fr-BE"/>
              </w:rPr>
              <w:t xml:space="preserve"> </w:t>
            </w:r>
            <w:r w:rsidR="004F1363" w:rsidRPr="002E3F6E">
              <w:rPr>
                <w:rFonts w:ascii="Verdana" w:hAnsi="Verdana"/>
                <w:sz w:val="18"/>
                <w:szCs w:val="18"/>
                <w:lang w:val="fr-BE"/>
              </w:rPr>
              <w:t>Regional</w:t>
            </w:r>
            <w:r w:rsidR="004F1363" w:rsidRPr="002F6287">
              <w:rPr>
                <w:rFonts w:ascii="Verdana" w:hAnsi="Verdana"/>
                <w:sz w:val="18"/>
                <w:szCs w:val="18"/>
                <w:lang w:val="fr-BE"/>
              </w:rPr>
              <w:t xml:space="preserve"> (NUTS 2).  </w:t>
            </w:r>
          </w:p>
        </w:tc>
      </w:tr>
      <w:tr w:rsidR="004F1363" w:rsidRPr="00C34DE9" w14:paraId="74ED78E5" w14:textId="77777777" w:rsidTr="790C88FB">
        <w:trPr>
          <w:trHeight w:val="797"/>
        </w:trPr>
        <w:tc>
          <w:tcPr>
            <w:tcW w:w="2518" w:type="dxa"/>
            <w:tcBorders>
              <w:top w:val="single" w:sz="4" w:space="0" w:color="auto"/>
              <w:left w:val="single" w:sz="4" w:space="0" w:color="auto"/>
              <w:bottom w:val="single" w:sz="4" w:space="0" w:color="auto"/>
              <w:right w:val="single" w:sz="4" w:space="0" w:color="auto"/>
            </w:tcBorders>
            <w:vAlign w:val="center"/>
          </w:tcPr>
          <w:p w14:paraId="12BFED54"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800774B" w14:textId="77777777" w:rsidR="00B55D87" w:rsidRPr="00C34DE9" w:rsidRDefault="002F6287" w:rsidP="005B5547">
            <w:pPr>
              <w:spacing w:after="60"/>
              <w:rPr>
                <w:rFonts w:ascii="Verdana" w:hAnsi="Verdana"/>
                <w:sz w:val="18"/>
                <w:szCs w:val="18"/>
                <w:lang w:val="en-US"/>
              </w:rPr>
            </w:pPr>
            <w:r>
              <w:rPr>
                <w:rFonts w:ascii="Verdana" w:hAnsi="Verdana"/>
                <w:sz w:val="18"/>
                <w:szCs w:val="18"/>
                <w:lang w:val="en-US"/>
              </w:rPr>
              <w:t xml:space="preserve">Depending on the frequency foreseen in the new CLC+ (see </w:t>
            </w:r>
            <w:hyperlink r:id="rId38" w:history="1">
              <w:r w:rsidR="00DA5AC4" w:rsidRPr="0084565A">
                <w:rPr>
                  <w:rStyle w:val="Hyperlink"/>
                  <w:rFonts w:ascii="Verdana" w:hAnsi="Verdana"/>
                  <w:sz w:val="18"/>
                  <w:szCs w:val="18"/>
                  <w:lang w:val="en-US"/>
                </w:rPr>
                <w:t>https://www.copernicus.eu/sites/default/files/2019-01/Copernicus_Work_Programme_2019.pdf</w:t>
              </w:r>
            </w:hyperlink>
            <w:r>
              <w:rPr>
                <w:rFonts w:ascii="Verdana" w:hAnsi="Verdana"/>
                <w:sz w:val="18"/>
                <w:szCs w:val="18"/>
                <w:lang w:val="en-US"/>
              </w:rPr>
              <w:t>)</w:t>
            </w:r>
            <w:r w:rsidR="00DA5AC4">
              <w:rPr>
                <w:rFonts w:ascii="Verdana" w:hAnsi="Verdana"/>
                <w:sz w:val="18"/>
                <w:szCs w:val="18"/>
                <w:lang w:val="en-US"/>
              </w:rPr>
              <w:t xml:space="preserve"> </w:t>
            </w:r>
          </w:p>
        </w:tc>
      </w:tr>
      <w:tr w:rsidR="004F1363" w:rsidRPr="00C34DE9" w14:paraId="637D4F10" w14:textId="77777777" w:rsidTr="790C88FB">
        <w:trPr>
          <w:trHeight w:val="256"/>
        </w:trPr>
        <w:tc>
          <w:tcPr>
            <w:tcW w:w="2518" w:type="dxa"/>
            <w:tcBorders>
              <w:top w:val="single" w:sz="4" w:space="0" w:color="auto"/>
              <w:left w:val="single" w:sz="4" w:space="0" w:color="auto"/>
              <w:bottom w:val="single" w:sz="4" w:space="0" w:color="auto"/>
              <w:right w:val="single" w:sz="4" w:space="0" w:color="auto"/>
            </w:tcBorders>
            <w:vAlign w:val="center"/>
          </w:tcPr>
          <w:p w14:paraId="5543E4AC"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8A88183" w14:textId="77777777" w:rsidR="00B55D87" w:rsidRPr="00C34DE9" w:rsidRDefault="004F1363" w:rsidP="00DA5AC4">
            <w:pPr>
              <w:spacing w:after="60"/>
              <w:rPr>
                <w:rFonts w:ascii="Verdana" w:hAnsi="Verdana"/>
                <w:sz w:val="18"/>
                <w:szCs w:val="18"/>
                <w:lang w:val="en-US"/>
              </w:rPr>
            </w:pPr>
            <w:r w:rsidRPr="00C34DE9">
              <w:rPr>
                <w:rFonts w:ascii="Verdana" w:hAnsi="Verdana"/>
                <w:sz w:val="18"/>
                <w:szCs w:val="18"/>
                <w:lang w:val="en-US"/>
              </w:rPr>
              <w:t>CORINE Land</w:t>
            </w:r>
            <w:r w:rsidR="002F54C0">
              <w:rPr>
                <w:rFonts w:ascii="Verdana" w:hAnsi="Verdana"/>
                <w:sz w:val="18"/>
                <w:szCs w:val="18"/>
                <w:lang w:val="en-US"/>
              </w:rPr>
              <w:t xml:space="preserve"> Cover</w:t>
            </w:r>
            <w:r w:rsidR="002F6287">
              <w:rPr>
                <w:rFonts w:ascii="Verdana" w:hAnsi="Verdana"/>
                <w:sz w:val="18"/>
                <w:szCs w:val="18"/>
                <w:lang w:val="en-US"/>
              </w:rPr>
              <w:t>/CLC+</w:t>
            </w:r>
            <w:r w:rsidR="002F54C0">
              <w:rPr>
                <w:rFonts w:ascii="Verdana" w:hAnsi="Verdana"/>
                <w:sz w:val="18"/>
                <w:szCs w:val="18"/>
                <w:lang w:val="en-US"/>
              </w:rPr>
              <w:t xml:space="preserve">: </w:t>
            </w:r>
            <w:r w:rsidR="00182BB5">
              <w:rPr>
                <w:rFonts w:ascii="Verdana" w:hAnsi="Verdana"/>
                <w:sz w:val="18"/>
                <w:szCs w:val="18"/>
                <w:lang w:val="en-US"/>
              </w:rPr>
              <w:t>1</w:t>
            </w:r>
            <w:r w:rsidR="002F6287">
              <w:rPr>
                <w:rFonts w:ascii="Verdana" w:hAnsi="Verdana"/>
                <w:sz w:val="18"/>
                <w:szCs w:val="18"/>
                <w:lang w:val="en-US"/>
              </w:rPr>
              <w:t>.5</w:t>
            </w:r>
            <w:r w:rsidR="00182BB5">
              <w:rPr>
                <w:rFonts w:ascii="Verdana" w:hAnsi="Verdana"/>
                <w:sz w:val="18"/>
                <w:szCs w:val="18"/>
                <w:lang w:val="en-US"/>
              </w:rPr>
              <w:t xml:space="preserve"> </w:t>
            </w:r>
            <w:r w:rsidR="002F54C0">
              <w:rPr>
                <w:rFonts w:ascii="Verdana" w:hAnsi="Verdana"/>
                <w:sz w:val="18"/>
                <w:szCs w:val="18"/>
                <w:lang w:val="en-US"/>
              </w:rPr>
              <w:t xml:space="preserve">years </w:t>
            </w:r>
            <w:r w:rsidR="002F6287">
              <w:rPr>
                <w:rFonts w:ascii="Verdana" w:hAnsi="Verdana"/>
                <w:sz w:val="18"/>
                <w:szCs w:val="18"/>
                <w:lang w:val="en-US"/>
              </w:rPr>
              <w:t>or less</w:t>
            </w:r>
          </w:p>
        </w:tc>
      </w:tr>
      <w:tr w:rsidR="004F1363" w:rsidRPr="00C34DE9" w14:paraId="49BAFAF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94EF5CC"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5387CE8" w14:textId="77777777" w:rsidR="004F1363" w:rsidRDefault="008E6BE1" w:rsidP="005B5547">
            <w:pPr>
              <w:spacing w:after="60"/>
              <w:jc w:val="both"/>
              <w:rPr>
                <w:rFonts w:ascii="Verdana" w:hAnsi="Verdana"/>
                <w:sz w:val="18"/>
                <w:szCs w:val="18"/>
              </w:rPr>
            </w:pPr>
            <w:r>
              <w:rPr>
                <w:rFonts w:ascii="Verdana" w:hAnsi="Verdana"/>
                <w:sz w:val="18"/>
                <w:szCs w:val="18"/>
              </w:rPr>
              <w:t>The total area here could be different from total area in C.04 because of the different source.</w:t>
            </w:r>
          </w:p>
          <w:p w14:paraId="231CBC68" w14:textId="77777777" w:rsidR="006A131E" w:rsidRDefault="00141854" w:rsidP="005B5547">
            <w:pPr>
              <w:spacing w:after="60"/>
              <w:jc w:val="both"/>
              <w:rPr>
                <w:rFonts w:ascii="Verdana" w:hAnsi="Verdana"/>
                <w:sz w:val="18"/>
                <w:szCs w:val="18"/>
              </w:rPr>
            </w:pPr>
            <w:r>
              <w:rPr>
                <w:rFonts w:ascii="Verdana" w:hAnsi="Verdana"/>
                <w:sz w:val="18"/>
                <w:szCs w:val="18"/>
              </w:rPr>
              <w:t>1: CLC class 1</w:t>
            </w:r>
          </w:p>
          <w:p w14:paraId="20749961" w14:textId="77777777" w:rsidR="006A131E" w:rsidRDefault="006A131E" w:rsidP="005B5547">
            <w:pPr>
              <w:spacing w:after="60"/>
              <w:jc w:val="both"/>
              <w:rPr>
                <w:rFonts w:ascii="Verdana" w:hAnsi="Verdana"/>
                <w:sz w:val="18"/>
                <w:szCs w:val="18"/>
              </w:rPr>
            </w:pPr>
            <w:r>
              <w:rPr>
                <w:rFonts w:ascii="Verdana" w:hAnsi="Verdana"/>
                <w:sz w:val="18"/>
                <w:szCs w:val="18"/>
              </w:rPr>
              <w:t>2: CLC class 2</w:t>
            </w:r>
          </w:p>
          <w:p w14:paraId="342CEF89" w14:textId="77777777" w:rsidR="00141854" w:rsidRDefault="00141854" w:rsidP="005B5547">
            <w:pPr>
              <w:spacing w:after="60"/>
              <w:jc w:val="both"/>
              <w:rPr>
                <w:rFonts w:ascii="Verdana" w:hAnsi="Verdana"/>
                <w:sz w:val="18"/>
                <w:szCs w:val="18"/>
              </w:rPr>
            </w:pPr>
            <w:r>
              <w:rPr>
                <w:rFonts w:ascii="Verdana" w:hAnsi="Verdana"/>
                <w:sz w:val="18"/>
                <w:szCs w:val="18"/>
              </w:rPr>
              <w:t>3: CLC class 3</w:t>
            </w:r>
            <w:r w:rsidR="0020190A">
              <w:rPr>
                <w:rFonts w:ascii="Verdana" w:hAnsi="Verdana"/>
                <w:sz w:val="18"/>
                <w:szCs w:val="18"/>
              </w:rPr>
              <w:t>21</w:t>
            </w:r>
          </w:p>
          <w:p w14:paraId="3AEE37AE" w14:textId="77777777" w:rsidR="0020190A" w:rsidRDefault="00141854" w:rsidP="005B5547">
            <w:pPr>
              <w:spacing w:after="60"/>
              <w:jc w:val="both"/>
              <w:rPr>
                <w:rFonts w:ascii="Verdana" w:hAnsi="Verdana"/>
                <w:sz w:val="18"/>
                <w:szCs w:val="18"/>
              </w:rPr>
            </w:pPr>
            <w:r>
              <w:rPr>
                <w:rFonts w:ascii="Verdana" w:hAnsi="Verdana"/>
                <w:sz w:val="18"/>
                <w:szCs w:val="18"/>
              </w:rPr>
              <w:t xml:space="preserve">4: CLC class </w:t>
            </w:r>
            <w:r w:rsidR="0020190A">
              <w:rPr>
                <w:rFonts w:ascii="Verdana" w:hAnsi="Verdana"/>
                <w:sz w:val="18"/>
                <w:szCs w:val="18"/>
              </w:rPr>
              <w:t>3</w:t>
            </w:r>
            <w:r w:rsidR="00974A6A">
              <w:rPr>
                <w:rFonts w:ascii="Verdana" w:hAnsi="Verdana"/>
                <w:sz w:val="18"/>
                <w:szCs w:val="18"/>
              </w:rPr>
              <w:t>.1 and 324</w:t>
            </w:r>
          </w:p>
          <w:p w14:paraId="6D5DFCDF" w14:textId="78F7DE5E" w:rsidR="00141854" w:rsidRPr="00C34DE9" w:rsidRDefault="0020190A" w:rsidP="005B5547">
            <w:pPr>
              <w:spacing w:after="60"/>
              <w:jc w:val="both"/>
              <w:rPr>
                <w:rFonts w:ascii="Verdana" w:hAnsi="Verdana"/>
                <w:sz w:val="18"/>
                <w:szCs w:val="18"/>
              </w:rPr>
            </w:pPr>
            <w:r>
              <w:rPr>
                <w:rFonts w:ascii="Verdana" w:hAnsi="Verdana"/>
                <w:sz w:val="18"/>
                <w:szCs w:val="18"/>
              </w:rPr>
              <w:t xml:space="preserve">5: </w:t>
            </w:r>
            <w:r w:rsidR="00141854">
              <w:rPr>
                <w:rFonts w:ascii="Verdana" w:hAnsi="Verdana"/>
                <w:sz w:val="18"/>
                <w:szCs w:val="18"/>
              </w:rPr>
              <w:t>CLC class</w:t>
            </w:r>
            <w:r>
              <w:rPr>
                <w:rFonts w:ascii="Verdana" w:hAnsi="Verdana"/>
                <w:sz w:val="18"/>
                <w:szCs w:val="18"/>
              </w:rPr>
              <w:t xml:space="preserve"> </w:t>
            </w:r>
            <w:r w:rsidR="00141854">
              <w:rPr>
                <w:rFonts w:ascii="Verdana" w:hAnsi="Verdana"/>
                <w:sz w:val="18"/>
                <w:szCs w:val="18"/>
              </w:rPr>
              <w:t>4</w:t>
            </w:r>
            <w:r w:rsidR="00CF4810">
              <w:rPr>
                <w:rFonts w:ascii="Verdana" w:hAnsi="Verdana"/>
                <w:sz w:val="18"/>
                <w:szCs w:val="18"/>
              </w:rPr>
              <w:t xml:space="preserve"> and 5</w:t>
            </w:r>
          </w:p>
        </w:tc>
      </w:tr>
    </w:tbl>
    <w:p w14:paraId="253A8443" w14:textId="77777777" w:rsidR="00841E23" w:rsidRPr="00C34DE9" w:rsidRDefault="00841E23" w:rsidP="00544872">
      <w:pPr>
        <w:spacing w:after="60"/>
        <w:rPr>
          <w:rFonts w:ascii="Verdana" w:hAnsi="Verdana"/>
          <w:sz w:val="18"/>
          <w:szCs w:val="18"/>
        </w:rPr>
      </w:pPr>
    </w:p>
    <w:p w14:paraId="50F0D076" w14:textId="77777777" w:rsidR="00841E23" w:rsidRPr="00C34DE9" w:rsidRDefault="00841E23" w:rsidP="00544872">
      <w:pPr>
        <w:spacing w:after="60"/>
        <w:rPr>
          <w:rFonts w:ascii="Verdana" w:hAnsi="Verdana"/>
          <w:b/>
          <w:sz w:val="18"/>
          <w:szCs w:val="18"/>
        </w:rPr>
      </w:pPr>
    </w:p>
    <w:p w14:paraId="417A1BB4" w14:textId="77777777" w:rsidR="00C15725" w:rsidRPr="00C34DE9" w:rsidRDefault="00C15725" w:rsidP="00544872">
      <w:pPr>
        <w:spacing w:after="60"/>
        <w:rPr>
          <w:rFonts w:ascii="Verdana" w:hAnsi="Verdana"/>
          <w:b/>
          <w:sz w:val="18"/>
          <w:szCs w:val="18"/>
        </w:rPr>
      </w:pPr>
    </w:p>
    <w:p w14:paraId="0485A442"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358A34D4"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15FB1F9E" w14:textId="77777777" w:rsidR="004F1363" w:rsidRPr="00C34DE9" w:rsidRDefault="004F1363" w:rsidP="5CB4B133">
            <w:pPr>
              <w:spacing w:after="60"/>
              <w:rPr>
                <w:rFonts w:ascii="Verdana" w:hAnsi="Verdana"/>
                <w:b/>
                <w:bCs/>
                <w:sz w:val="18"/>
                <w:szCs w:val="18"/>
              </w:rPr>
            </w:pPr>
            <w:bookmarkStart w:id="5" w:name="C06"/>
            <w:r w:rsidRPr="5CB4B133">
              <w:rPr>
                <w:rFonts w:ascii="Verdana" w:hAnsi="Verdana"/>
                <w:b/>
                <w:bCs/>
                <w:smallCaps/>
                <w:sz w:val="18"/>
                <w:szCs w:val="18"/>
              </w:rPr>
              <w:lastRenderedPageBreak/>
              <w:t>Indicator C.0</w:t>
            </w:r>
            <w:r w:rsidRPr="5CB4B133">
              <w:rPr>
                <w:rFonts w:ascii="Verdana" w:hAnsi="Verdana"/>
                <w:b/>
                <w:bCs/>
                <w:sz w:val="18"/>
                <w:szCs w:val="18"/>
              </w:rPr>
              <w:t>6</w:t>
            </w:r>
            <w:bookmarkEnd w:id="5"/>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5DF8A73F" w14:textId="0C4C10F4" w:rsidR="000B422F" w:rsidRPr="00ED59D5" w:rsidRDefault="00ED59D5" w:rsidP="5CB4B133">
            <w:pPr>
              <w:spacing w:after="60"/>
              <w:rPr>
                <w:rFonts w:ascii="Verdana" w:hAnsi="Verdana"/>
                <w:b/>
                <w:bCs/>
                <w:caps/>
                <w:sz w:val="18"/>
                <w:szCs w:val="18"/>
              </w:rPr>
            </w:pPr>
            <w:bookmarkStart w:id="6" w:name="I22"/>
            <w:r w:rsidRPr="5CB4B133">
              <w:rPr>
                <w:rFonts w:ascii="Verdana" w:hAnsi="Verdana"/>
                <w:b/>
                <w:bCs/>
                <w:caps/>
                <w:sz w:val="18"/>
                <w:szCs w:val="18"/>
              </w:rPr>
              <w:t>I</w:t>
            </w:r>
            <w:r w:rsidRPr="5CB4B133">
              <w:rPr>
                <w:rFonts w:ascii="Verdana" w:hAnsi="Verdana"/>
                <w:b/>
                <w:bCs/>
                <w:sz w:val="18"/>
                <w:szCs w:val="18"/>
              </w:rPr>
              <w:t>ndicator I.2</w:t>
            </w:r>
            <w:r w:rsidR="00EA735E">
              <w:rPr>
                <w:rFonts w:ascii="Verdana" w:hAnsi="Verdana"/>
                <w:b/>
                <w:bCs/>
                <w:sz w:val="18"/>
                <w:szCs w:val="18"/>
              </w:rPr>
              <w:t>4</w:t>
            </w:r>
            <w:bookmarkEnd w:id="6"/>
            <w:r w:rsidR="0082122E" w:rsidRPr="5CB4B133">
              <w:rPr>
                <w:rFonts w:ascii="Verdana" w:hAnsi="Verdana"/>
                <w:b/>
                <w:bCs/>
                <w:sz w:val="18"/>
                <w:szCs w:val="18"/>
              </w:rPr>
              <w:t xml:space="preserve"> C</w:t>
            </w:r>
            <w:r w:rsidRPr="5CB4B133">
              <w:rPr>
                <w:rFonts w:ascii="Verdana" w:hAnsi="Verdana"/>
                <w:b/>
                <w:bCs/>
                <w:sz w:val="18"/>
                <w:szCs w:val="18"/>
              </w:rPr>
              <w:t>ontributing to jobs in rural areas:</w:t>
            </w:r>
          </w:p>
          <w:p w14:paraId="2734F43B" w14:textId="76FF1F13" w:rsidR="004F1363" w:rsidRPr="00C34DE9" w:rsidRDefault="00ED59D5" w:rsidP="00E822F3">
            <w:pPr>
              <w:spacing w:after="60"/>
              <w:rPr>
                <w:rFonts w:ascii="Verdana" w:hAnsi="Verdana"/>
                <w:caps/>
                <w:sz w:val="18"/>
                <w:szCs w:val="18"/>
              </w:rPr>
            </w:pPr>
            <w:r>
              <w:rPr>
                <w:rFonts w:ascii="Verdana" w:hAnsi="Verdana"/>
                <w:sz w:val="18"/>
                <w:szCs w:val="18"/>
              </w:rPr>
              <w:t>E</w:t>
            </w:r>
            <w:r w:rsidRPr="000B422F">
              <w:rPr>
                <w:rFonts w:ascii="Verdana" w:hAnsi="Verdana"/>
                <w:sz w:val="18"/>
                <w:szCs w:val="18"/>
              </w:rPr>
              <w:t>volution of the employment rate in rural areas</w:t>
            </w:r>
            <w:r w:rsidR="00E822F3">
              <w:rPr>
                <w:rFonts w:ascii="Verdana" w:hAnsi="Verdana"/>
                <w:sz w:val="18"/>
                <w:szCs w:val="18"/>
              </w:rPr>
              <w:t>, including a gender breakdown</w:t>
            </w:r>
          </w:p>
        </w:tc>
      </w:tr>
      <w:tr w:rsidR="004F1363" w:rsidRPr="00C34DE9" w14:paraId="43A9048A"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BAC0444"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212C82F7" w14:textId="4AE63378" w:rsidR="004F1363" w:rsidRPr="00C34DE9" w:rsidRDefault="004F1363" w:rsidP="3B80D187">
            <w:pPr>
              <w:spacing w:after="60"/>
              <w:jc w:val="center"/>
              <w:rPr>
                <w:rFonts w:ascii="Verdana" w:hAnsi="Verdana"/>
                <w:b/>
                <w:bCs/>
                <w:color w:val="808080"/>
                <w:sz w:val="18"/>
                <w:szCs w:val="18"/>
              </w:rPr>
            </w:pPr>
            <w:r w:rsidRPr="3B80D187">
              <w:rPr>
                <w:rFonts w:ascii="Verdana" w:hAnsi="Verdana"/>
                <w:b/>
                <w:bCs/>
                <w:sz w:val="18"/>
                <w:szCs w:val="18"/>
              </w:rPr>
              <w:t>Employment rate</w:t>
            </w:r>
            <w:r w:rsidR="00E11F80" w:rsidRPr="3B80D187">
              <w:rPr>
                <w:rFonts w:ascii="Verdana" w:hAnsi="Verdana"/>
                <w:b/>
                <w:bCs/>
                <w:sz w:val="18"/>
                <w:szCs w:val="18"/>
              </w:rPr>
              <w:t xml:space="preserve"> in rural areas</w:t>
            </w:r>
          </w:p>
        </w:tc>
      </w:tr>
      <w:tr w:rsidR="004F1363" w:rsidRPr="00C34DE9" w14:paraId="6BA5D8E7"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3D869B2B"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FFB9CEE" w14:textId="77777777" w:rsidR="004F1363" w:rsidRPr="00C34DE9" w:rsidRDefault="004F1363" w:rsidP="00896E60">
            <w:pPr>
              <w:spacing w:after="60"/>
              <w:jc w:val="both"/>
              <w:rPr>
                <w:rFonts w:ascii="Verdana" w:hAnsi="Verdana"/>
                <w:sz w:val="18"/>
                <w:szCs w:val="18"/>
              </w:rPr>
            </w:pPr>
            <w:r w:rsidRPr="5CB4B133">
              <w:rPr>
                <w:rFonts w:ascii="Verdana" w:hAnsi="Verdana"/>
                <w:b/>
                <w:bCs/>
                <w:sz w:val="18"/>
                <w:szCs w:val="18"/>
              </w:rPr>
              <w:t>Employed persons aged 15-64 years and 20-64 years</w:t>
            </w:r>
            <w:r w:rsidRPr="5CB4B133">
              <w:rPr>
                <w:rStyle w:val="FootnoteReference"/>
                <w:rFonts w:ascii="Verdana" w:hAnsi="Verdana"/>
                <w:b/>
                <w:bCs/>
                <w:sz w:val="18"/>
                <w:szCs w:val="18"/>
              </w:rPr>
              <w:footnoteReference w:id="2"/>
            </w:r>
            <w:r w:rsidRPr="5CB4B133">
              <w:rPr>
                <w:rFonts w:ascii="Verdana" w:hAnsi="Verdana"/>
                <w:b/>
                <w:bCs/>
                <w:sz w:val="18"/>
                <w:szCs w:val="18"/>
              </w:rPr>
              <w:t xml:space="preserve"> as a share of the total population of the same age group </w:t>
            </w:r>
            <w:r w:rsidR="00605E91" w:rsidRPr="5CB4B133">
              <w:rPr>
                <w:rFonts w:ascii="Verdana" w:hAnsi="Verdana"/>
                <w:b/>
                <w:bCs/>
                <w:sz w:val="18"/>
                <w:szCs w:val="18"/>
              </w:rPr>
              <w:t xml:space="preserve">in </w:t>
            </w:r>
            <w:r w:rsidR="006B70B2" w:rsidRPr="5CB4B133">
              <w:rPr>
                <w:rFonts w:ascii="Verdana" w:hAnsi="Verdana"/>
                <w:b/>
                <w:bCs/>
                <w:sz w:val="18"/>
                <w:szCs w:val="18"/>
              </w:rPr>
              <w:t xml:space="preserve">rural </w:t>
            </w:r>
            <w:r w:rsidRPr="5CB4B133">
              <w:rPr>
                <w:rFonts w:ascii="Verdana" w:hAnsi="Verdana"/>
                <w:b/>
                <w:bCs/>
                <w:sz w:val="18"/>
                <w:szCs w:val="18"/>
              </w:rPr>
              <w:t>areas</w:t>
            </w:r>
            <w:r w:rsidRPr="00C34DE9">
              <w:rPr>
                <w:rFonts w:ascii="Verdana" w:hAnsi="Verdana"/>
                <w:sz w:val="18"/>
                <w:szCs w:val="18"/>
              </w:rPr>
              <w:t>:</w:t>
            </w:r>
          </w:p>
          <w:p w14:paraId="22C04E46" w14:textId="77777777" w:rsidR="004F1363" w:rsidRPr="00C34DE9" w:rsidRDefault="004F1363" w:rsidP="00896E60">
            <w:pPr>
              <w:spacing w:after="60"/>
              <w:jc w:val="both"/>
              <w:rPr>
                <w:rFonts w:ascii="Verdana" w:hAnsi="Verdana"/>
                <w:sz w:val="18"/>
                <w:szCs w:val="18"/>
              </w:rPr>
            </w:pPr>
            <w:r w:rsidRPr="00C34DE9">
              <w:rPr>
                <w:rFonts w:ascii="Verdana" w:hAnsi="Verdana"/>
                <w:sz w:val="18"/>
                <w:szCs w:val="18"/>
                <w:u w:val="single"/>
              </w:rPr>
              <w:t>Employed persons</w:t>
            </w:r>
            <w:r w:rsidRPr="00C34DE9">
              <w:rPr>
                <w:rFonts w:ascii="Verdana" w:hAnsi="Verdana"/>
                <w:sz w:val="18"/>
                <w:szCs w:val="18"/>
              </w:rPr>
              <w:t xml:space="preserve"> are all persons aged 15</w:t>
            </w:r>
            <w:r w:rsidR="00982654">
              <w:rPr>
                <w:rFonts w:ascii="Verdana" w:hAnsi="Verdana"/>
                <w:sz w:val="18"/>
                <w:szCs w:val="18"/>
              </w:rPr>
              <w:t xml:space="preserve">-64 (or </w:t>
            </w:r>
            <w:r w:rsidRPr="00C34DE9">
              <w:rPr>
                <w:rFonts w:ascii="Verdana" w:hAnsi="Verdana"/>
                <w:sz w:val="18"/>
                <w:szCs w:val="18"/>
              </w:rPr>
              <w:t>20</w:t>
            </w:r>
            <w:r w:rsidR="00982654">
              <w:rPr>
                <w:rFonts w:ascii="Verdana" w:hAnsi="Verdana"/>
                <w:sz w:val="18"/>
                <w:szCs w:val="18"/>
              </w:rPr>
              <w:t>-64)</w:t>
            </w:r>
            <w:r w:rsidRPr="00C34DE9">
              <w:rPr>
                <w:rFonts w:ascii="Verdana" w:hAnsi="Verdana"/>
                <w:sz w:val="18"/>
                <w:szCs w:val="18"/>
              </w:rPr>
              <w:t xml:space="preserve"> years and over who, during the reference week, worked at least one hour for pay or profit or were temporarily absent from such work. Employed persons comprise employees, self-employed and </w:t>
            </w:r>
            <w:r w:rsidR="00982654">
              <w:rPr>
                <w:rFonts w:ascii="Verdana" w:hAnsi="Verdana"/>
                <w:sz w:val="18"/>
                <w:szCs w:val="18"/>
              </w:rPr>
              <w:t xml:space="preserve">unpaid </w:t>
            </w:r>
            <w:r w:rsidRPr="00C34DE9">
              <w:rPr>
                <w:rFonts w:ascii="Verdana" w:hAnsi="Verdana"/>
                <w:sz w:val="18"/>
                <w:szCs w:val="18"/>
              </w:rPr>
              <w:t>family workers.</w:t>
            </w:r>
          </w:p>
          <w:p w14:paraId="468797FD" w14:textId="77777777" w:rsidR="004F1363" w:rsidRDefault="004F1363" w:rsidP="00896E60">
            <w:pPr>
              <w:spacing w:after="60"/>
              <w:jc w:val="both"/>
              <w:rPr>
                <w:rFonts w:ascii="Verdana" w:hAnsi="Verdana"/>
                <w:sz w:val="18"/>
                <w:szCs w:val="18"/>
              </w:rPr>
            </w:pPr>
            <w:r w:rsidRPr="00C34DE9">
              <w:rPr>
                <w:rFonts w:ascii="Verdana" w:hAnsi="Verdana"/>
                <w:sz w:val="18"/>
                <w:szCs w:val="18"/>
                <w:u w:val="single"/>
              </w:rPr>
              <w:t>Population</w:t>
            </w:r>
            <w:r w:rsidRPr="00C34DE9">
              <w:rPr>
                <w:rFonts w:ascii="Verdana" w:hAnsi="Verdana"/>
                <w:sz w:val="18"/>
                <w:szCs w:val="18"/>
              </w:rPr>
              <w:t xml:space="preserve"> covers persons aged 15</w:t>
            </w:r>
            <w:r w:rsidR="009D51B4">
              <w:rPr>
                <w:rFonts w:ascii="Verdana" w:hAnsi="Verdana"/>
                <w:sz w:val="18"/>
                <w:szCs w:val="18"/>
              </w:rPr>
              <w:t>-</w:t>
            </w:r>
            <w:r w:rsidR="00982654">
              <w:rPr>
                <w:rFonts w:ascii="Verdana" w:hAnsi="Verdana"/>
                <w:sz w:val="18"/>
                <w:szCs w:val="18"/>
              </w:rPr>
              <w:t xml:space="preserve">64 (or </w:t>
            </w:r>
            <w:r w:rsidRPr="00C34DE9">
              <w:rPr>
                <w:rFonts w:ascii="Verdana" w:hAnsi="Verdana"/>
                <w:sz w:val="18"/>
                <w:szCs w:val="18"/>
              </w:rPr>
              <w:t>20</w:t>
            </w:r>
            <w:r w:rsidR="00982654">
              <w:rPr>
                <w:rFonts w:ascii="Verdana" w:hAnsi="Verdana"/>
                <w:sz w:val="18"/>
                <w:szCs w:val="18"/>
              </w:rPr>
              <w:t>-64)</w:t>
            </w:r>
            <w:r w:rsidRPr="00C34DE9">
              <w:rPr>
                <w:rFonts w:ascii="Verdana" w:hAnsi="Verdana"/>
                <w:sz w:val="18"/>
                <w:szCs w:val="18"/>
              </w:rPr>
              <w:t xml:space="preserve"> years and over living in private households. This comprises all persons living in the households surveyed during the reference week. This definition also includes persons absent from the households for short periods (but having retained a link with the private household) owing to studies, holidays, illness, business trips, etc. Persons on compulsory military service are not included.</w:t>
            </w:r>
          </w:p>
          <w:p w14:paraId="5ADEA677" w14:textId="77777777" w:rsidR="00AE59DD" w:rsidRDefault="005B3C23" w:rsidP="00896E60">
            <w:pPr>
              <w:spacing w:after="60"/>
              <w:jc w:val="both"/>
              <w:rPr>
                <w:rFonts w:ascii="Verdana" w:hAnsi="Verdana"/>
                <w:sz w:val="18"/>
                <w:szCs w:val="18"/>
              </w:rPr>
            </w:pPr>
            <w:r>
              <w:rPr>
                <w:rFonts w:ascii="Verdana" w:hAnsi="Verdana"/>
                <w:sz w:val="18"/>
                <w:szCs w:val="18"/>
              </w:rPr>
              <w:t>There are 3</w:t>
            </w:r>
            <w:r w:rsidR="00AE59DD">
              <w:rPr>
                <w:rFonts w:ascii="Verdana" w:hAnsi="Verdana"/>
                <w:sz w:val="18"/>
                <w:szCs w:val="18"/>
              </w:rPr>
              <w:t xml:space="preserve"> </w:t>
            </w:r>
            <w:r w:rsidR="00DD478B">
              <w:rPr>
                <w:rFonts w:ascii="Verdana" w:hAnsi="Verdana"/>
                <w:sz w:val="18"/>
                <w:szCs w:val="18"/>
              </w:rPr>
              <w:t>specific indicators</w:t>
            </w:r>
            <w:r w:rsidR="00AE59DD">
              <w:rPr>
                <w:rFonts w:ascii="Verdana" w:hAnsi="Verdana"/>
                <w:sz w:val="18"/>
                <w:szCs w:val="18"/>
              </w:rPr>
              <w:t>:</w:t>
            </w:r>
          </w:p>
          <w:p w14:paraId="2AA5101A" w14:textId="77777777" w:rsidR="00B35C41" w:rsidRPr="007D3E04" w:rsidRDefault="00AE59DD" w:rsidP="00665997">
            <w:pPr>
              <w:pStyle w:val="ListParagraph"/>
              <w:numPr>
                <w:ilvl w:val="0"/>
                <w:numId w:val="78"/>
              </w:numPr>
              <w:spacing w:after="60"/>
              <w:jc w:val="both"/>
              <w:rPr>
                <w:rFonts w:ascii="Verdana" w:hAnsi="Verdana"/>
                <w:b/>
                <w:bCs/>
                <w:sz w:val="18"/>
                <w:szCs w:val="18"/>
              </w:rPr>
            </w:pPr>
            <w:r w:rsidRPr="3F4AE0BD">
              <w:rPr>
                <w:rFonts w:ascii="Verdana" w:hAnsi="Verdana"/>
                <w:b/>
                <w:bCs/>
                <w:sz w:val="18"/>
                <w:szCs w:val="18"/>
              </w:rPr>
              <w:t>total employment rate</w:t>
            </w:r>
            <w:r w:rsidR="00F57ABC" w:rsidRPr="3F4AE0BD">
              <w:rPr>
                <w:rFonts w:ascii="Verdana" w:hAnsi="Verdana"/>
                <w:b/>
                <w:bCs/>
                <w:sz w:val="18"/>
                <w:szCs w:val="18"/>
              </w:rPr>
              <w:t xml:space="preserve"> and</w:t>
            </w:r>
            <w:r w:rsidRPr="3F4AE0BD">
              <w:rPr>
                <w:rFonts w:ascii="Verdana" w:hAnsi="Verdana"/>
                <w:b/>
                <w:bCs/>
                <w:sz w:val="18"/>
                <w:szCs w:val="18"/>
              </w:rPr>
              <w:t xml:space="preserve"> </w:t>
            </w:r>
            <w:r w:rsidR="00F57ABC" w:rsidRPr="3F4AE0BD">
              <w:rPr>
                <w:rFonts w:ascii="Verdana" w:hAnsi="Verdana"/>
                <w:b/>
                <w:bCs/>
                <w:sz w:val="18"/>
                <w:szCs w:val="18"/>
              </w:rPr>
              <w:t>by age groups</w:t>
            </w:r>
          </w:p>
          <w:p w14:paraId="19678C5D" w14:textId="77777777" w:rsidR="00B35C41" w:rsidRPr="007D3E04" w:rsidRDefault="00137DBC" w:rsidP="00665997">
            <w:pPr>
              <w:pStyle w:val="ListParagraph"/>
              <w:numPr>
                <w:ilvl w:val="0"/>
                <w:numId w:val="78"/>
              </w:numPr>
              <w:spacing w:after="60"/>
              <w:jc w:val="both"/>
              <w:rPr>
                <w:rFonts w:ascii="Verdana" w:hAnsi="Verdana"/>
                <w:b/>
                <w:bCs/>
                <w:sz w:val="18"/>
                <w:szCs w:val="18"/>
              </w:rPr>
            </w:pPr>
            <w:r w:rsidRPr="3F4AE0BD">
              <w:rPr>
                <w:rFonts w:ascii="Verdana" w:hAnsi="Verdana"/>
                <w:b/>
                <w:bCs/>
                <w:sz w:val="18"/>
                <w:szCs w:val="18"/>
              </w:rPr>
              <w:t xml:space="preserve">total employment </w:t>
            </w:r>
            <w:r w:rsidR="00AE59DD" w:rsidRPr="3F4AE0BD">
              <w:rPr>
                <w:rFonts w:ascii="Verdana" w:hAnsi="Verdana"/>
                <w:b/>
                <w:bCs/>
                <w:sz w:val="18"/>
                <w:szCs w:val="18"/>
              </w:rPr>
              <w:t xml:space="preserve">rate </w:t>
            </w:r>
            <w:r w:rsidR="00F57ABC" w:rsidRPr="3F4AE0BD">
              <w:rPr>
                <w:rFonts w:ascii="Verdana" w:hAnsi="Verdana"/>
                <w:b/>
                <w:bCs/>
                <w:sz w:val="18"/>
                <w:szCs w:val="18"/>
              </w:rPr>
              <w:t>by sex and by age groups</w:t>
            </w:r>
          </w:p>
          <w:p w14:paraId="34809A3C" w14:textId="77777777" w:rsidR="00AE59DD" w:rsidRPr="007D3E04" w:rsidRDefault="00137DBC" w:rsidP="00665997">
            <w:pPr>
              <w:pStyle w:val="ListParagraph"/>
              <w:numPr>
                <w:ilvl w:val="0"/>
                <w:numId w:val="78"/>
              </w:numPr>
              <w:spacing w:after="120"/>
              <w:ind w:left="1077" w:hanging="357"/>
              <w:jc w:val="both"/>
              <w:rPr>
                <w:rFonts w:ascii="Verdana" w:hAnsi="Verdana"/>
                <w:sz w:val="18"/>
                <w:szCs w:val="18"/>
              </w:rPr>
            </w:pPr>
            <w:r w:rsidRPr="3F4AE0BD">
              <w:rPr>
                <w:rFonts w:ascii="Verdana" w:hAnsi="Verdana"/>
                <w:b/>
                <w:bCs/>
                <w:sz w:val="18"/>
                <w:szCs w:val="18"/>
              </w:rPr>
              <w:t xml:space="preserve">total employment </w:t>
            </w:r>
            <w:r w:rsidR="00AE59DD" w:rsidRPr="3F4AE0BD">
              <w:rPr>
                <w:rFonts w:ascii="Verdana" w:hAnsi="Verdana"/>
                <w:b/>
                <w:bCs/>
                <w:sz w:val="18"/>
                <w:szCs w:val="18"/>
              </w:rPr>
              <w:t xml:space="preserve">rate </w:t>
            </w:r>
            <w:r w:rsidR="00F57ABC" w:rsidRPr="3F4AE0BD">
              <w:rPr>
                <w:rFonts w:ascii="Verdana" w:hAnsi="Verdana"/>
                <w:b/>
                <w:bCs/>
                <w:sz w:val="18"/>
                <w:szCs w:val="18"/>
              </w:rPr>
              <w:t>by age groups</w:t>
            </w:r>
            <w:r w:rsidR="00AE59DD" w:rsidRPr="3F4AE0BD">
              <w:rPr>
                <w:rFonts w:ascii="Verdana" w:hAnsi="Verdana"/>
                <w:b/>
                <w:bCs/>
                <w:sz w:val="18"/>
                <w:szCs w:val="18"/>
              </w:rPr>
              <w:t xml:space="preserve"> in rural areas</w:t>
            </w:r>
          </w:p>
          <w:p w14:paraId="44A9D074" w14:textId="77777777" w:rsidR="002F6287" w:rsidRDefault="004F1363" w:rsidP="00982654">
            <w:pPr>
              <w:spacing w:after="60"/>
              <w:jc w:val="both"/>
              <w:rPr>
                <w:rFonts w:ascii="Verdana" w:hAnsi="Verdana"/>
                <w:sz w:val="18"/>
                <w:szCs w:val="18"/>
              </w:rPr>
            </w:pPr>
            <w:r w:rsidRPr="5CB4B133">
              <w:rPr>
                <w:rFonts w:ascii="Verdana" w:hAnsi="Verdana"/>
                <w:b/>
                <w:bCs/>
                <w:sz w:val="18"/>
                <w:szCs w:val="18"/>
              </w:rPr>
              <w:t>Methodology</w:t>
            </w:r>
            <w:r w:rsidRPr="00C34DE9">
              <w:rPr>
                <w:rFonts w:ascii="Verdana" w:hAnsi="Verdana"/>
                <w:sz w:val="18"/>
                <w:szCs w:val="18"/>
              </w:rPr>
              <w:t xml:space="preserve">: </w:t>
            </w:r>
          </w:p>
          <w:p w14:paraId="41AED81E" w14:textId="5DED748F" w:rsidR="004F1363" w:rsidRPr="00C34DE9" w:rsidRDefault="00982654" w:rsidP="001D4364">
            <w:pPr>
              <w:spacing w:after="60"/>
              <w:jc w:val="both"/>
              <w:rPr>
                <w:rFonts w:ascii="Verdana" w:hAnsi="Verdana"/>
                <w:sz w:val="18"/>
                <w:szCs w:val="18"/>
              </w:rPr>
            </w:pPr>
            <w:r>
              <w:rPr>
                <w:rFonts w:ascii="Verdana" w:hAnsi="Verdana"/>
                <w:sz w:val="18"/>
                <w:szCs w:val="18"/>
              </w:rPr>
              <w:t>Based on the Labour Force Survey (LFS), the total employment rate of each country can be dis</w:t>
            </w:r>
            <w:r w:rsidR="004F1363" w:rsidRPr="00C34DE9">
              <w:rPr>
                <w:rFonts w:ascii="Verdana" w:hAnsi="Verdana"/>
                <w:sz w:val="18"/>
                <w:szCs w:val="18"/>
              </w:rPr>
              <w:t xml:space="preserve">aggregated by degree of urbanisation. This degree of urbanisation classifies the territory (Local Administrative Units (LAU)) into rural areas, towns and suburbs and cities. The rural employment rate of each Member State could </w:t>
            </w:r>
            <w:r>
              <w:rPr>
                <w:rFonts w:ascii="Verdana" w:hAnsi="Verdana"/>
                <w:sz w:val="18"/>
                <w:szCs w:val="18"/>
              </w:rPr>
              <w:t xml:space="preserve">then </w:t>
            </w:r>
            <w:r w:rsidR="004F1363" w:rsidRPr="00C34DE9">
              <w:rPr>
                <w:rFonts w:ascii="Verdana" w:hAnsi="Verdana"/>
                <w:sz w:val="18"/>
                <w:szCs w:val="18"/>
              </w:rPr>
              <w:t>be compared with the employment rates in the other two types of areas or with the employment rate for the whole country. Additionally, employment rates could also be calculated for men and women and even for other age groups.</w:t>
            </w:r>
          </w:p>
        </w:tc>
      </w:tr>
      <w:tr w:rsidR="004F1363" w:rsidRPr="00C34DE9" w14:paraId="2891E11D"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47F063C"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AC5FD43" w14:textId="4153066C" w:rsidR="004F1363" w:rsidRPr="00C34DE9" w:rsidRDefault="00F57ABC" w:rsidP="003A7118">
            <w:pPr>
              <w:spacing w:after="60"/>
              <w:jc w:val="both"/>
              <w:rPr>
                <w:rFonts w:ascii="Verdana" w:hAnsi="Verdana"/>
                <w:sz w:val="18"/>
                <w:szCs w:val="18"/>
              </w:rPr>
            </w:pPr>
            <w:r>
              <w:rPr>
                <w:rFonts w:ascii="Verdana" w:hAnsi="Verdana"/>
                <w:sz w:val="18"/>
                <w:szCs w:val="18"/>
              </w:rPr>
              <w:t xml:space="preserve">1 – 3: </w:t>
            </w:r>
            <w:r w:rsidR="003A7118">
              <w:rPr>
                <w:rFonts w:ascii="Verdana" w:hAnsi="Verdana"/>
                <w:sz w:val="18"/>
                <w:szCs w:val="18"/>
              </w:rPr>
              <w:t>%</w:t>
            </w:r>
          </w:p>
        </w:tc>
      </w:tr>
      <w:tr w:rsidR="004F1363" w:rsidRPr="00C34DE9" w14:paraId="3B878383" w14:textId="77777777" w:rsidTr="240ABBB4">
        <w:trPr>
          <w:trHeight w:val="220"/>
        </w:trPr>
        <w:tc>
          <w:tcPr>
            <w:tcW w:w="2518" w:type="dxa"/>
            <w:tcBorders>
              <w:top w:val="single" w:sz="4" w:space="0" w:color="auto"/>
              <w:left w:val="single" w:sz="4" w:space="0" w:color="auto"/>
              <w:bottom w:val="single" w:sz="4" w:space="0" w:color="auto"/>
              <w:right w:val="single" w:sz="4" w:space="0" w:color="auto"/>
            </w:tcBorders>
            <w:vAlign w:val="center"/>
          </w:tcPr>
          <w:p w14:paraId="7F75CCFB"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545A2E8"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Labour Force </w:t>
            </w:r>
            <w:r w:rsidR="00CE27E0">
              <w:rPr>
                <w:rFonts w:ascii="Verdana" w:eastAsia="Times New Roman" w:hAnsi="Verdana"/>
                <w:sz w:val="18"/>
                <w:szCs w:val="18"/>
              </w:rPr>
              <w:t>Survey</w:t>
            </w:r>
          </w:p>
        </w:tc>
      </w:tr>
      <w:tr w:rsidR="004F1363" w:rsidRPr="00C34DE9" w14:paraId="21ED4556"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8CCFB46"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AD09F98" w14:textId="77777777" w:rsidR="00982654" w:rsidRDefault="00982654" w:rsidP="00982654">
            <w:pPr>
              <w:spacing w:after="60"/>
              <w:jc w:val="both"/>
              <w:rPr>
                <w:rFonts w:ascii="Verdana" w:hAnsi="Verdana"/>
                <w:sz w:val="18"/>
                <w:szCs w:val="18"/>
              </w:rPr>
            </w:pPr>
            <w:r>
              <w:rPr>
                <w:rFonts w:ascii="Verdana" w:hAnsi="Verdana"/>
                <w:sz w:val="18"/>
                <w:szCs w:val="18"/>
              </w:rPr>
              <w:t>Employment rates are calculated by Eurostat and disseminated on its website:</w:t>
            </w:r>
          </w:p>
          <w:p w14:paraId="40876B07" w14:textId="77777777" w:rsidR="001D4364" w:rsidRDefault="001D4364" w:rsidP="001D4364">
            <w:pPr>
              <w:spacing w:after="60"/>
              <w:jc w:val="both"/>
              <w:rPr>
                <w:rFonts w:ascii="Arial" w:hAnsi="Arial" w:cs="Arial"/>
                <w:sz w:val="20"/>
                <w:szCs w:val="20"/>
                <w:lang w:eastAsia="fr-BE"/>
              </w:rPr>
            </w:pPr>
            <w:r>
              <w:rPr>
                <w:rFonts w:ascii="Verdana" w:hAnsi="Verdana"/>
                <w:sz w:val="18"/>
                <w:szCs w:val="18"/>
              </w:rPr>
              <w:t xml:space="preserve">National data, including by typology: table </w:t>
            </w:r>
            <w:r w:rsidRPr="001D4364">
              <w:rPr>
                <w:rFonts w:ascii="Verdana" w:hAnsi="Verdana"/>
                <w:sz w:val="18"/>
                <w:szCs w:val="18"/>
              </w:rPr>
              <w:t>Employment rates by sex, age and degree of urbanisation (%) [</w:t>
            </w:r>
            <w:hyperlink r:id="rId39" w:history="1">
              <w:r w:rsidRPr="004E7BEB">
                <w:rPr>
                  <w:rStyle w:val="Hyperlink"/>
                  <w:rFonts w:ascii="Verdana" w:hAnsi="Verdana"/>
                  <w:sz w:val="18"/>
                  <w:szCs w:val="18"/>
                </w:rPr>
                <w:t>lfst_r_ergau</w:t>
              </w:r>
            </w:hyperlink>
            <w:r w:rsidRPr="001D4364">
              <w:rPr>
                <w:rFonts w:ascii="Verdana" w:hAnsi="Verdana"/>
                <w:sz w:val="18"/>
                <w:szCs w:val="18"/>
              </w:rPr>
              <w:t>]</w:t>
            </w:r>
          </w:p>
          <w:p w14:paraId="76C6A77B" w14:textId="482EE5F9" w:rsidR="001D4364" w:rsidRPr="00C34DE9" w:rsidRDefault="004F1363" w:rsidP="001D4364">
            <w:pPr>
              <w:spacing w:after="60"/>
              <w:jc w:val="both"/>
              <w:rPr>
                <w:rFonts w:ascii="Verdana" w:hAnsi="Verdana"/>
                <w:sz w:val="18"/>
                <w:szCs w:val="18"/>
              </w:rPr>
            </w:pPr>
            <w:r w:rsidRPr="00C34DE9">
              <w:rPr>
                <w:rFonts w:ascii="Verdana" w:hAnsi="Verdana"/>
                <w:sz w:val="18"/>
                <w:szCs w:val="18"/>
              </w:rPr>
              <w:t>Regional data: table</w:t>
            </w:r>
            <w:r w:rsidR="00982654">
              <w:rPr>
                <w:rFonts w:ascii="Verdana" w:hAnsi="Verdana"/>
                <w:sz w:val="18"/>
                <w:szCs w:val="18"/>
              </w:rPr>
              <w:t xml:space="preserve"> </w:t>
            </w:r>
          </w:p>
          <w:p w14:paraId="3E140AC0" w14:textId="77777777" w:rsidR="004F1363" w:rsidRPr="00C34DE9" w:rsidRDefault="001D4364" w:rsidP="004E7BEB">
            <w:pPr>
              <w:spacing w:after="60" w:line="240" w:lineRule="auto"/>
              <w:jc w:val="both"/>
              <w:rPr>
                <w:rFonts w:ascii="Verdana" w:hAnsi="Verdana"/>
                <w:sz w:val="18"/>
                <w:szCs w:val="18"/>
              </w:rPr>
            </w:pPr>
            <w:r w:rsidRPr="001D4364">
              <w:rPr>
                <w:rFonts w:ascii="Verdana" w:hAnsi="Verdana"/>
                <w:sz w:val="18"/>
                <w:szCs w:val="18"/>
              </w:rPr>
              <w:t>Employment rates by sex, age and NUTS 2 regions (%) [</w:t>
            </w:r>
            <w:hyperlink r:id="rId40" w:history="1">
              <w:r w:rsidRPr="001D4364">
                <w:rPr>
                  <w:rStyle w:val="Hyperlink"/>
                  <w:rFonts w:ascii="Verdana" w:hAnsi="Verdana"/>
                  <w:sz w:val="18"/>
                  <w:szCs w:val="18"/>
                </w:rPr>
                <w:t>lfst_r_lfe2emprt</w:t>
              </w:r>
            </w:hyperlink>
            <w:r w:rsidRPr="001D4364">
              <w:rPr>
                <w:rFonts w:ascii="Verdana" w:hAnsi="Verdana"/>
                <w:sz w:val="18"/>
                <w:szCs w:val="18"/>
              </w:rPr>
              <w:t>]</w:t>
            </w:r>
          </w:p>
        </w:tc>
      </w:tr>
      <w:tr w:rsidR="004F1363" w:rsidRPr="00C34DE9" w14:paraId="3A34AC6D"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2689C910"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Data collection</w:t>
            </w:r>
            <w:r w:rsidR="00B55D87"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EF335F8" w14:textId="77777777" w:rsidR="004F1363" w:rsidRPr="00C34DE9" w:rsidRDefault="004F1363" w:rsidP="00003059">
            <w:pPr>
              <w:pStyle w:val="Tablesbullets2"/>
              <w:numPr>
                <w:ilvl w:val="0"/>
                <w:numId w:val="0"/>
              </w:numPr>
              <w:spacing w:after="60"/>
              <w:jc w:val="both"/>
              <w:rPr>
                <w:rFonts w:ascii="Verdana" w:hAnsi="Verdana"/>
                <w:sz w:val="18"/>
                <w:szCs w:val="18"/>
              </w:rPr>
            </w:pPr>
            <w:r w:rsidRPr="00C34DE9">
              <w:rPr>
                <w:rFonts w:ascii="Verdana" w:hAnsi="Verdana"/>
                <w:sz w:val="18"/>
                <w:szCs w:val="18"/>
              </w:rPr>
              <w:t>LFS data are collected at LAU level (LAU2), with a sample defined to be significant at NUTS 2 level and at national level.</w:t>
            </w:r>
          </w:p>
          <w:p w14:paraId="236A25B1" w14:textId="77777777" w:rsidR="00B55D87" w:rsidRPr="00C34DE9" w:rsidDel="00F9611E" w:rsidRDefault="002F54C0" w:rsidP="00003059">
            <w:pPr>
              <w:pStyle w:val="Tablesbullets2"/>
              <w:numPr>
                <w:ilvl w:val="0"/>
                <w:numId w:val="0"/>
              </w:numPr>
              <w:spacing w:after="60"/>
              <w:jc w:val="both"/>
              <w:rPr>
                <w:rFonts w:ascii="Verdana" w:hAnsi="Verdana"/>
                <w:sz w:val="18"/>
                <w:szCs w:val="18"/>
              </w:rPr>
            </w:pPr>
            <w:r>
              <w:rPr>
                <w:rFonts w:ascii="Verdana" w:hAnsi="Verdana"/>
                <w:sz w:val="18"/>
                <w:szCs w:val="18"/>
              </w:rPr>
              <w:t>B</w:t>
            </w:r>
            <w:r w:rsidR="00B55D87" w:rsidRPr="00C34DE9">
              <w:rPr>
                <w:rFonts w:ascii="Verdana" w:hAnsi="Verdana"/>
                <w:sz w:val="18"/>
                <w:szCs w:val="18"/>
              </w:rPr>
              <w:t>y degree of urbanisation (rural areas, towns and suburbs, cities)</w:t>
            </w:r>
          </w:p>
        </w:tc>
      </w:tr>
      <w:tr w:rsidR="004F1363" w:rsidRPr="00C34DE9" w14:paraId="7D33EDF2" w14:textId="77777777" w:rsidTr="240ABBB4">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11C7A31F"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2C9A7B7" w14:textId="77777777" w:rsidR="004F1363" w:rsidRPr="00C34DE9" w:rsidRDefault="005846E6" w:rsidP="00896E60">
            <w:pPr>
              <w:pStyle w:val="Tablesbullets2"/>
              <w:numPr>
                <w:ilvl w:val="0"/>
                <w:numId w:val="0"/>
              </w:numPr>
              <w:spacing w:after="60"/>
              <w:jc w:val="both"/>
              <w:rPr>
                <w:rFonts w:ascii="Verdana" w:hAnsi="Verdana"/>
                <w:sz w:val="18"/>
                <w:szCs w:val="18"/>
              </w:rPr>
            </w:pPr>
            <w:r>
              <w:rPr>
                <w:rFonts w:ascii="Verdana" w:hAnsi="Verdana"/>
                <w:sz w:val="18"/>
                <w:szCs w:val="18"/>
              </w:rPr>
              <w:t>LFS data are collected on a continuous basis and quarterly/annual results are produced. Data by degree of urbanisation are disseminated by Eurostat annually</w:t>
            </w:r>
          </w:p>
        </w:tc>
      </w:tr>
      <w:tr w:rsidR="004F1363" w:rsidRPr="00C34DE9" w14:paraId="06E7C8F4" w14:textId="77777777" w:rsidTr="240ABBB4">
        <w:trPr>
          <w:trHeight w:val="255"/>
        </w:trPr>
        <w:tc>
          <w:tcPr>
            <w:tcW w:w="2518" w:type="dxa"/>
            <w:tcBorders>
              <w:top w:val="single" w:sz="4" w:space="0" w:color="auto"/>
              <w:left w:val="single" w:sz="4" w:space="0" w:color="auto"/>
              <w:bottom w:val="single" w:sz="4" w:space="0" w:color="auto"/>
              <w:right w:val="single" w:sz="4" w:space="0" w:color="auto"/>
            </w:tcBorders>
            <w:vAlign w:val="center"/>
          </w:tcPr>
          <w:p w14:paraId="4C3C4E48"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093F341" w14:textId="77777777" w:rsidR="004F1363" w:rsidRPr="00C34DE9" w:rsidRDefault="005846E6" w:rsidP="00896E60">
            <w:pPr>
              <w:spacing w:after="60"/>
              <w:jc w:val="both"/>
              <w:rPr>
                <w:rFonts w:ascii="Verdana" w:hAnsi="Verdana"/>
                <w:sz w:val="18"/>
                <w:szCs w:val="18"/>
                <w:lang w:val="en-US"/>
              </w:rPr>
            </w:pPr>
            <w:r>
              <w:rPr>
                <w:rFonts w:ascii="Verdana" w:hAnsi="Verdana"/>
                <w:sz w:val="18"/>
                <w:szCs w:val="18"/>
                <w:lang w:val="en-US"/>
              </w:rPr>
              <w:t>4 months</w:t>
            </w:r>
          </w:p>
        </w:tc>
      </w:tr>
      <w:tr w:rsidR="004F1363" w:rsidRPr="00C34DE9" w14:paraId="358D49AC"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0514DEEF"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lastRenderedPageBreak/>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CB92356" w14:textId="77777777" w:rsidR="004F1363" w:rsidRPr="00C34DE9" w:rsidRDefault="004F1363" w:rsidP="000F176F">
            <w:pPr>
              <w:pStyle w:val="Tablesbullets2"/>
              <w:numPr>
                <w:ilvl w:val="0"/>
                <w:numId w:val="0"/>
              </w:numPr>
              <w:spacing w:after="60" w:line="276" w:lineRule="auto"/>
              <w:jc w:val="both"/>
            </w:pPr>
            <w:r w:rsidRPr="00C34DE9">
              <w:rPr>
                <w:rFonts w:ascii="Verdana" w:hAnsi="Verdana"/>
                <w:sz w:val="18"/>
                <w:szCs w:val="18"/>
              </w:rPr>
              <w:t xml:space="preserve">Although the use of the degree of urbanisation has been selected as the most appropriate for the indicator "rural employment rate", the urban/rural typology is the one to be used when the information is available at NUTS level </w:t>
            </w:r>
            <w:r w:rsidR="000F176F">
              <w:rPr>
                <w:rFonts w:ascii="Verdana" w:hAnsi="Verdana"/>
                <w:sz w:val="18"/>
                <w:szCs w:val="18"/>
              </w:rPr>
              <w:t xml:space="preserve">3 </w:t>
            </w:r>
            <w:r w:rsidRPr="00C34DE9">
              <w:rPr>
                <w:rFonts w:ascii="Verdana" w:hAnsi="Verdana"/>
                <w:sz w:val="18"/>
                <w:szCs w:val="18"/>
              </w:rPr>
              <w:t>(for example, for the indicator "Rural GDP per capita").</w:t>
            </w:r>
          </w:p>
        </w:tc>
      </w:tr>
    </w:tbl>
    <w:p w14:paraId="317299C5" w14:textId="3F24A7D9" w:rsidR="002C58BD" w:rsidRDefault="004F5461">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EA735E" w:rsidRPr="00C34DE9" w14:paraId="25E15C21" w14:textId="77777777" w:rsidTr="0023512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bookmarkStart w:id="7" w:name="C07"/>
          <w:p w14:paraId="42FFB56A" w14:textId="77777777" w:rsidR="00EA735E" w:rsidRPr="00C34DE9" w:rsidRDefault="00EA735E" w:rsidP="00235122">
            <w:pPr>
              <w:spacing w:after="60"/>
              <w:rPr>
                <w:rFonts w:ascii="Verdana" w:hAnsi="Verdana"/>
                <w:b/>
                <w:bCs/>
                <w:sz w:val="18"/>
                <w:szCs w:val="18"/>
              </w:rPr>
            </w:pPr>
            <w:r w:rsidRPr="3F4AE0BD">
              <w:lastRenderedPageBreak/>
              <w:fldChar w:fldCharType="begin"/>
            </w:r>
            <w:r>
              <w:rPr>
                <w:rFonts w:ascii="Verdana" w:hAnsi="Verdana"/>
                <w:b/>
                <w:smallCaps/>
                <w:sz w:val="18"/>
                <w:szCs w:val="18"/>
              </w:rPr>
              <w:instrText xml:space="preserve"> HYPERLINK  \l "C07" </w:instrText>
            </w:r>
            <w:r w:rsidRPr="3F4AE0BD">
              <w:rPr>
                <w:rFonts w:ascii="Verdana" w:hAnsi="Verdana"/>
                <w:b/>
                <w:smallCaps/>
                <w:sz w:val="18"/>
                <w:szCs w:val="18"/>
              </w:rPr>
              <w:fldChar w:fldCharType="separate"/>
            </w:r>
            <w:r w:rsidRPr="3F4AE0BD">
              <w:rPr>
                <w:rStyle w:val="Hyperlink"/>
                <w:rFonts w:ascii="Verdana" w:hAnsi="Verdana"/>
                <w:b/>
                <w:bCs/>
                <w:smallCaps/>
                <w:sz w:val="18"/>
                <w:szCs w:val="18"/>
              </w:rPr>
              <w:t>Indicator C.07</w:t>
            </w:r>
            <w:bookmarkEnd w:id="7"/>
            <w:r w:rsidRPr="3F4AE0BD">
              <w:fldChar w:fldCharType="end"/>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6DF76E7" w14:textId="77777777" w:rsidR="00EA735E" w:rsidRPr="00C34DE9" w:rsidRDefault="00EA735E" w:rsidP="00235122">
            <w:pPr>
              <w:spacing w:after="60"/>
              <w:rPr>
                <w:rFonts w:ascii="Verdana" w:hAnsi="Verdana"/>
                <w:caps/>
                <w:sz w:val="18"/>
                <w:szCs w:val="18"/>
              </w:rPr>
            </w:pPr>
          </w:p>
        </w:tc>
      </w:tr>
      <w:tr w:rsidR="00EA735E" w:rsidRPr="00C34DE9" w14:paraId="7DD0199F" w14:textId="77777777" w:rsidTr="00235122">
        <w:trPr>
          <w:trHeight w:val="61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1981A28"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33044E6" w14:textId="77777777" w:rsidR="00EA735E" w:rsidRPr="00C34DE9" w:rsidRDefault="00EA735E" w:rsidP="00235122">
            <w:pPr>
              <w:spacing w:after="60"/>
              <w:jc w:val="center"/>
              <w:rPr>
                <w:rFonts w:ascii="Verdana" w:hAnsi="Verdana"/>
                <w:b/>
                <w:bCs/>
                <w:color w:val="808080"/>
                <w:sz w:val="18"/>
                <w:szCs w:val="18"/>
              </w:rPr>
            </w:pPr>
            <w:r w:rsidRPr="3B80D187">
              <w:rPr>
                <w:rFonts w:ascii="Verdana" w:hAnsi="Verdana"/>
                <w:b/>
                <w:bCs/>
                <w:sz w:val="18"/>
                <w:szCs w:val="18"/>
              </w:rPr>
              <w:t>Unemployment rate in rural areas</w:t>
            </w:r>
          </w:p>
        </w:tc>
      </w:tr>
      <w:tr w:rsidR="00EA735E" w:rsidRPr="00C34DE9" w14:paraId="3942752E" w14:textId="77777777" w:rsidTr="00235122">
        <w:trPr>
          <w:trHeight w:val="3180"/>
        </w:trPr>
        <w:tc>
          <w:tcPr>
            <w:tcW w:w="2518" w:type="dxa"/>
            <w:tcBorders>
              <w:top w:val="single" w:sz="4" w:space="0" w:color="auto"/>
              <w:left w:val="single" w:sz="4" w:space="0" w:color="auto"/>
              <w:bottom w:val="single" w:sz="4" w:space="0" w:color="auto"/>
              <w:right w:val="single" w:sz="4" w:space="0" w:color="auto"/>
            </w:tcBorders>
            <w:vAlign w:val="center"/>
          </w:tcPr>
          <w:p w14:paraId="3373E272"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FC308A6" w14:textId="77777777" w:rsidR="00EA735E" w:rsidRPr="007C2BEC" w:rsidRDefault="00EA735E" w:rsidP="00235122">
            <w:pPr>
              <w:pStyle w:val="RD-Indicatortabletext"/>
              <w:spacing w:after="60"/>
              <w:jc w:val="both"/>
              <w:rPr>
                <w:rFonts w:eastAsia="Calibri" w:cs="Times New Roman"/>
                <w:sz w:val="18"/>
                <w:szCs w:val="18"/>
                <w:lang w:eastAsia="en-US"/>
              </w:rPr>
            </w:pPr>
            <w:r w:rsidRPr="00C34DE9">
              <w:rPr>
                <w:rFonts w:eastAsia="Calibri" w:cs="Times New Roman"/>
                <w:sz w:val="18"/>
                <w:szCs w:val="18"/>
                <w:lang w:eastAsia="en-US"/>
              </w:rPr>
              <w:t>This indicator provides the number of</w:t>
            </w:r>
            <w:r w:rsidRPr="3F4AE0BD">
              <w:rPr>
                <w:rFonts w:eastAsia="Calibri" w:cs="Times New Roman"/>
                <w:b/>
                <w:bCs/>
                <w:sz w:val="18"/>
                <w:szCs w:val="18"/>
                <w:lang w:eastAsia="en-US"/>
              </w:rPr>
              <w:t xml:space="preserve"> </w:t>
            </w:r>
            <w:r w:rsidRPr="007D3E04">
              <w:rPr>
                <w:rFonts w:eastAsia="Calibri" w:cs="Times New Roman"/>
                <w:sz w:val="18"/>
                <w:szCs w:val="18"/>
                <w:lang w:eastAsia="en-US"/>
              </w:rPr>
              <w:t xml:space="preserve">unemployed persons aged 15-24 years </w:t>
            </w:r>
            <w:r w:rsidRPr="3F4AE0BD">
              <w:rPr>
                <w:rFonts w:eastAsia="Calibri" w:cs="Times New Roman"/>
                <w:b/>
                <w:bCs/>
                <w:sz w:val="18"/>
                <w:szCs w:val="18"/>
                <w:lang w:eastAsia="en-US"/>
              </w:rPr>
              <w:t xml:space="preserve">(youth unemployment rate) </w:t>
            </w:r>
            <w:r w:rsidRPr="007D3E04">
              <w:rPr>
                <w:rFonts w:eastAsia="Calibri" w:cs="Times New Roman"/>
                <w:sz w:val="18"/>
                <w:szCs w:val="18"/>
                <w:lang w:eastAsia="en-US"/>
              </w:rPr>
              <w:t>and 15-74 years</w:t>
            </w:r>
            <w:r w:rsidRPr="3F4AE0BD">
              <w:rPr>
                <w:rFonts w:eastAsia="Calibri" w:cs="Times New Roman"/>
                <w:b/>
                <w:bCs/>
                <w:sz w:val="18"/>
                <w:szCs w:val="18"/>
                <w:lang w:eastAsia="en-US"/>
              </w:rPr>
              <w:t xml:space="preserve"> (total unemployment rate) </w:t>
            </w:r>
            <w:r w:rsidRPr="007D3E04">
              <w:rPr>
                <w:rFonts w:eastAsia="Calibri" w:cs="Times New Roman"/>
                <w:sz w:val="18"/>
                <w:szCs w:val="18"/>
                <w:lang w:eastAsia="en-US"/>
              </w:rPr>
              <w:t>as a share of the total economically active population of the same age class.</w:t>
            </w:r>
            <w:r w:rsidRPr="3F4AE0BD">
              <w:rPr>
                <w:rFonts w:eastAsia="Calibri" w:cs="Times New Roman"/>
                <w:b/>
                <w:bCs/>
                <w:sz w:val="18"/>
                <w:szCs w:val="18"/>
                <w:lang w:eastAsia="en-US"/>
              </w:rPr>
              <w:t xml:space="preserve"> </w:t>
            </w:r>
            <w:r w:rsidRPr="007D3E04">
              <w:rPr>
                <w:rFonts w:eastAsia="Calibri" w:cs="Times New Roman"/>
                <w:sz w:val="18"/>
                <w:szCs w:val="18"/>
                <w:lang w:eastAsia="en-US"/>
              </w:rPr>
              <w:t xml:space="preserve">It consists of 6 </w:t>
            </w:r>
            <w:r>
              <w:rPr>
                <w:rFonts w:eastAsia="Calibri" w:cs="Times New Roman"/>
                <w:sz w:val="18"/>
                <w:szCs w:val="18"/>
                <w:lang w:eastAsia="en-US"/>
              </w:rPr>
              <w:t xml:space="preserve">specific indicators, expressed as a </w:t>
            </w:r>
            <w:r w:rsidRPr="00DD51C8">
              <w:rPr>
                <w:rFonts w:eastAsia="Calibri" w:cs="Times New Roman"/>
                <w:sz w:val="18"/>
                <w:szCs w:val="18"/>
                <w:lang w:eastAsia="en-US"/>
              </w:rPr>
              <w:t>share of total active population of the same age class</w:t>
            </w:r>
            <w:r w:rsidRPr="007D3E04">
              <w:rPr>
                <w:rFonts w:eastAsia="Calibri" w:cs="Times New Roman"/>
                <w:sz w:val="18"/>
                <w:szCs w:val="18"/>
                <w:lang w:eastAsia="en-US"/>
              </w:rPr>
              <w:t>:</w:t>
            </w:r>
            <w:r w:rsidRPr="3F4AE0BD">
              <w:rPr>
                <w:rFonts w:eastAsia="Calibri" w:cs="Times New Roman"/>
                <w:b/>
                <w:bCs/>
                <w:sz w:val="18"/>
                <w:szCs w:val="18"/>
                <w:lang w:eastAsia="en-US"/>
              </w:rPr>
              <w:t xml:space="preserve"> </w:t>
            </w:r>
          </w:p>
          <w:p w14:paraId="782FD551"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total unemployment rate</w:t>
            </w:r>
          </w:p>
          <w:p w14:paraId="5E177EEF"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youth unemployment rate</w:t>
            </w:r>
          </w:p>
          <w:p w14:paraId="466D7010"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total unemployment rate in rural areas</w:t>
            </w:r>
          </w:p>
          <w:p w14:paraId="6F70FC76"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youth unemployment rate in rural areas</w:t>
            </w:r>
          </w:p>
          <w:p w14:paraId="5C923539" w14:textId="77777777" w:rsidR="00EA735E" w:rsidRPr="007D3E04" w:rsidRDefault="00EA735E" w:rsidP="00235122">
            <w:pPr>
              <w:pStyle w:val="RD-Indicatortabletext"/>
              <w:numPr>
                <w:ilvl w:val="0"/>
                <w:numId w:val="66"/>
              </w:numPr>
              <w:spacing w:after="60"/>
              <w:jc w:val="both"/>
              <w:rPr>
                <w:rFonts w:eastAsia="Calibri" w:cs="Times New Roman"/>
                <w:b/>
                <w:bCs/>
                <w:sz w:val="18"/>
                <w:szCs w:val="18"/>
                <w:lang w:eastAsia="en-US"/>
              </w:rPr>
            </w:pPr>
            <w:r w:rsidRPr="3F4AE0BD">
              <w:rPr>
                <w:rFonts w:eastAsia="Calibri" w:cs="Times New Roman"/>
                <w:b/>
                <w:bCs/>
                <w:sz w:val="18"/>
                <w:szCs w:val="18"/>
                <w:lang w:eastAsia="en-US"/>
              </w:rPr>
              <w:t>total unemployment rate by sex</w:t>
            </w:r>
          </w:p>
          <w:p w14:paraId="7010BD5F" w14:textId="77777777" w:rsidR="00EA735E" w:rsidRPr="00785D45" w:rsidRDefault="00EA735E" w:rsidP="00235122">
            <w:pPr>
              <w:pStyle w:val="RD-Indicatortabletext"/>
              <w:numPr>
                <w:ilvl w:val="0"/>
                <w:numId w:val="66"/>
              </w:numPr>
              <w:spacing w:after="120"/>
              <w:ind w:left="714" w:hanging="357"/>
              <w:jc w:val="both"/>
              <w:rPr>
                <w:rFonts w:eastAsia="Calibri" w:cs="Times New Roman"/>
                <w:b/>
                <w:bCs/>
                <w:sz w:val="18"/>
                <w:szCs w:val="18"/>
                <w:lang w:eastAsia="en-US"/>
              </w:rPr>
            </w:pPr>
            <w:r w:rsidRPr="3F4AE0BD">
              <w:rPr>
                <w:rFonts w:eastAsia="Calibri" w:cs="Times New Roman"/>
                <w:b/>
                <w:bCs/>
                <w:sz w:val="18"/>
                <w:szCs w:val="18"/>
                <w:lang w:eastAsia="en-US"/>
              </w:rPr>
              <w:t>youth unemployment rate by sex</w:t>
            </w:r>
          </w:p>
          <w:p w14:paraId="4D3DD468"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Unemployed persons comprise persons who were (all three conditions must be fulfilled simultaneously):</w:t>
            </w:r>
          </w:p>
          <w:p w14:paraId="580A6D07"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1. without work during the reference week,</w:t>
            </w:r>
          </w:p>
          <w:p w14:paraId="230577D1"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2. available for work at the time,</w:t>
            </w:r>
          </w:p>
          <w:p w14:paraId="23D25156" w14:textId="77777777" w:rsidR="00EA735E" w:rsidRPr="00C34DE9" w:rsidRDefault="00EA735E" w:rsidP="00235122">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3. actively seeking work.</w:t>
            </w:r>
          </w:p>
          <w:p w14:paraId="568723DC" w14:textId="77777777" w:rsidR="00EA735E" w:rsidRPr="00C34DE9" w:rsidRDefault="00EA735E" w:rsidP="00235122">
            <w:pPr>
              <w:pStyle w:val="RD-Indicatortabletext"/>
              <w:spacing w:after="120"/>
              <w:jc w:val="both"/>
              <w:rPr>
                <w:rFonts w:eastAsia="Calibri" w:cs="Times New Roman"/>
                <w:sz w:val="18"/>
                <w:szCs w:val="18"/>
                <w:lang w:eastAsia="en-US"/>
              </w:rPr>
            </w:pPr>
            <w:r w:rsidRPr="00C34DE9">
              <w:rPr>
                <w:rFonts w:eastAsia="Calibri" w:cs="Times New Roman"/>
                <w:sz w:val="18"/>
                <w:szCs w:val="18"/>
                <w:lang w:eastAsia="en-US"/>
              </w:rPr>
              <w:t xml:space="preserve">Economically active population is employed </w:t>
            </w:r>
            <w:r>
              <w:rPr>
                <w:sz w:val="18"/>
                <w:szCs w:val="18"/>
              </w:rPr>
              <w:t xml:space="preserve">(see definition in indicator C.06) </w:t>
            </w:r>
            <w:r w:rsidRPr="00C34DE9">
              <w:rPr>
                <w:rFonts w:eastAsia="Calibri" w:cs="Times New Roman"/>
                <w:sz w:val="18"/>
                <w:szCs w:val="18"/>
                <w:lang w:eastAsia="en-US"/>
              </w:rPr>
              <w:t>plus unemployed.</w:t>
            </w:r>
          </w:p>
          <w:p w14:paraId="329806D4" w14:textId="77777777" w:rsidR="00E631D0" w:rsidRDefault="00E631D0" w:rsidP="00235122">
            <w:pPr>
              <w:pStyle w:val="RD-Indicatortabletext"/>
              <w:spacing w:after="60"/>
              <w:jc w:val="both"/>
              <w:rPr>
                <w:b/>
                <w:bCs/>
                <w:sz w:val="18"/>
                <w:szCs w:val="18"/>
              </w:rPr>
            </w:pPr>
          </w:p>
          <w:p w14:paraId="1977A40A" w14:textId="0C97B218" w:rsidR="00EA735E" w:rsidRDefault="00EA735E" w:rsidP="00235122">
            <w:pPr>
              <w:pStyle w:val="RD-Indicatortabletext"/>
              <w:spacing w:after="60"/>
              <w:jc w:val="both"/>
              <w:rPr>
                <w:sz w:val="18"/>
                <w:szCs w:val="18"/>
              </w:rPr>
            </w:pPr>
            <w:r w:rsidRPr="5CB4B133">
              <w:rPr>
                <w:b/>
                <w:bCs/>
                <w:sz w:val="18"/>
                <w:szCs w:val="18"/>
              </w:rPr>
              <w:t>Methodology</w:t>
            </w:r>
            <w:r>
              <w:rPr>
                <w:sz w:val="18"/>
                <w:szCs w:val="18"/>
              </w:rPr>
              <w:t xml:space="preserve">: </w:t>
            </w:r>
          </w:p>
          <w:p w14:paraId="1DDCC371" w14:textId="77777777" w:rsidR="00EA735E" w:rsidRPr="00C34DE9" w:rsidRDefault="00EA735E" w:rsidP="00235122">
            <w:pPr>
              <w:pStyle w:val="RD-Indicatortabletext"/>
              <w:spacing w:after="60"/>
              <w:jc w:val="both"/>
              <w:rPr>
                <w:rFonts w:cs="Calibri"/>
                <w:b/>
                <w:bCs/>
                <w:sz w:val="18"/>
                <w:szCs w:val="18"/>
              </w:rPr>
            </w:pPr>
            <w:r>
              <w:rPr>
                <w:sz w:val="18"/>
                <w:szCs w:val="18"/>
              </w:rPr>
              <w:t>Based on the Labour Force Survey (LFS), the total/youth unemployment rate of each country can be disaggregated by degree of urbanisation. The degree of urbanisation classifies the territory (Local Administrative Units (LAU)) into ‘rural areas’, ‘towns and suburbs’ and ‘cities’. The rural unemployment rate of each Member State could then be compared with the unemployment rates in the other two types of areas or with the unemployment rate for the whole country. Additionally, unemployment rates could also be calculated for men and women and even for other age groups, if needed for a better analysis.</w:t>
            </w:r>
          </w:p>
        </w:tc>
      </w:tr>
      <w:tr w:rsidR="00EA735E" w:rsidRPr="00B8041A" w14:paraId="2265E77B"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45964937"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183A536" w14:textId="77777777" w:rsidR="00EA735E" w:rsidRPr="00B8041A" w:rsidRDefault="00EA735E" w:rsidP="00235122">
            <w:pPr>
              <w:spacing w:after="60"/>
              <w:jc w:val="both"/>
            </w:pPr>
            <w:r>
              <w:rPr>
                <w:rFonts w:eastAsia="Times New Roman"/>
              </w:rPr>
              <w:t>1 - 6: %</w:t>
            </w:r>
            <w:r w:rsidRPr="00412453">
              <w:rPr>
                <w:rFonts w:eastAsia="Times New Roman"/>
              </w:rPr>
              <w:t xml:space="preserve"> </w:t>
            </w:r>
          </w:p>
        </w:tc>
      </w:tr>
      <w:tr w:rsidR="00EA735E" w:rsidRPr="00CE27E0" w14:paraId="1A7E0D79" w14:textId="77777777" w:rsidTr="00235122">
        <w:trPr>
          <w:trHeight w:val="279"/>
        </w:trPr>
        <w:tc>
          <w:tcPr>
            <w:tcW w:w="2518" w:type="dxa"/>
            <w:tcBorders>
              <w:top w:val="single" w:sz="4" w:space="0" w:color="auto"/>
              <w:left w:val="single" w:sz="4" w:space="0" w:color="auto"/>
              <w:bottom w:val="single" w:sz="4" w:space="0" w:color="auto"/>
              <w:right w:val="single" w:sz="4" w:space="0" w:color="auto"/>
            </w:tcBorders>
            <w:vAlign w:val="center"/>
          </w:tcPr>
          <w:p w14:paraId="3A6E0B83" w14:textId="77777777" w:rsidR="00EA735E" w:rsidRPr="00C34DE9" w:rsidRDefault="00EA735E" w:rsidP="00235122">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ABC726A" w14:textId="77777777" w:rsidR="00EA735E" w:rsidRPr="00CE27E0" w:rsidRDefault="00EA735E" w:rsidP="00235122">
            <w:pPr>
              <w:spacing w:after="60"/>
              <w:jc w:val="both"/>
              <w:rPr>
                <w:rFonts w:ascii="Verdana" w:eastAsia="Times New Roman" w:hAnsi="Verdana"/>
                <w:sz w:val="18"/>
                <w:szCs w:val="18"/>
              </w:rPr>
            </w:pPr>
            <w:r w:rsidRPr="000F176F">
              <w:rPr>
                <w:rFonts w:ascii="Verdana" w:eastAsia="Times New Roman" w:hAnsi="Verdana"/>
                <w:sz w:val="18"/>
                <w:szCs w:val="18"/>
              </w:rPr>
              <w:t xml:space="preserve">Eurostat – Labour Force </w:t>
            </w:r>
            <w:r>
              <w:rPr>
                <w:rFonts w:ascii="Verdana" w:eastAsia="Times New Roman" w:hAnsi="Verdana"/>
                <w:sz w:val="18"/>
                <w:szCs w:val="18"/>
              </w:rPr>
              <w:t>Survey</w:t>
            </w:r>
          </w:p>
        </w:tc>
      </w:tr>
      <w:tr w:rsidR="00EA735E" w:rsidRPr="00B761FB" w14:paraId="0FEB5E9C"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70D7A0F0" w14:textId="77777777" w:rsidR="00EA735E" w:rsidRPr="00C34DE9" w:rsidRDefault="00EA735E" w:rsidP="00235122">
            <w:pPr>
              <w:spacing w:after="60"/>
              <w:rPr>
                <w:rFonts w:ascii="Verdana" w:hAnsi="Verdana"/>
                <w:b/>
                <w:bCs/>
                <w:sz w:val="18"/>
                <w:szCs w:val="18"/>
              </w:rPr>
            </w:pPr>
            <w:r w:rsidRPr="5CB4B133">
              <w:rPr>
                <w:rFonts w:ascii="Verdana" w:hAnsi="Verdana"/>
                <w:b/>
                <w:bCs/>
                <w:sz w:val="18"/>
                <w:szCs w:val="18"/>
              </w:rPr>
              <w:t>References / 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B460A0E" w14:textId="77777777" w:rsidR="00EA735E" w:rsidRPr="00785D45" w:rsidRDefault="00EA735E" w:rsidP="00235122">
            <w:pPr>
              <w:spacing w:after="0" w:line="240" w:lineRule="auto"/>
              <w:jc w:val="both"/>
            </w:pPr>
            <w:r w:rsidRPr="00785D45">
              <w:t xml:space="preserve">National data: </w:t>
            </w:r>
          </w:p>
          <w:p w14:paraId="68FC8018" w14:textId="77777777" w:rsidR="00EA735E" w:rsidRDefault="00EA735E" w:rsidP="00235122">
            <w:pPr>
              <w:pStyle w:val="NormalWeb"/>
              <w:spacing w:before="0" w:beforeAutospacing="0" w:after="0" w:afterAutospacing="0"/>
              <w:rPr>
                <w:rFonts w:ascii="Verdana" w:hAnsi="Verdana"/>
                <w:sz w:val="18"/>
                <w:szCs w:val="18"/>
              </w:rPr>
            </w:pPr>
            <w:r>
              <w:rPr>
                <w:rFonts w:ascii="Verdana" w:hAnsi="Verdana"/>
                <w:sz w:val="18"/>
                <w:szCs w:val="18"/>
              </w:rPr>
              <w:t>U</w:t>
            </w:r>
            <w:r w:rsidRPr="00785D45">
              <w:rPr>
                <w:rFonts w:ascii="Verdana" w:hAnsi="Verdana"/>
                <w:sz w:val="18"/>
                <w:szCs w:val="18"/>
              </w:rPr>
              <w:t xml:space="preserve">nemployment </w:t>
            </w:r>
            <w:r>
              <w:rPr>
                <w:rFonts w:ascii="Verdana" w:hAnsi="Verdana"/>
                <w:sz w:val="18"/>
                <w:szCs w:val="18"/>
              </w:rPr>
              <w:t xml:space="preserve">rate </w:t>
            </w:r>
            <w:r w:rsidRPr="00785D45">
              <w:rPr>
                <w:rFonts w:ascii="Verdana" w:hAnsi="Verdana"/>
                <w:sz w:val="18"/>
                <w:szCs w:val="18"/>
              </w:rPr>
              <w:t xml:space="preserve">by </w:t>
            </w:r>
            <w:r w:rsidRPr="006B2158">
              <w:rPr>
                <w:rFonts w:ascii="Verdana" w:hAnsi="Verdana" w:cs="Times New Roman"/>
                <w:sz w:val="18"/>
                <w:szCs w:val="18"/>
              </w:rPr>
              <w:t>sex, age and</w:t>
            </w:r>
            <w:r>
              <w:rPr>
                <w:rFonts w:ascii="Arial" w:hAnsi="Arial" w:cs="Arial"/>
                <w:b/>
                <w:bCs/>
                <w:color w:val="004494"/>
              </w:rPr>
              <w:t xml:space="preserve"> </w:t>
            </w:r>
            <w:r w:rsidRPr="00785D45">
              <w:rPr>
                <w:rFonts w:ascii="Verdana" w:hAnsi="Verdana"/>
                <w:sz w:val="18"/>
                <w:szCs w:val="18"/>
              </w:rPr>
              <w:t>degree of urb</w:t>
            </w:r>
            <w:r>
              <w:rPr>
                <w:rFonts w:ascii="Verdana" w:hAnsi="Verdana"/>
                <w:sz w:val="18"/>
                <w:szCs w:val="18"/>
              </w:rPr>
              <w:t>anisation</w:t>
            </w:r>
            <w:r w:rsidRPr="00785D45">
              <w:rPr>
                <w:rFonts w:ascii="Verdana" w:hAnsi="Verdana"/>
                <w:sz w:val="18"/>
                <w:szCs w:val="18"/>
              </w:rPr>
              <w:t xml:space="preserve">: </w:t>
            </w:r>
            <w:r>
              <w:rPr>
                <w:rFonts w:ascii="Verdana" w:hAnsi="Verdana"/>
                <w:sz w:val="18"/>
                <w:szCs w:val="18"/>
              </w:rPr>
              <w:t>[</w:t>
            </w:r>
            <w:hyperlink r:id="rId41" w:history="1">
              <w:r w:rsidRPr="006B2158">
                <w:rPr>
                  <w:rStyle w:val="Hyperlink"/>
                  <w:rFonts w:ascii="Verdana" w:hAnsi="Verdana"/>
                  <w:sz w:val="18"/>
                  <w:szCs w:val="18"/>
                  <w:lang w:val="en-US"/>
                </w:rPr>
                <w:t>lfst_r_urgau</w:t>
              </w:r>
            </w:hyperlink>
            <w:r>
              <w:rPr>
                <w:rFonts w:ascii="Verdana" w:hAnsi="Verdana"/>
                <w:sz w:val="18"/>
                <w:szCs w:val="18"/>
              </w:rPr>
              <w:t>]</w:t>
            </w:r>
          </w:p>
          <w:p w14:paraId="39CAFDB9" w14:textId="77777777" w:rsidR="00EA735E" w:rsidRPr="00785D45" w:rsidRDefault="00EA735E" w:rsidP="00235122">
            <w:pPr>
              <w:pStyle w:val="NormalWeb"/>
              <w:spacing w:before="0" w:beforeAutospacing="0" w:after="0" w:afterAutospacing="0"/>
              <w:rPr>
                <w:rFonts w:ascii="Verdana" w:hAnsi="Verdana"/>
                <w:sz w:val="18"/>
                <w:szCs w:val="18"/>
              </w:rPr>
            </w:pPr>
            <w:r w:rsidRPr="006B2158">
              <w:rPr>
                <w:rFonts w:ascii="Verdana" w:hAnsi="Verdana" w:cs="Times New Roman"/>
                <w:sz w:val="18"/>
                <w:szCs w:val="18"/>
              </w:rPr>
              <w:t>Population by sex, age, degree of urbanisation of residence and labour status (1 000) [</w:t>
            </w:r>
            <w:hyperlink r:id="rId42" w:history="1">
              <w:r w:rsidRPr="006B2158">
                <w:rPr>
                  <w:rStyle w:val="Hyperlink"/>
                  <w:rFonts w:ascii="Verdana" w:hAnsi="Verdana"/>
                  <w:sz w:val="18"/>
                  <w:szCs w:val="18"/>
                </w:rPr>
                <w:t>lfsa_pgauws</w:t>
              </w:r>
            </w:hyperlink>
            <w:r w:rsidRPr="006B2158">
              <w:rPr>
                <w:rFonts w:ascii="Verdana" w:hAnsi="Verdana" w:cs="Times New Roman"/>
                <w:sz w:val="18"/>
                <w:szCs w:val="18"/>
              </w:rPr>
              <w:t>]</w:t>
            </w:r>
            <w:r>
              <w:rPr>
                <w:rFonts w:ascii="Verdana" w:hAnsi="Verdana"/>
                <w:sz w:val="18"/>
                <w:szCs w:val="18"/>
              </w:rPr>
              <w:t xml:space="preserve"> (for absolute values)</w:t>
            </w:r>
          </w:p>
          <w:p w14:paraId="3B74765A" w14:textId="77777777" w:rsidR="00EA735E" w:rsidRDefault="00EA735E" w:rsidP="00235122">
            <w:pPr>
              <w:spacing w:after="60"/>
              <w:jc w:val="both"/>
              <w:rPr>
                <w:rFonts w:ascii="Verdana" w:hAnsi="Verdana"/>
                <w:sz w:val="18"/>
                <w:szCs w:val="18"/>
              </w:rPr>
            </w:pPr>
            <w:r w:rsidRPr="00785D45">
              <w:rPr>
                <w:rFonts w:ascii="Verdana" w:hAnsi="Verdana"/>
                <w:sz w:val="18"/>
                <w:szCs w:val="18"/>
              </w:rPr>
              <w:t xml:space="preserve">Regional data (NUTS 1 and 2): </w:t>
            </w:r>
          </w:p>
          <w:p w14:paraId="7DED33DB" w14:textId="77777777" w:rsidR="00EA735E" w:rsidRPr="00B761FB" w:rsidRDefault="00EA735E" w:rsidP="00235122">
            <w:pPr>
              <w:pStyle w:val="NormalWeb"/>
              <w:spacing w:before="0" w:beforeAutospacing="0" w:after="120" w:afterAutospacing="0"/>
            </w:pPr>
            <w:r w:rsidRPr="00785D45">
              <w:rPr>
                <w:rFonts w:ascii="Verdana" w:hAnsi="Verdana"/>
                <w:sz w:val="18"/>
                <w:szCs w:val="18"/>
              </w:rPr>
              <w:t>Unemployment rates by sex, age and NUTS 2 regions</w:t>
            </w:r>
            <w:r w:rsidRPr="00785D45">
              <w:rPr>
                <w:rFonts w:ascii="Verdana" w:hAnsi="Verdana"/>
                <w:sz w:val="18"/>
                <w:szCs w:val="18"/>
                <w:lang w:val="en-US"/>
              </w:rPr>
              <w:t> [</w:t>
            </w:r>
            <w:hyperlink r:id="rId43" w:history="1">
              <w:r w:rsidRPr="00785D45">
                <w:rPr>
                  <w:rStyle w:val="Hyperlink"/>
                  <w:rFonts w:ascii="Verdana" w:hAnsi="Verdana"/>
                  <w:sz w:val="18"/>
                  <w:szCs w:val="18"/>
                  <w:lang w:val="en-US"/>
                </w:rPr>
                <w:t>lfst_r_lfu3rt</w:t>
              </w:r>
            </w:hyperlink>
            <w:r w:rsidRPr="00785D45">
              <w:rPr>
                <w:rFonts w:ascii="Verdana" w:hAnsi="Verdana"/>
                <w:sz w:val="18"/>
                <w:szCs w:val="18"/>
              </w:rPr>
              <w:t>]</w:t>
            </w:r>
          </w:p>
        </w:tc>
      </w:tr>
      <w:tr w:rsidR="00EA735E" w:rsidRPr="00C34DE9" w:rsidDel="00F9611E" w14:paraId="1A5C29E2"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53993880" w14:textId="77777777" w:rsidR="00EA735E" w:rsidRPr="00C34DE9" w:rsidRDefault="00EA735E" w:rsidP="00235122">
            <w:pPr>
              <w:spacing w:after="60"/>
              <w:rPr>
                <w:rFonts w:ascii="Verdana" w:hAnsi="Verdana"/>
                <w:b/>
                <w:bCs/>
                <w:sz w:val="18"/>
                <w:szCs w:val="18"/>
              </w:rPr>
            </w:pPr>
            <w:r w:rsidRPr="5CB4B133">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8195853" w14:textId="77777777" w:rsidR="00EA735E" w:rsidRPr="00C34DE9" w:rsidRDefault="00EA735E" w:rsidP="00235122">
            <w:pPr>
              <w:spacing w:after="60"/>
              <w:jc w:val="both"/>
              <w:rPr>
                <w:rFonts w:ascii="Verdana" w:hAnsi="Verdana"/>
                <w:sz w:val="18"/>
                <w:szCs w:val="18"/>
              </w:rPr>
            </w:pPr>
            <w:r w:rsidRPr="00C34DE9">
              <w:rPr>
                <w:rFonts w:ascii="Verdana" w:hAnsi="Verdana"/>
                <w:sz w:val="18"/>
                <w:szCs w:val="18"/>
              </w:rPr>
              <w:t xml:space="preserve">EU, </w:t>
            </w:r>
            <w:r>
              <w:rPr>
                <w:rFonts w:ascii="Verdana" w:hAnsi="Verdana"/>
                <w:sz w:val="18"/>
                <w:szCs w:val="18"/>
              </w:rPr>
              <w:t>N</w:t>
            </w:r>
            <w:r w:rsidRPr="00C34DE9">
              <w:rPr>
                <w:rFonts w:ascii="Verdana" w:hAnsi="Verdana"/>
                <w:sz w:val="18"/>
                <w:szCs w:val="18"/>
              </w:rPr>
              <w:t>ational (NUTS 0)</w:t>
            </w:r>
            <w:r>
              <w:rPr>
                <w:rFonts w:ascii="Verdana" w:hAnsi="Verdana"/>
                <w:sz w:val="18"/>
                <w:szCs w:val="18"/>
              </w:rPr>
              <w:t>, R</w:t>
            </w:r>
            <w:r w:rsidRPr="00C34DE9">
              <w:rPr>
                <w:rFonts w:ascii="Verdana" w:hAnsi="Verdana"/>
                <w:sz w:val="18"/>
                <w:szCs w:val="18"/>
              </w:rPr>
              <w:t>egional (NUTS 1 and 2)</w:t>
            </w:r>
          </w:p>
          <w:p w14:paraId="3F5E291E" w14:textId="77777777" w:rsidR="00EA735E" w:rsidRPr="00C34DE9" w:rsidDel="00F9611E" w:rsidRDefault="00EA735E" w:rsidP="00235122">
            <w:pPr>
              <w:spacing w:after="60"/>
              <w:jc w:val="both"/>
              <w:rPr>
                <w:rFonts w:ascii="Verdana" w:hAnsi="Verdana"/>
                <w:sz w:val="18"/>
                <w:szCs w:val="18"/>
              </w:rPr>
            </w:pPr>
            <w:r w:rsidRPr="00C34DE9">
              <w:rPr>
                <w:rFonts w:ascii="Verdana" w:hAnsi="Verdana"/>
                <w:sz w:val="18"/>
                <w:szCs w:val="18"/>
              </w:rPr>
              <w:t>by degree of urbanisation (rural areas, towns and suburbs, cities)</w:t>
            </w:r>
          </w:p>
        </w:tc>
      </w:tr>
      <w:tr w:rsidR="00EA735E" w:rsidRPr="00C34DE9" w14:paraId="3EFE128F" w14:textId="77777777" w:rsidTr="00235122">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5CBF8F9A" w14:textId="77777777" w:rsidR="00EA735E" w:rsidRPr="00C34DE9" w:rsidRDefault="00EA735E" w:rsidP="00235122">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BF4F23E" w14:textId="77777777" w:rsidR="00EA735E" w:rsidRPr="00C34DE9" w:rsidRDefault="00EA735E" w:rsidP="00235122">
            <w:pPr>
              <w:spacing w:after="60"/>
              <w:jc w:val="both"/>
              <w:rPr>
                <w:rFonts w:ascii="Verdana" w:eastAsia="Times New Roman" w:hAnsi="Verdana"/>
                <w:sz w:val="18"/>
                <w:szCs w:val="18"/>
              </w:rPr>
            </w:pPr>
            <w:r>
              <w:rPr>
                <w:rFonts w:ascii="Verdana" w:hAnsi="Verdana"/>
                <w:sz w:val="18"/>
                <w:szCs w:val="18"/>
              </w:rPr>
              <w:t>LFS data are collected on a continuous basis and quarterly/annual results are produced. Data by degree of urbanisation are disseminated by Eurostat annually</w:t>
            </w:r>
          </w:p>
        </w:tc>
      </w:tr>
      <w:tr w:rsidR="00EA735E" w:rsidRPr="00C34DE9" w14:paraId="77B4B6C5" w14:textId="77777777" w:rsidTr="00235122">
        <w:trPr>
          <w:trHeight w:val="389"/>
        </w:trPr>
        <w:tc>
          <w:tcPr>
            <w:tcW w:w="2518" w:type="dxa"/>
            <w:tcBorders>
              <w:top w:val="single" w:sz="4" w:space="0" w:color="auto"/>
              <w:left w:val="single" w:sz="4" w:space="0" w:color="auto"/>
              <w:bottom w:val="single" w:sz="4" w:space="0" w:color="auto"/>
              <w:right w:val="single" w:sz="4" w:space="0" w:color="auto"/>
            </w:tcBorders>
            <w:vAlign w:val="center"/>
          </w:tcPr>
          <w:p w14:paraId="341AD037" w14:textId="77777777" w:rsidR="00EA735E" w:rsidRPr="00C34DE9" w:rsidRDefault="00EA735E" w:rsidP="00235122">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3B2A6C6" w14:textId="77777777" w:rsidR="00EA735E" w:rsidRPr="00C34DE9" w:rsidRDefault="00EA735E" w:rsidP="00235122">
            <w:pPr>
              <w:spacing w:after="60"/>
              <w:jc w:val="both"/>
              <w:rPr>
                <w:rFonts w:ascii="Verdana" w:hAnsi="Verdana"/>
                <w:sz w:val="18"/>
                <w:szCs w:val="18"/>
                <w:lang w:val="en-US"/>
              </w:rPr>
            </w:pPr>
            <w:r>
              <w:rPr>
                <w:rFonts w:ascii="Verdana" w:hAnsi="Verdana"/>
                <w:sz w:val="18"/>
                <w:szCs w:val="18"/>
                <w:lang w:val="en-US"/>
              </w:rPr>
              <w:t>4 months</w:t>
            </w:r>
          </w:p>
        </w:tc>
      </w:tr>
      <w:tr w:rsidR="00EA735E" w:rsidRPr="00C34DE9" w14:paraId="3D2BE7EC" w14:textId="77777777" w:rsidTr="00235122">
        <w:tc>
          <w:tcPr>
            <w:tcW w:w="2518" w:type="dxa"/>
            <w:tcBorders>
              <w:top w:val="single" w:sz="4" w:space="0" w:color="auto"/>
              <w:left w:val="single" w:sz="4" w:space="0" w:color="auto"/>
              <w:bottom w:val="single" w:sz="4" w:space="0" w:color="auto"/>
              <w:right w:val="single" w:sz="4" w:space="0" w:color="auto"/>
            </w:tcBorders>
            <w:vAlign w:val="center"/>
          </w:tcPr>
          <w:p w14:paraId="6AD49049" w14:textId="77777777" w:rsidR="00EA735E" w:rsidRPr="00C34DE9" w:rsidRDefault="00EA735E" w:rsidP="0023512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7B02FEF" w14:textId="77777777" w:rsidR="00EA735E" w:rsidRPr="00C34DE9" w:rsidRDefault="00EA735E" w:rsidP="00235122">
            <w:pPr>
              <w:pStyle w:val="FootnoteText"/>
              <w:spacing w:after="60"/>
              <w:ind w:left="0" w:firstLine="0"/>
              <w:rPr>
                <w:rFonts w:ascii="Verdana" w:eastAsia="Calibri" w:hAnsi="Verdana"/>
                <w:sz w:val="18"/>
                <w:szCs w:val="18"/>
                <w:lang w:val="en-GB"/>
              </w:rPr>
            </w:pPr>
            <w:r w:rsidRPr="00C34DE9">
              <w:rPr>
                <w:rFonts w:ascii="Verdana" w:eastAsia="Calibri" w:hAnsi="Verdana"/>
                <w:sz w:val="18"/>
                <w:szCs w:val="18"/>
                <w:lang w:val="en-GB"/>
              </w:rPr>
              <w:t>The age classes 15-74 and 15-24 are used both for national and regional tables.</w:t>
            </w:r>
          </w:p>
        </w:tc>
      </w:tr>
    </w:tbl>
    <w:p w14:paraId="699E8FB0" w14:textId="54939051" w:rsidR="00EA735E" w:rsidRPr="00C34DE9" w:rsidRDefault="00EA735E" w:rsidP="00EA735E">
      <w:pPr>
        <w:rPr>
          <w:rFonts w:ascii="Verdana" w:hAnsi="Verdana"/>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59284768"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481DC82" w14:textId="77777777" w:rsidR="004F1363" w:rsidRPr="00C34DE9" w:rsidRDefault="004F1363" w:rsidP="5CB4B133">
            <w:pPr>
              <w:spacing w:after="60"/>
              <w:rPr>
                <w:rFonts w:ascii="Verdana" w:hAnsi="Verdana"/>
                <w:b/>
                <w:bCs/>
                <w:sz w:val="18"/>
                <w:szCs w:val="18"/>
              </w:rPr>
            </w:pPr>
            <w:bookmarkStart w:id="8" w:name="C08"/>
            <w:r w:rsidRPr="5CB4B133">
              <w:rPr>
                <w:rFonts w:ascii="Verdana" w:hAnsi="Verdana"/>
                <w:b/>
                <w:bCs/>
                <w:smallCaps/>
                <w:sz w:val="18"/>
                <w:szCs w:val="18"/>
              </w:rPr>
              <w:t>Indicator C.08</w:t>
            </w:r>
            <w:bookmarkEnd w:id="8"/>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4F514B5" w14:textId="77777777" w:rsidR="004F1363" w:rsidRPr="00C34DE9" w:rsidRDefault="004F1363" w:rsidP="00C30187">
            <w:pPr>
              <w:spacing w:after="60"/>
              <w:rPr>
                <w:rFonts w:ascii="Verdana" w:hAnsi="Verdana"/>
                <w:caps/>
                <w:sz w:val="18"/>
                <w:szCs w:val="18"/>
              </w:rPr>
            </w:pPr>
          </w:p>
        </w:tc>
      </w:tr>
      <w:tr w:rsidR="004F1363" w:rsidRPr="00C34DE9" w14:paraId="3E44F521"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94850F2"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665650E4" w14:textId="77777777" w:rsidR="004F1363" w:rsidRPr="00C34DE9" w:rsidRDefault="004F1363" w:rsidP="5CB4B133">
            <w:pPr>
              <w:spacing w:after="60"/>
              <w:jc w:val="center"/>
              <w:rPr>
                <w:rFonts w:ascii="Verdana" w:hAnsi="Verdana"/>
                <w:b/>
                <w:bCs/>
                <w:sz w:val="18"/>
                <w:szCs w:val="18"/>
              </w:rPr>
            </w:pPr>
            <w:r w:rsidRPr="5CB4B133">
              <w:rPr>
                <w:rFonts w:ascii="Verdana" w:hAnsi="Verdana"/>
                <w:b/>
                <w:bCs/>
                <w:sz w:val="18"/>
                <w:szCs w:val="18"/>
              </w:rPr>
              <w:t>Employment</w:t>
            </w:r>
          </w:p>
          <w:p w14:paraId="186A3A22" w14:textId="28BD4B7C" w:rsidR="004F1363" w:rsidRPr="00C34DE9" w:rsidRDefault="004F1363" w:rsidP="3F4AE0BD">
            <w:pPr>
              <w:spacing w:after="60"/>
              <w:jc w:val="center"/>
              <w:rPr>
                <w:rFonts w:ascii="Verdana" w:hAnsi="Verdana"/>
                <w:b/>
                <w:bCs/>
                <w:color w:val="808080"/>
                <w:sz w:val="18"/>
                <w:szCs w:val="18"/>
              </w:rPr>
            </w:pPr>
            <w:r w:rsidRPr="3F4AE0BD">
              <w:rPr>
                <w:rFonts w:ascii="Verdana" w:hAnsi="Verdana"/>
                <w:b/>
                <w:bCs/>
                <w:sz w:val="18"/>
                <w:szCs w:val="18"/>
              </w:rPr>
              <w:t>by sector</w:t>
            </w:r>
            <w:r w:rsidR="00757390" w:rsidRPr="3F4AE0BD">
              <w:rPr>
                <w:rFonts w:ascii="Verdana" w:hAnsi="Verdana"/>
                <w:b/>
                <w:bCs/>
                <w:sz w:val="18"/>
                <w:szCs w:val="18"/>
              </w:rPr>
              <w:t>,</w:t>
            </w:r>
            <w:r w:rsidR="00EE118A" w:rsidRPr="3F4AE0BD">
              <w:rPr>
                <w:rFonts w:ascii="Verdana" w:hAnsi="Verdana"/>
                <w:b/>
                <w:bCs/>
                <w:sz w:val="18"/>
                <w:szCs w:val="18"/>
              </w:rPr>
              <w:t xml:space="preserve"> </w:t>
            </w:r>
            <w:r w:rsidRPr="3F4AE0BD">
              <w:rPr>
                <w:rFonts w:ascii="Verdana" w:hAnsi="Verdana"/>
                <w:b/>
                <w:bCs/>
                <w:sz w:val="18"/>
                <w:szCs w:val="18"/>
              </w:rPr>
              <w:t>by type of region</w:t>
            </w:r>
            <w:r w:rsidR="00EC026F" w:rsidRPr="3F4AE0BD">
              <w:rPr>
                <w:rFonts w:ascii="Verdana" w:hAnsi="Verdana"/>
                <w:b/>
                <w:bCs/>
                <w:sz w:val="18"/>
                <w:szCs w:val="18"/>
              </w:rPr>
              <w:t xml:space="preserve"> and</w:t>
            </w:r>
            <w:r w:rsidR="00757390" w:rsidRPr="3F4AE0BD">
              <w:rPr>
                <w:rFonts w:ascii="Verdana" w:hAnsi="Verdana"/>
                <w:b/>
                <w:bCs/>
                <w:sz w:val="18"/>
                <w:szCs w:val="18"/>
              </w:rPr>
              <w:t xml:space="preserve"> by economic activity</w:t>
            </w:r>
          </w:p>
        </w:tc>
      </w:tr>
      <w:tr w:rsidR="004F1363" w:rsidRPr="00C34DE9" w14:paraId="161451E1" w14:textId="77777777" w:rsidTr="7CF3AEC2">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67CD777"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E62E053" w14:textId="4FBF083A" w:rsidR="00615526" w:rsidRDefault="004F1363" w:rsidP="3F4AE0BD">
            <w:pPr>
              <w:pStyle w:val="RD-Indicatortabletext"/>
              <w:spacing w:after="60"/>
              <w:jc w:val="both"/>
              <w:rPr>
                <w:rFonts w:cs="Times New Roman"/>
                <w:b/>
                <w:bCs/>
                <w:sz w:val="18"/>
                <w:szCs w:val="18"/>
                <w:lang w:eastAsia="en-US"/>
              </w:rPr>
            </w:pPr>
            <w:r w:rsidRPr="00C34DE9">
              <w:rPr>
                <w:rFonts w:cs="Times New Roman"/>
                <w:sz w:val="18"/>
                <w:szCs w:val="18"/>
                <w:lang w:eastAsia="en-US"/>
              </w:rPr>
              <w:t xml:space="preserve">This indicator shows </w:t>
            </w:r>
            <w:r w:rsidRPr="00DE33BA">
              <w:rPr>
                <w:rFonts w:cs="Times New Roman"/>
                <w:sz w:val="18"/>
                <w:szCs w:val="18"/>
                <w:lang w:eastAsia="en-US"/>
              </w:rPr>
              <w:t xml:space="preserve">employment </w:t>
            </w:r>
            <w:r w:rsidR="00615526" w:rsidRPr="00DE33BA">
              <w:rPr>
                <w:rFonts w:cs="Times New Roman"/>
                <w:sz w:val="18"/>
                <w:szCs w:val="18"/>
                <w:lang w:eastAsia="en-US"/>
              </w:rPr>
              <w:t>figures for</w:t>
            </w:r>
            <w:r w:rsidR="00DE33BA" w:rsidRPr="00DE33BA">
              <w:rPr>
                <w:rFonts w:cs="Times New Roman"/>
                <w:sz w:val="18"/>
                <w:szCs w:val="18"/>
                <w:lang w:eastAsia="en-US"/>
              </w:rPr>
              <w:t xml:space="preserve"> </w:t>
            </w:r>
            <w:r w:rsidR="000127C1">
              <w:rPr>
                <w:rFonts w:cs="Times New Roman"/>
                <w:sz w:val="18"/>
                <w:szCs w:val="18"/>
                <w:lang w:eastAsia="en-US"/>
              </w:rPr>
              <w:t>4</w:t>
            </w:r>
            <w:r w:rsidR="00615526" w:rsidRPr="00DE33BA">
              <w:rPr>
                <w:rFonts w:cs="Times New Roman"/>
                <w:sz w:val="18"/>
                <w:szCs w:val="18"/>
                <w:lang w:eastAsia="en-US"/>
              </w:rPr>
              <w:t xml:space="preserve"> </w:t>
            </w:r>
            <w:r w:rsidR="00DD478B">
              <w:rPr>
                <w:rFonts w:cs="Times New Roman"/>
                <w:sz w:val="18"/>
                <w:szCs w:val="18"/>
                <w:lang w:eastAsia="en-US"/>
              </w:rPr>
              <w:t>specific indicators</w:t>
            </w:r>
            <w:r w:rsidR="00615526" w:rsidRPr="00DE33BA">
              <w:rPr>
                <w:rFonts w:cs="Times New Roman"/>
                <w:sz w:val="18"/>
                <w:szCs w:val="18"/>
                <w:lang w:eastAsia="en-US"/>
              </w:rPr>
              <w:t>:</w:t>
            </w:r>
            <w:r w:rsidR="00615526" w:rsidRPr="3F4AE0BD">
              <w:rPr>
                <w:rFonts w:cs="Times New Roman"/>
                <w:b/>
                <w:bCs/>
                <w:sz w:val="18"/>
                <w:szCs w:val="18"/>
                <w:lang w:eastAsia="en-US"/>
              </w:rPr>
              <w:t xml:space="preserve"> </w:t>
            </w:r>
          </w:p>
          <w:p w14:paraId="22449FCE" w14:textId="41673D29" w:rsidR="00D21ECA" w:rsidRPr="00D21ECA" w:rsidRDefault="00AE59DD" w:rsidP="00665997">
            <w:pPr>
              <w:pStyle w:val="RD-Indicatortabletext"/>
              <w:numPr>
                <w:ilvl w:val="0"/>
                <w:numId w:val="58"/>
              </w:numPr>
              <w:spacing w:after="60"/>
              <w:jc w:val="both"/>
              <w:rPr>
                <w:rFonts w:cs="Times New Roman"/>
                <w:b/>
                <w:bCs/>
                <w:sz w:val="18"/>
                <w:szCs w:val="18"/>
                <w:lang w:eastAsia="en-US"/>
              </w:rPr>
            </w:pPr>
            <w:r w:rsidRPr="3F4AE0BD">
              <w:rPr>
                <w:rFonts w:cs="Times New Roman"/>
                <w:b/>
                <w:bCs/>
                <w:sz w:val="18"/>
                <w:szCs w:val="18"/>
                <w:lang w:eastAsia="en-US"/>
              </w:rPr>
              <w:t>total employment</w:t>
            </w:r>
            <w:r w:rsidR="00D21ECA" w:rsidRPr="3F4AE0BD">
              <w:rPr>
                <w:rFonts w:cs="Times New Roman"/>
                <w:b/>
                <w:bCs/>
                <w:sz w:val="18"/>
                <w:szCs w:val="18"/>
                <w:lang w:eastAsia="en-US"/>
              </w:rPr>
              <w:t xml:space="preserve"> and by sex</w:t>
            </w:r>
          </w:p>
          <w:p w14:paraId="3DB35889" w14:textId="77777777" w:rsidR="00D21ECA" w:rsidRPr="00D21ECA" w:rsidRDefault="00DD51C8" w:rsidP="00665997">
            <w:pPr>
              <w:pStyle w:val="RD-Indicatortabletext"/>
              <w:numPr>
                <w:ilvl w:val="0"/>
                <w:numId w:val="58"/>
              </w:numPr>
              <w:spacing w:after="60"/>
              <w:jc w:val="both"/>
              <w:rPr>
                <w:rFonts w:cs="Times New Roman"/>
                <w:sz w:val="18"/>
                <w:szCs w:val="18"/>
                <w:lang w:eastAsia="en-US"/>
              </w:rPr>
            </w:pPr>
            <w:r w:rsidRPr="3F4AE0BD">
              <w:rPr>
                <w:rFonts w:cs="Times New Roman"/>
                <w:b/>
                <w:bCs/>
                <w:sz w:val="18"/>
                <w:szCs w:val="18"/>
                <w:lang w:eastAsia="en-US"/>
              </w:rPr>
              <w:t xml:space="preserve">share of total </w:t>
            </w:r>
            <w:r w:rsidR="005B3C23" w:rsidRPr="3F4AE0BD">
              <w:rPr>
                <w:rFonts w:cs="Times New Roman"/>
                <w:b/>
                <w:bCs/>
                <w:sz w:val="18"/>
                <w:szCs w:val="18"/>
                <w:lang w:eastAsia="en-US"/>
              </w:rPr>
              <w:t>empl</w:t>
            </w:r>
            <w:r w:rsidR="00412453" w:rsidRPr="3F4AE0BD">
              <w:rPr>
                <w:rFonts w:cs="Times New Roman"/>
                <w:b/>
                <w:bCs/>
                <w:sz w:val="18"/>
                <w:szCs w:val="18"/>
                <w:lang w:eastAsia="en-US"/>
              </w:rPr>
              <w:t>o</w:t>
            </w:r>
            <w:r w:rsidR="005B3C23" w:rsidRPr="3F4AE0BD">
              <w:rPr>
                <w:rFonts w:cs="Times New Roman"/>
                <w:b/>
                <w:bCs/>
                <w:sz w:val="18"/>
                <w:szCs w:val="18"/>
                <w:lang w:eastAsia="en-US"/>
              </w:rPr>
              <w:t xml:space="preserve">yment </w:t>
            </w:r>
            <w:r w:rsidR="004F1363" w:rsidRPr="3F4AE0BD">
              <w:rPr>
                <w:rFonts w:cs="Times New Roman"/>
                <w:b/>
                <w:bCs/>
                <w:sz w:val="18"/>
                <w:szCs w:val="18"/>
                <w:lang w:eastAsia="en-US"/>
              </w:rPr>
              <w:t>by sector</w:t>
            </w:r>
            <w:r w:rsidR="004F1363" w:rsidRPr="00785D45">
              <w:rPr>
                <w:rFonts w:cs="Times New Roman"/>
                <w:sz w:val="18"/>
                <w:szCs w:val="18"/>
                <w:lang w:eastAsia="en-US"/>
              </w:rPr>
              <w:t xml:space="preserve"> (primary, secondary, tertiary)</w:t>
            </w:r>
            <w:r w:rsidR="009D51B4" w:rsidRPr="00785D45">
              <w:rPr>
                <w:rFonts w:cs="Times New Roman"/>
                <w:sz w:val="18"/>
                <w:szCs w:val="18"/>
                <w:lang w:eastAsia="en-US"/>
              </w:rPr>
              <w:t xml:space="preserve"> </w:t>
            </w:r>
            <w:r w:rsidR="00D0095E" w:rsidRPr="3F4AE0BD">
              <w:rPr>
                <w:rFonts w:cs="Times New Roman"/>
                <w:b/>
                <w:bCs/>
                <w:sz w:val="18"/>
                <w:szCs w:val="18"/>
                <w:lang w:eastAsia="en-US"/>
              </w:rPr>
              <w:t>and by sex</w:t>
            </w:r>
          </w:p>
          <w:p w14:paraId="24584A2D" w14:textId="141C7A9B" w:rsidR="00615526" w:rsidRPr="00785D45" w:rsidRDefault="00DD51C8" w:rsidP="00665997">
            <w:pPr>
              <w:pStyle w:val="RD-Indicatortabletext"/>
              <w:numPr>
                <w:ilvl w:val="0"/>
                <w:numId w:val="58"/>
              </w:numPr>
              <w:spacing w:after="60"/>
              <w:jc w:val="both"/>
              <w:rPr>
                <w:rFonts w:cs="Times New Roman"/>
                <w:sz w:val="18"/>
                <w:szCs w:val="18"/>
                <w:lang w:eastAsia="en-US"/>
              </w:rPr>
            </w:pPr>
            <w:r w:rsidRPr="3F4AE0BD">
              <w:rPr>
                <w:rFonts w:cs="Times New Roman"/>
                <w:b/>
                <w:bCs/>
                <w:sz w:val="18"/>
                <w:szCs w:val="18"/>
                <w:lang w:eastAsia="en-US"/>
              </w:rPr>
              <w:t xml:space="preserve">share of total </w:t>
            </w:r>
            <w:r w:rsidR="005B3C23" w:rsidRPr="3F4AE0BD">
              <w:rPr>
                <w:rFonts w:cs="Times New Roman"/>
                <w:b/>
                <w:bCs/>
                <w:sz w:val="18"/>
                <w:szCs w:val="18"/>
                <w:lang w:eastAsia="en-US"/>
              </w:rPr>
              <w:t xml:space="preserve">employment </w:t>
            </w:r>
            <w:r w:rsidR="004F1363" w:rsidRPr="3F4AE0BD">
              <w:rPr>
                <w:rFonts w:cs="Times New Roman"/>
                <w:b/>
                <w:bCs/>
                <w:sz w:val="18"/>
                <w:szCs w:val="18"/>
                <w:lang w:eastAsia="en-US"/>
              </w:rPr>
              <w:t>by type of region</w:t>
            </w:r>
            <w:r w:rsidR="004F1363" w:rsidRPr="00785D45">
              <w:rPr>
                <w:rFonts w:cs="Times New Roman"/>
                <w:sz w:val="18"/>
                <w:szCs w:val="18"/>
                <w:lang w:eastAsia="en-US"/>
              </w:rPr>
              <w:t xml:space="preserve"> (predominantly rural, intermediate and predominantly urban)</w:t>
            </w:r>
          </w:p>
          <w:p w14:paraId="6A2261FC" w14:textId="61FF3485" w:rsidR="00615526" w:rsidRPr="00615526" w:rsidRDefault="00DD51C8" w:rsidP="00665997">
            <w:pPr>
              <w:pStyle w:val="RD-Indicatortabletext"/>
              <w:numPr>
                <w:ilvl w:val="0"/>
                <w:numId w:val="58"/>
              </w:numPr>
              <w:spacing w:after="120"/>
              <w:ind w:left="714" w:hanging="357"/>
              <w:jc w:val="both"/>
              <w:rPr>
                <w:rFonts w:cs="Times New Roman"/>
                <w:b/>
                <w:bCs/>
                <w:sz w:val="18"/>
                <w:szCs w:val="18"/>
                <w:lang w:eastAsia="en-US"/>
              </w:rPr>
            </w:pPr>
            <w:r w:rsidRPr="3F4AE0BD">
              <w:rPr>
                <w:rFonts w:cs="Times New Roman"/>
                <w:b/>
                <w:bCs/>
                <w:sz w:val="18"/>
                <w:szCs w:val="18"/>
                <w:lang w:eastAsia="en-US"/>
              </w:rPr>
              <w:t xml:space="preserve">share of total </w:t>
            </w:r>
            <w:r w:rsidR="005B3C23" w:rsidRPr="3F4AE0BD">
              <w:rPr>
                <w:rFonts w:cs="Times New Roman"/>
                <w:b/>
                <w:bCs/>
                <w:sz w:val="18"/>
                <w:szCs w:val="18"/>
                <w:lang w:eastAsia="en-US"/>
              </w:rPr>
              <w:t xml:space="preserve">employment </w:t>
            </w:r>
            <w:r w:rsidR="009D51B4" w:rsidRPr="3F4AE0BD">
              <w:rPr>
                <w:rFonts w:cs="Times New Roman"/>
                <w:b/>
                <w:bCs/>
                <w:sz w:val="18"/>
                <w:szCs w:val="18"/>
                <w:lang w:eastAsia="en-US"/>
              </w:rPr>
              <w:t xml:space="preserve">by economic activity </w:t>
            </w:r>
            <w:r w:rsidR="009D51B4" w:rsidRPr="00615526">
              <w:rPr>
                <w:rFonts w:cs="Times New Roman"/>
                <w:sz w:val="18"/>
                <w:szCs w:val="18"/>
                <w:lang w:eastAsia="en-US"/>
              </w:rPr>
              <w:t>(</w:t>
            </w:r>
            <w:r w:rsidR="009D51B4" w:rsidRPr="00615526">
              <w:rPr>
                <w:sz w:val="18"/>
                <w:szCs w:val="18"/>
              </w:rPr>
              <w:t>agriculture, forestry, the food industry</w:t>
            </w:r>
            <w:r w:rsidR="00615526">
              <w:rPr>
                <w:sz w:val="18"/>
                <w:szCs w:val="18"/>
              </w:rPr>
              <w:t>,</w:t>
            </w:r>
            <w:r w:rsidR="00B840B2">
              <w:rPr>
                <w:sz w:val="18"/>
                <w:szCs w:val="18"/>
              </w:rPr>
              <w:t xml:space="preserve"> </w:t>
            </w:r>
            <w:r w:rsidR="009D51B4" w:rsidRPr="00615526">
              <w:rPr>
                <w:sz w:val="18"/>
                <w:szCs w:val="18"/>
              </w:rPr>
              <w:t>tourism</w:t>
            </w:r>
            <w:r w:rsidR="00AE59DD">
              <w:rPr>
                <w:sz w:val="18"/>
                <w:szCs w:val="18"/>
              </w:rPr>
              <w:t>)</w:t>
            </w:r>
            <w:r w:rsidR="00D0095E">
              <w:rPr>
                <w:sz w:val="18"/>
                <w:szCs w:val="18"/>
              </w:rPr>
              <w:t xml:space="preserve"> </w:t>
            </w:r>
            <w:r w:rsidR="00D21ECA" w:rsidRPr="3F4AE0BD">
              <w:rPr>
                <w:b/>
                <w:bCs/>
                <w:sz w:val="18"/>
                <w:szCs w:val="18"/>
              </w:rPr>
              <w:t xml:space="preserve">and </w:t>
            </w:r>
            <w:r w:rsidR="00615526" w:rsidRPr="3F4AE0BD">
              <w:rPr>
                <w:b/>
                <w:bCs/>
                <w:sz w:val="18"/>
                <w:szCs w:val="18"/>
              </w:rPr>
              <w:t>by sex</w:t>
            </w:r>
            <w:r w:rsidR="00615526">
              <w:rPr>
                <w:sz w:val="18"/>
                <w:szCs w:val="18"/>
              </w:rPr>
              <w:t xml:space="preserve">. </w:t>
            </w:r>
          </w:p>
          <w:p w14:paraId="4415DEE2" w14:textId="77777777" w:rsidR="004F1363" w:rsidRPr="00615526" w:rsidRDefault="00615526" w:rsidP="007D3E04">
            <w:pPr>
              <w:spacing w:after="60" w:line="240" w:lineRule="auto"/>
              <w:jc w:val="both"/>
              <w:rPr>
                <w:rFonts w:ascii="Verdana" w:hAnsi="Verdana"/>
                <w:sz w:val="18"/>
                <w:szCs w:val="18"/>
              </w:rPr>
            </w:pPr>
            <w:r w:rsidRPr="00C34DE9">
              <w:rPr>
                <w:rFonts w:ascii="Verdana" w:hAnsi="Verdana"/>
                <w:sz w:val="18"/>
                <w:szCs w:val="18"/>
              </w:rPr>
              <w:t>The absolute change and the annual growth of employment</w:t>
            </w:r>
            <w:r>
              <w:rPr>
                <w:rFonts w:ascii="Verdana" w:hAnsi="Verdana"/>
                <w:sz w:val="18"/>
                <w:szCs w:val="18"/>
              </w:rPr>
              <w:t xml:space="preserve"> by economic activity </w:t>
            </w:r>
            <w:r w:rsidRPr="00C34DE9">
              <w:rPr>
                <w:rFonts w:ascii="Verdana" w:hAnsi="Verdana"/>
                <w:sz w:val="18"/>
                <w:szCs w:val="18"/>
              </w:rPr>
              <w:t>at national level are calculated as three-year average</w:t>
            </w:r>
            <w:r>
              <w:rPr>
                <w:rFonts w:ascii="Verdana" w:hAnsi="Verdana"/>
                <w:sz w:val="18"/>
                <w:szCs w:val="18"/>
              </w:rPr>
              <w:t>s</w:t>
            </w:r>
            <w:r w:rsidRPr="00C34DE9">
              <w:rPr>
                <w:rFonts w:ascii="Verdana" w:hAnsi="Verdana"/>
                <w:sz w:val="18"/>
                <w:szCs w:val="18"/>
              </w:rPr>
              <w:t>. If the available data allow, the calculation of five-year averages is also possible.</w:t>
            </w:r>
          </w:p>
        </w:tc>
      </w:tr>
      <w:tr w:rsidR="004F1363" w:rsidRPr="00C34DE9" w14:paraId="73C0156E"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2495ED0C"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6B3A3B4" w14:textId="168EC3B0" w:rsidR="007D3E04" w:rsidRPr="00D255E5" w:rsidRDefault="00412453" w:rsidP="005B5547">
            <w:pPr>
              <w:spacing w:after="60"/>
              <w:rPr>
                <w:rFonts w:ascii="Verdana" w:eastAsia="Times New Roman" w:hAnsi="Verdana"/>
                <w:sz w:val="18"/>
                <w:szCs w:val="18"/>
                <w:lang w:val="x-none"/>
              </w:rPr>
            </w:pPr>
            <w:r w:rsidRPr="00D255E5">
              <w:rPr>
                <w:rFonts w:ascii="Verdana" w:eastAsia="Times New Roman" w:hAnsi="Verdana"/>
                <w:sz w:val="18"/>
                <w:szCs w:val="18"/>
              </w:rPr>
              <w:t>1:</w:t>
            </w:r>
            <w:r w:rsidR="00AE59DD" w:rsidRPr="00D255E5">
              <w:rPr>
                <w:rFonts w:ascii="Verdana" w:eastAsia="Times New Roman" w:hAnsi="Verdana"/>
                <w:sz w:val="18"/>
                <w:szCs w:val="18"/>
              </w:rPr>
              <w:t xml:space="preserve"> </w:t>
            </w:r>
            <w:r w:rsidR="00835403" w:rsidRPr="00D255E5">
              <w:rPr>
                <w:rFonts w:ascii="Verdana" w:eastAsia="Times New Roman" w:hAnsi="Verdana"/>
                <w:sz w:val="18"/>
                <w:szCs w:val="18"/>
              </w:rPr>
              <w:t>number of persons (in thousands)</w:t>
            </w:r>
          </w:p>
          <w:p w14:paraId="4F40606D" w14:textId="68796CF1" w:rsidR="00615526" w:rsidRPr="00D255E5" w:rsidRDefault="00412453" w:rsidP="00D21ECA">
            <w:pPr>
              <w:spacing w:after="60"/>
              <w:rPr>
                <w:rFonts w:ascii="Verdana" w:eastAsia="Times New Roman" w:hAnsi="Verdana"/>
                <w:sz w:val="18"/>
                <w:szCs w:val="18"/>
              </w:rPr>
            </w:pPr>
            <w:r w:rsidRPr="00D255E5">
              <w:rPr>
                <w:rFonts w:ascii="Verdana" w:eastAsia="Times New Roman" w:hAnsi="Verdana"/>
                <w:sz w:val="18"/>
                <w:szCs w:val="18"/>
              </w:rPr>
              <w:t>2</w:t>
            </w:r>
            <w:r w:rsidR="00137DBC" w:rsidRPr="00D255E5">
              <w:rPr>
                <w:rFonts w:ascii="Verdana" w:eastAsia="Times New Roman" w:hAnsi="Verdana"/>
                <w:sz w:val="18"/>
                <w:szCs w:val="18"/>
              </w:rPr>
              <w:t xml:space="preserve"> - 4</w:t>
            </w:r>
            <w:r w:rsidRPr="00D255E5">
              <w:rPr>
                <w:rFonts w:ascii="Verdana" w:eastAsia="Times New Roman" w:hAnsi="Verdana"/>
                <w:sz w:val="18"/>
                <w:szCs w:val="18"/>
              </w:rPr>
              <w:t xml:space="preserve">: </w:t>
            </w:r>
            <w:r w:rsidR="00DD51C8" w:rsidRPr="00D255E5">
              <w:rPr>
                <w:rFonts w:ascii="Verdana" w:eastAsia="Times New Roman" w:hAnsi="Verdana"/>
                <w:sz w:val="18"/>
                <w:szCs w:val="18"/>
              </w:rPr>
              <w:t>%</w:t>
            </w:r>
          </w:p>
        </w:tc>
      </w:tr>
      <w:tr w:rsidR="004F1363" w:rsidRPr="00AE59DD" w14:paraId="262E089D" w14:textId="77777777" w:rsidTr="7CF3AEC2">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B030304"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D977337" w14:textId="77777777" w:rsidR="00D0095E" w:rsidRPr="00137DBC" w:rsidRDefault="00AE59DD" w:rsidP="00AE59DD">
            <w:pPr>
              <w:spacing w:after="60"/>
              <w:rPr>
                <w:rFonts w:ascii="Verdana" w:hAnsi="Verdana"/>
                <w:sz w:val="18"/>
                <w:szCs w:val="18"/>
              </w:rPr>
            </w:pPr>
            <w:r w:rsidRPr="00137DBC">
              <w:rPr>
                <w:rFonts w:ascii="Verdana" w:hAnsi="Verdana"/>
                <w:sz w:val="18"/>
                <w:szCs w:val="18"/>
              </w:rPr>
              <w:t>1</w:t>
            </w:r>
            <w:r w:rsidR="00D0095E" w:rsidRPr="00137DBC">
              <w:rPr>
                <w:rFonts w:ascii="Verdana" w:hAnsi="Verdana"/>
                <w:sz w:val="18"/>
                <w:szCs w:val="18"/>
              </w:rPr>
              <w:t>: Tables on EU policy</w:t>
            </w:r>
          </w:p>
          <w:p w14:paraId="262BD8C1" w14:textId="4EA2F01E" w:rsidR="00615526" w:rsidRPr="00137DBC" w:rsidRDefault="00D0095E" w:rsidP="00AE59DD">
            <w:pPr>
              <w:spacing w:after="60"/>
              <w:rPr>
                <w:rFonts w:ascii="Verdana" w:hAnsi="Verdana"/>
                <w:sz w:val="18"/>
                <w:szCs w:val="18"/>
              </w:rPr>
            </w:pPr>
            <w:r w:rsidRPr="00137DBC">
              <w:rPr>
                <w:rFonts w:ascii="Verdana" w:hAnsi="Verdana"/>
                <w:sz w:val="18"/>
                <w:szCs w:val="18"/>
              </w:rPr>
              <w:t>3</w:t>
            </w:r>
            <w:r w:rsidR="00412453" w:rsidRPr="00137DBC">
              <w:rPr>
                <w:rFonts w:ascii="Verdana" w:hAnsi="Verdana"/>
                <w:sz w:val="18"/>
                <w:szCs w:val="18"/>
              </w:rPr>
              <w:t xml:space="preserve">: </w:t>
            </w:r>
            <w:r w:rsidR="004F1363" w:rsidRPr="00137DBC">
              <w:rPr>
                <w:rFonts w:ascii="Verdana" w:hAnsi="Verdana"/>
                <w:sz w:val="18"/>
                <w:szCs w:val="18"/>
              </w:rPr>
              <w:t>Eurostat – Regional Economic Accounts</w:t>
            </w:r>
          </w:p>
          <w:p w14:paraId="7B271A6F" w14:textId="4C53EE89" w:rsidR="004F1363" w:rsidRPr="00137DBC" w:rsidRDefault="31904390" w:rsidP="7CF3AEC2">
            <w:pPr>
              <w:pStyle w:val="RD-Indicatortabletext"/>
              <w:spacing w:after="60"/>
              <w:jc w:val="both"/>
              <w:rPr>
                <w:rFonts w:eastAsiaTheme="minorEastAsia" w:cstheme="minorBidi"/>
                <w:sz w:val="18"/>
                <w:szCs w:val="18"/>
              </w:rPr>
            </w:pPr>
            <w:r w:rsidRPr="7CF3AEC2">
              <w:rPr>
                <w:rFonts w:eastAsiaTheme="minorEastAsia" w:cstheme="minorBidi"/>
                <w:sz w:val="18"/>
                <w:szCs w:val="18"/>
              </w:rPr>
              <w:t xml:space="preserve">2 and </w:t>
            </w:r>
            <w:r w:rsidR="31C7E2E1" w:rsidRPr="7CF3AEC2">
              <w:rPr>
                <w:rFonts w:eastAsiaTheme="minorEastAsia" w:cstheme="minorBidi"/>
                <w:sz w:val="18"/>
                <w:szCs w:val="18"/>
              </w:rPr>
              <w:t xml:space="preserve">4: </w:t>
            </w:r>
            <w:r w:rsidR="7D5E9125" w:rsidRPr="7CF3AEC2">
              <w:rPr>
                <w:rFonts w:eastAsiaTheme="minorEastAsia" w:cstheme="minorBidi"/>
                <w:sz w:val="18"/>
                <w:szCs w:val="18"/>
              </w:rPr>
              <w:t>Eurostat – Labour Force Survey</w:t>
            </w:r>
          </w:p>
        </w:tc>
      </w:tr>
      <w:tr w:rsidR="004F1363" w:rsidRPr="00C34DE9" w14:paraId="3DCD34DF"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4F0D4547"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B279141" w14:textId="0385486A" w:rsidR="00D0095E" w:rsidRPr="00137DBC" w:rsidRDefault="00EE0B20" w:rsidP="00EE0B20">
            <w:pPr>
              <w:spacing w:after="60"/>
              <w:rPr>
                <w:rStyle w:val="Hyperlink"/>
                <w:rFonts w:ascii="Verdana" w:hAnsi="Verdana"/>
                <w:sz w:val="18"/>
                <w:szCs w:val="18"/>
                <w:lang w:val="pt-PT"/>
              </w:rPr>
            </w:pPr>
            <w:r w:rsidRPr="00137DBC">
              <w:rPr>
                <w:rFonts w:ascii="Verdana" w:hAnsi="Verdana"/>
                <w:sz w:val="18"/>
                <w:szCs w:val="18"/>
              </w:rPr>
              <w:t xml:space="preserve">1 </w:t>
            </w:r>
            <w:r w:rsidR="00412453" w:rsidRPr="00054AC1">
              <w:rPr>
                <w:rFonts w:ascii="Verdana" w:hAnsi="Verdana"/>
                <w:sz w:val="18"/>
                <w:szCs w:val="18"/>
              </w:rPr>
              <w:t>:</w:t>
            </w:r>
            <w:r w:rsidR="00D0095E" w:rsidRPr="00054AC1">
              <w:rPr>
                <w:rFonts w:ascii="Verdana" w:hAnsi="Verdana"/>
                <w:sz w:val="18"/>
                <w:szCs w:val="18"/>
              </w:rPr>
              <w:t xml:space="preserve"> National</w:t>
            </w:r>
            <w:r w:rsidR="00D0095E" w:rsidRPr="00137DBC">
              <w:rPr>
                <w:rFonts w:ascii="Verdana" w:hAnsi="Verdana"/>
                <w:sz w:val="18"/>
                <w:szCs w:val="18"/>
                <w:lang w:val="pt-PT"/>
              </w:rPr>
              <w:t xml:space="preserve"> data, </w:t>
            </w:r>
            <w:r w:rsidR="00D0095E" w:rsidRPr="00137DBC">
              <w:rPr>
                <w:rFonts w:ascii="Verdana" w:hAnsi="Verdana"/>
                <w:sz w:val="18"/>
                <w:szCs w:val="18"/>
              </w:rPr>
              <w:t xml:space="preserve">Employment and activity by sex and age - annual data </w:t>
            </w:r>
            <w:r w:rsidR="00D0095E" w:rsidRPr="00137DBC">
              <w:rPr>
                <w:rStyle w:val="Hyperlink"/>
                <w:rFonts w:ascii="Verdana" w:hAnsi="Verdana"/>
                <w:sz w:val="18"/>
                <w:szCs w:val="18"/>
                <w:lang w:val="pt-PT"/>
              </w:rPr>
              <w:t>[</w:t>
            </w:r>
            <w:hyperlink r:id="rId44" w:history="1">
              <w:r w:rsidR="00D0095E" w:rsidRPr="003978D9">
                <w:rPr>
                  <w:rStyle w:val="Hyperlink"/>
                  <w:rFonts w:ascii="Verdana" w:hAnsi="Verdana"/>
                  <w:sz w:val="18"/>
                  <w:szCs w:val="18"/>
                  <w:lang w:val="pt-PT"/>
                </w:rPr>
                <w:t>lfsi_emp_a</w:t>
              </w:r>
            </w:hyperlink>
            <w:r w:rsidR="00D0095E" w:rsidRPr="00137DBC">
              <w:rPr>
                <w:rStyle w:val="Hyperlink"/>
                <w:rFonts w:ascii="Verdana" w:hAnsi="Verdana"/>
                <w:sz w:val="18"/>
                <w:szCs w:val="18"/>
                <w:lang w:val="pt-PT"/>
              </w:rPr>
              <w:t>]</w:t>
            </w:r>
          </w:p>
          <w:p w14:paraId="77D11EB4" w14:textId="77777777" w:rsidR="00615526" w:rsidRPr="00137DBC" w:rsidRDefault="00D0095E" w:rsidP="00D21ECA">
            <w:pPr>
              <w:rPr>
                <w:rStyle w:val="Hyperlink"/>
                <w:rFonts w:ascii="Verdana" w:hAnsi="Verdana"/>
                <w:sz w:val="18"/>
                <w:szCs w:val="18"/>
                <w:lang w:val="pt-PT"/>
              </w:rPr>
            </w:pPr>
            <w:r w:rsidRPr="00137DBC">
              <w:rPr>
                <w:rFonts w:ascii="Verdana" w:hAnsi="Verdana"/>
                <w:sz w:val="18"/>
                <w:szCs w:val="18"/>
                <w:lang w:val="pt-PT"/>
              </w:rPr>
              <w:t xml:space="preserve">2 and </w:t>
            </w:r>
            <w:r w:rsidR="00412453" w:rsidRPr="00137DBC">
              <w:rPr>
                <w:rFonts w:ascii="Verdana" w:hAnsi="Verdana"/>
                <w:sz w:val="18"/>
                <w:szCs w:val="18"/>
                <w:lang w:val="pt-PT"/>
              </w:rPr>
              <w:t xml:space="preserve">4: </w:t>
            </w:r>
            <w:r w:rsidR="00615526" w:rsidRPr="00137DBC">
              <w:rPr>
                <w:rFonts w:ascii="Verdana" w:hAnsi="Verdana"/>
                <w:sz w:val="18"/>
                <w:szCs w:val="18"/>
                <w:lang w:val="pt-PT"/>
              </w:rPr>
              <w:t xml:space="preserve">Eurostat website, Labour Force </w:t>
            </w:r>
            <w:r w:rsidR="00615526" w:rsidRPr="00137DBC">
              <w:rPr>
                <w:rFonts w:ascii="Verdana" w:hAnsi="Verdana"/>
                <w:sz w:val="18"/>
                <w:szCs w:val="18"/>
              </w:rPr>
              <w:t>Survey</w:t>
            </w:r>
            <w:r w:rsidR="00615526" w:rsidRPr="00137DBC">
              <w:rPr>
                <w:rFonts w:ascii="Verdana" w:hAnsi="Verdana"/>
                <w:sz w:val="18"/>
                <w:szCs w:val="18"/>
                <w:lang w:val="pt-PT"/>
              </w:rPr>
              <w:t xml:space="preserve">: </w:t>
            </w:r>
            <w:r w:rsidR="00D21ECA" w:rsidRPr="00137DBC">
              <w:rPr>
                <w:rFonts w:ascii="Verdana" w:hAnsi="Verdana"/>
                <w:sz w:val="18"/>
                <w:szCs w:val="18"/>
                <w:lang w:val="pt-PT"/>
              </w:rPr>
              <w:t>national data</w:t>
            </w:r>
            <w:r w:rsidR="00D21ECA" w:rsidRPr="00137DBC">
              <w:rPr>
                <w:rFonts w:ascii="Verdana" w:hAnsi="Verdana"/>
                <w:color w:val="2873E6"/>
                <w:sz w:val="18"/>
                <w:szCs w:val="18"/>
              </w:rPr>
              <w:t xml:space="preserve">, </w:t>
            </w:r>
            <w:r w:rsidR="00D21ECA" w:rsidRPr="00137DBC">
              <w:rPr>
                <w:rFonts w:ascii="Verdana" w:hAnsi="Verdana"/>
                <w:sz w:val="18"/>
                <w:szCs w:val="18"/>
                <w:lang w:val="pt-PT"/>
              </w:rPr>
              <w:t xml:space="preserve">Employment by sex, age and detailed economic activity (from 2008 onwards, NACE Rev. 2 two digit level) - 1 000 </w:t>
            </w:r>
            <w:hyperlink r:id="rId45" w:history="1">
              <w:r w:rsidR="00D21ECA" w:rsidRPr="00137DBC">
                <w:rPr>
                  <w:rStyle w:val="Hyperlink"/>
                  <w:rFonts w:ascii="Verdana" w:hAnsi="Verdana"/>
                  <w:sz w:val="18"/>
                  <w:szCs w:val="18"/>
                  <w:lang w:val="pt-PT"/>
                </w:rPr>
                <w:t>[lfsa_egan22d]</w:t>
              </w:r>
            </w:hyperlink>
          </w:p>
          <w:p w14:paraId="3F578301" w14:textId="03DA16A9" w:rsidR="000937F0" w:rsidRDefault="00D0095E" w:rsidP="00EE0B20">
            <w:pPr>
              <w:spacing w:after="60"/>
              <w:rPr>
                <w:rFonts w:ascii="Verdana" w:hAnsi="Verdana"/>
                <w:sz w:val="18"/>
                <w:szCs w:val="18"/>
              </w:rPr>
            </w:pPr>
            <w:r w:rsidRPr="00137DBC">
              <w:rPr>
                <w:rFonts w:ascii="Verdana" w:hAnsi="Verdana"/>
                <w:sz w:val="18"/>
                <w:szCs w:val="18"/>
                <w:lang w:val="pt-PT"/>
              </w:rPr>
              <w:t>3:</w:t>
            </w:r>
            <w:r w:rsidRPr="00137DBC">
              <w:rPr>
                <w:rFonts w:ascii="Verdana" w:hAnsi="Verdana"/>
                <w:sz w:val="18"/>
                <w:szCs w:val="18"/>
              </w:rPr>
              <w:t xml:space="preserve"> </w:t>
            </w:r>
            <w:r w:rsidRPr="00054AC1">
              <w:rPr>
                <w:rFonts w:ascii="Verdana" w:hAnsi="Verdana"/>
                <w:sz w:val="18"/>
                <w:szCs w:val="18"/>
              </w:rPr>
              <w:t>Regional</w:t>
            </w:r>
            <w:r w:rsidR="00DD51C8" w:rsidRPr="00054AC1">
              <w:rPr>
                <w:rFonts w:ascii="Verdana" w:hAnsi="Verdana"/>
                <w:sz w:val="18"/>
                <w:szCs w:val="18"/>
              </w:rPr>
              <w:t xml:space="preserve"> data:</w:t>
            </w:r>
            <w:r w:rsidRPr="00054AC1">
              <w:rPr>
                <w:rFonts w:ascii="Verdana" w:hAnsi="Verdana"/>
                <w:sz w:val="18"/>
                <w:szCs w:val="18"/>
              </w:rPr>
              <w:t xml:space="preserve"> </w:t>
            </w:r>
            <w:r w:rsidRPr="00137DBC">
              <w:rPr>
                <w:rFonts w:ascii="Verdana" w:hAnsi="Verdana"/>
                <w:sz w:val="18"/>
                <w:szCs w:val="18"/>
                <w:lang w:val="pt-PT"/>
              </w:rPr>
              <w:t>[</w:t>
            </w:r>
            <w:hyperlink r:id="rId46" w:history="1">
              <w:r w:rsidRPr="00137DBC">
                <w:rPr>
                  <w:rStyle w:val="Hyperlink"/>
                  <w:rFonts w:ascii="Verdana" w:hAnsi="Verdana"/>
                  <w:sz w:val="18"/>
                  <w:szCs w:val="18"/>
                  <w:lang w:val="pt-PT"/>
                </w:rPr>
                <w:t>nama_10r_3empers</w:t>
              </w:r>
            </w:hyperlink>
            <w:r w:rsidRPr="00137DBC">
              <w:rPr>
                <w:rFonts w:ascii="Verdana" w:hAnsi="Verdana"/>
                <w:sz w:val="18"/>
                <w:szCs w:val="18"/>
                <w:lang w:val="pt-PT"/>
              </w:rPr>
              <w:t>]</w:t>
            </w:r>
            <w:r w:rsidR="00DD51C8">
              <w:rPr>
                <w:rFonts w:ascii="Verdana" w:hAnsi="Verdana"/>
                <w:sz w:val="18"/>
                <w:szCs w:val="18"/>
                <w:lang w:val="pt-PT"/>
              </w:rPr>
              <w:t xml:space="preserve"> and</w:t>
            </w:r>
            <w:r w:rsidR="001E71E9" w:rsidRPr="00137DBC">
              <w:rPr>
                <w:rFonts w:ascii="Verdana" w:hAnsi="Verdana"/>
                <w:sz w:val="18"/>
                <w:szCs w:val="18"/>
              </w:rPr>
              <w:t xml:space="preserve"> [</w:t>
            </w:r>
            <w:hyperlink r:id="rId47" w:history="1">
              <w:r w:rsidR="00615526" w:rsidRPr="00137DBC">
                <w:rPr>
                  <w:rStyle w:val="Hyperlink"/>
                  <w:rFonts w:ascii="Verdana" w:hAnsi="Verdana"/>
                  <w:sz w:val="18"/>
                  <w:szCs w:val="18"/>
                </w:rPr>
                <w:t>lfst_r_lfe2en2</w:t>
              </w:r>
            </w:hyperlink>
            <w:r w:rsidR="001E71E9" w:rsidRPr="00137DBC">
              <w:rPr>
                <w:rFonts w:ascii="Verdana" w:hAnsi="Verdana"/>
                <w:sz w:val="18"/>
                <w:szCs w:val="18"/>
                <w:lang w:val="pt-PT"/>
              </w:rPr>
              <w:t>]</w:t>
            </w:r>
            <w:r w:rsidR="00615526" w:rsidRPr="00137DBC">
              <w:rPr>
                <w:rFonts w:ascii="Verdana" w:hAnsi="Verdana"/>
                <w:sz w:val="18"/>
                <w:szCs w:val="18"/>
              </w:rPr>
              <w:t xml:space="preserve"> for totals; </w:t>
            </w:r>
          </w:p>
          <w:p w14:paraId="70A21E6A" w14:textId="7A627395" w:rsidR="00D0095E" w:rsidRPr="00137DBC" w:rsidRDefault="00D0095E" w:rsidP="00D0095E">
            <w:pPr>
              <w:spacing w:after="60"/>
              <w:rPr>
                <w:rStyle w:val="Hyperlink"/>
                <w:rFonts w:ascii="Verdana" w:hAnsi="Verdana"/>
                <w:color w:val="auto"/>
                <w:sz w:val="18"/>
                <w:szCs w:val="18"/>
                <w:u w:val="none"/>
              </w:rPr>
            </w:pPr>
            <w:r w:rsidRPr="00054AC1">
              <w:rPr>
                <w:rFonts w:ascii="Verdana" w:hAnsi="Verdana"/>
                <w:sz w:val="18"/>
                <w:szCs w:val="18"/>
              </w:rPr>
              <w:t>Most recent urban-rural typology</w:t>
            </w:r>
            <w:r w:rsidR="00410DDD">
              <w:rPr>
                <w:rFonts w:ascii="Verdana" w:hAnsi="Verdana"/>
                <w:sz w:val="18"/>
                <w:szCs w:val="18"/>
              </w:rPr>
              <w:t xml:space="preserve"> definition</w:t>
            </w:r>
            <w:r w:rsidRPr="00054AC1">
              <w:rPr>
                <w:rFonts w:ascii="Verdana" w:hAnsi="Verdana"/>
                <w:sz w:val="18"/>
                <w:szCs w:val="18"/>
              </w:rPr>
              <w:t>:</w:t>
            </w:r>
            <w:r w:rsidRPr="00137DBC">
              <w:rPr>
                <w:rFonts w:ascii="Verdana" w:hAnsi="Verdana"/>
                <w:sz w:val="18"/>
                <w:szCs w:val="18"/>
              </w:rPr>
              <w:t xml:space="preserve"> </w:t>
            </w:r>
            <w:hyperlink r:id="rId48" w:history="1">
              <w:r w:rsidRPr="00137DBC">
                <w:rPr>
                  <w:rStyle w:val="Hyperlink"/>
                  <w:rFonts w:ascii="Verdana" w:hAnsi="Verdana"/>
                  <w:sz w:val="18"/>
                  <w:szCs w:val="18"/>
                </w:rPr>
                <w:t>https://ec.europa.eu/eurostat/web/rural-development/methodology</w:t>
              </w:r>
            </w:hyperlink>
          </w:p>
          <w:p w14:paraId="1675BC80" w14:textId="77777777" w:rsidR="00D0095E" w:rsidRPr="00137DBC" w:rsidRDefault="000937F0" w:rsidP="000937F0">
            <w:pPr>
              <w:spacing w:after="60"/>
              <w:rPr>
                <w:rFonts w:ascii="Verdana" w:hAnsi="Verdana"/>
                <w:sz w:val="18"/>
                <w:szCs w:val="18"/>
              </w:rPr>
            </w:pPr>
            <w:r>
              <w:rPr>
                <w:rFonts w:ascii="Verdana" w:hAnsi="Verdana"/>
                <w:sz w:val="18"/>
                <w:szCs w:val="18"/>
              </w:rPr>
              <w:t>4: E</w:t>
            </w:r>
            <w:r w:rsidRPr="00137DBC">
              <w:rPr>
                <w:rFonts w:ascii="Verdana" w:hAnsi="Verdana"/>
                <w:sz w:val="18"/>
                <w:szCs w:val="18"/>
              </w:rPr>
              <w:t>mployment by economic activity on special request to Eurostat</w:t>
            </w:r>
          </w:p>
        </w:tc>
      </w:tr>
      <w:tr w:rsidR="004F1363" w:rsidRPr="00C34DE9" w14:paraId="3063D3C0"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04721599"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B55D87"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7B3461B" w14:textId="77777777" w:rsidR="004F1363" w:rsidRPr="00C34DE9" w:rsidRDefault="004F1363" w:rsidP="005B5547">
            <w:pPr>
              <w:spacing w:after="60"/>
              <w:rPr>
                <w:rFonts w:ascii="Verdana" w:hAnsi="Verdana"/>
                <w:sz w:val="18"/>
                <w:szCs w:val="18"/>
              </w:rPr>
            </w:pPr>
            <w:r w:rsidRPr="00C34DE9">
              <w:rPr>
                <w:rFonts w:ascii="Verdana" w:hAnsi="Verdana"/>
                <w:sz w:val="18"/>
                <w:szCs w:val="18"/>
              </w:rPr>
              <w:t xml:space="preserve">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w:t>
            </w:r>
            <w:r w:rsidR="002E3F6E" w:rsidRPr="00C34DE9" w:rsidDel="002E3F6E">
              <w:rPr>
                <w:rFonts w:ascii="Verdana" w:hAnsi="Verdana"/>
                <w:sz w:val="18"/>
                <w:szCs w:val="18"/>
              </w:rPr>
              <w:t xml:space="preserve"> </w:t>
            </w:r>
            <w:r w:rsidR="002E3F6E">
              <w:rPr>
                <w:rFonts w:ascii="Verdana" w:hAnsi="Verdana"/>
                <w:sz w:val="18"/>
                <w:szCs w:val="18"/>
              </w:rPr>
              <w:t>R</w:t>
            </w:r>
            <w:r w:rsidRPr="00C34DE9">
              <w:rPr>
                <w:rFonts w:ascii="Verdana" w:hAnsi="Verdana"/>
                <w:sz w:val="18"/>
                <w:szCs w:val="18"/>
              </w:rPr>
              <w:t>egional (NUTS 1, 2 and 3)</w:t>
            </w:r>
            <w:r w:rsidR="00CE27E0">
              <w:rPr>
                <w:rFonts w:ascii="Verdana" w:hAnsi="Verdana"/>
                <w:sz w:val="18"/>
                <w:szCs w:val="18"/>
              </w:rPr>
              <w:t>.</w:t>
            </w:r>
          </w:p>
          <w:p w14:paraId="23954424" w14:textId="14250541" w:rsidR="00B55D87" w:rsidRPr="00C34DE9" w:rsidDel="00F9611E" w:rsidRDefault="00615526" w:rsidP="005B5547">
            <w:pPr>
              <w:spacing w:after="60"/>
              <w:rPr>
                <w:rFonts w:ascii="Verdana" w:hAnsi="Verdana"/>
                <w:sz w:val="18"/>
                <w:szCs w:val="18"/>
              </w:rPr>
            </w:pPr>
            <w:r>
              <w:rPr>
                <w:rFonts w:ascii="Verdana" w:hAnsi="Verdana"/>
                <w:sz w:val="18"/>
                <w:szCs w:val="18"/>
              </w:rPr>
              <w:t xml:space="preserve">For </w:t>
            </w:r>
            <w:r w:rsidR="00AD3CC6">
              <w:rPr>
                <w:rFonts w:ascii="Verdana" w:hAnsi="Verdana"/>
                <w:sz w:val="18"/>
                <w:szCs w:val="18"/>
              </w:rPr>
              <w:t>3</w:t>
            </w:r>
            <w:r>
              <w:rPr>
                <w:rFonts w:ascii="Verdana" w:hAnsi="Verdana"/>
                <w:sz w:val="18"/>
                <w:szCs w:val="18"/>
              </w:rPr>
              <w:t xml:space="preserve">, </w:t>
            </w:r>
            <w:r w:rsidR="00B55D87" w:rsidRPr="00C34DE9">
              <w:rPr>
                <w:rFonts w:ascii="Verdana" w:hAnsi="Verdana"/>
                <w:sz w:val="18"/>
                <w:szCs w:val="18"/>
              </w:rPr>
              <w:t>by type of region (predominantly rural, intermediate and predominantly urban)</w:t>
            </w:r>
          </w:p>
        </w:tc>
      </w:tr>
      <w:tr w:rsidR="004F1363" w:rsidRPr="00C34DE9" w14:paraId="328D7FB3" w14:textId="77777777" w:rsidTr="7CF3AEC2">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00BF28D9"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08EB3DF" w14:textId="77777777" w:rsidR="004F1363" w:rsidRDefault="004F1363" w:rsidP="005B5547">
            <w:pPr>
              <w:spacing w:after="60"/>
              <w:rPr>
                <w:rFonts w:ascii="Verdana" w:hAnsi="Verdana"/>
                <w:sz w:val="18"/>
                <w:szCs w:val="18"/>
              </w:rPr>
            </w:pPr>
            <w:r w:rsidRPr="00C34DE9">
              <w:rPr>
                <w:rFonts w:ascii="Verdana" w:hAnsi="Verdana"/>
                <w:sz w:val="18"/>
                <w:szCs w:val="18"/>
              </w:rPr>
              <w:t>Annual</w:t>
            </w:r>
          </w:p>
          <w:p w14:paraId="3D973DD7" w14:textId="77777777" w:rsidR="00615526" w:rsidRDefault="00615526" w:rsidP="00615526">
            <w:pPr>
              <w:spacing w:before="30" w:after="60" w:line="240" w:lineRule="auto"/>
              <w:jc w:val="both"/>
              <w:rPr>
                <w:rFonts w:ascii="Verdana" w:eastAsia="Times New Roman" w:hAnsi="Verdana"/>
                <w:sz w:val="18"/>
                <w:szCs w:val="18"/>
              </w:rPr>
            </w:pPr>
            <w:r>
              <w:rPr>
                <w:rFonts w:ascii="Verdana" w:hAnsi="Verdana"/>
                <w:sz w:val="18"/>
                <w:szCs w:val="18"/>
              </w:rPr>
              <w:t xml:space="preserve">For </w:t>
            </w:r>
            <w:r w:rsidR="00AD3CC6">
              <w:rPr>
                <w:rFonts w:ascii="Verdana" w:hAnsi="Verdana"/>
                <w:sz w:val="18"/>
                <w:szCs w:val="18"/>
              </w:rPr>
              <w:t xml:space="preserve">2 and </w:t>
            </w:r>
            <w:r w:rsidR="00AE59DD">
              <w:rPr>
                <w:rFonts w:ascii="Verdana" w:hAnsi="Verdana"/>
                <w:sz w:val="18"/>
                <w:szCs w:val="18"/>
              </w:rPr>
              <w:t>4</w:t>
            </w:r>
            <w:r>
              <w:rPr>
                <w:rFonts w:ascii="Verdana" w:hAnsi="Verdana"/>
                <w:sz w:val="18"/>
                <w:szCs w:val="18"/>
              </w:rPr>
              <w:t xml:space="preserve">, </w:t>
            </w:r>
            <w:r w:rsidRPr="005E41F5">
              <w:rPr>
                <w:rFonts w:ascii="Verdana" w:eastAsia="Times New Roman" w:hAnsi="Verdana"/>
                <w:sz w:val="18"/>
                <w:szCs w:val="18"/>
              </w:rPr>
              <w:t>LFS data are collected on a continuous basis and quarterly/annual results are produced. Data at NUTS 2 level are disseminated by Eurostat annually</w:t>
            </w:r>
          </w:p>
          <w:p w14:paraId="6E2C3F83" w14:textId="77777777" w:rsidR="00615526" w:rsidRPr="00C34DE9" w:rsidRDefault="00615526" w:rsidP="00615526">
            <w:pPr>
              <w:spacing w:after="60"/>
              <w:rPr>
                <w:rFonts w:ascii="Verdana" w:hAnsi="Verdana"/>
                <w:sz w:val="18"/>
                <w:szCs w:val="18"/>
              </w:rPr>
            </w:pPr>
            <w:r w:rsidRPr="00C34DE9">
              <w:rPr>
                <w:rFonts w:ascii="Verdana" w:eastAsia="Times New Roman" w:hAnsi="Verdana"/>
                <w:sz w:val="18"/>
                <w:szCs w:val="18"/>
              </w:rPr>
              <w:t>Regional data are published as annual averages of quarterly data</w:t>
            </w:r>
          </w:p>
        </w:tc>
      </w:tr>
      <w:tr w:rsidR="004F1363" w:rsidRPr="00C34DE9" w14:paraId="1DC44048" w14:textId="77777777" w:rsidTr="7CF3AEC2">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7968BA49"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1BF6E91" w14:textId="7ECC2AEA" w:rsidR="00615526" w:rsidRDefault="00615526" w:rsidP="005B5547">
            <w:pPr>
              <w:spacing w:after="60"/>
              <w:rPr>
                <w:rFonts w:ascii="Verdana" w:hAnsi="Verdana"/>
                <w:sz w:val="18"/>
                <w:szCs w:val="18"/>
              </w:rPr>
            </w:pPr>
            <w:r>
              <w:rPr>
                <w:rFonts w:ascii="Verdana" w:hAnsi="Verdana"/>
                <w:sz w:val="18"/>
                <w:szCs w:val="18"/>
              </w:rPr>
              <w:t xml:space="preserve">For </w:t>
            </w:r>
            <w:r w:rsidR="00AE59DD">
              <w:rPr>
                <w:rFonts w:ascii="Verdana" w:hAnsi="Verdana"/>
                <w:sz w:val="18"/>
                <w:szCs w:val="18"/>
              </w:rPr>
              <w:t xml:space="preserve">1 </w:t>
            </w:r>
            <w:r>
              <w:rPr>
                <w:rFonts w:ascii="Verdana" w:hAnsi="Verdana"/>
                <w:sz w:val="18"/>
                <w:szCs w:val="18"/>
              </w:rPr>
              <w:t xml:space="preserve">and </w:t>
            </w:r>
            <w:r w:rsidR="00AE59DD">
              <w:rPr>
                <w:rFonts w:ascii="Verdana" w:hAnsi="Verdana"/>
                <w:sz w:val="18"/>
                <w:szCs w:val="18"/>
              </w:rPr>
              <w:t>3</w:t>
            </w:r>
            <w:r>
              <w:rPr>
                <w:rFonts w:ascii="Verdana" w:hAnsi="Verdana"/>
                <w:sz w:val="18"/>
                <w:szCs w:val="18"/>
              </w:rPr>
              <w:t xml:space="preserve">: </w:t>
            </w:r>
            <w:r w:rsidR="004F1363" w:rsidRPr="00C34DE9">
              <w:rPr>
                <w:rFonts w:ascii="Verdana" w:hAnsi="Verdana"/>
                <w:sz w:val="18"/>
                <w:szCs w:val="18"/>
              </w:rPr>
              <w:t>1 year (national data) and 3 years (regional data)</w:t>
            </w:r>
          </w:p>
          <w:p w14:paraId="680187D1" w14:textId="77777777" w:rsidR="004F1363" w:rsidRPr="00C34DE9" w:rsidRDefault="00615526" w:rsidP="005B5547">
            <w:pPr>
              <w:spacing w:after="60"/>
              <w:rPr>
                <w:rFonts w:ascii="Verdana" w:hAnsi="Verdana"/>
                <w:sz w:val="18"/>
                <w:szCs w:val="18"/>
              </w:rPr>
            </w:pPr>
            <w:r>
              <w:rPr>
                <w:rFonts w:ascii="Verdana" w:hAnsi="Verdana"/>
                <w:sz w:val="18"/>
                <w:szCs w:val="18"/>
              </w:rPr>
              <w:t xml:space="preserve">For </w:t>
            </w:r>
            <w:r w:rsidR="00AD3CC6">
              <w:rPr>
                <w:rFonts w:ascii="Verdana" w:hAnsi="Verdana"/>
                <w:sz w:val="18"/>
                <w:szCs w:val="18"/>
              </w:rPr>
              <w:t xml:space="preserve">2 and </w:t>
            </w:r>
            <w:r w:rsidR="00AE59DD">
              <w:rPr>
                <w:rFonts w:ascii="Verdana" w:hAnsi="Verdana"/>
                <w:sz w:val="18"/>
                <w:szCs w:val="18"/>
              </w:rPr>
              <w:t>4</w:t>
            </w:r>
            <w:r>
              <w:rPr>
                <w:rFonts w:ascii="Verdana" w:hAnsi="Verdana"/>
                <w:sz w:val="18"/>
                <w:szCs w:val="18"/>
              </w:rPr>
              <w:t>: 4 months</w:t>
            </w:r>
          </w:p>
        </w:tc>
      </w:tr>
      <w:tr w:rsidR="004F1363" w:rsidRPr="00C34DE9" w14:paraId="6354055D"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0CE2DE74" w14:textId="77777777" w:rsidR="004F1363" w:rsidRPr="00C34DE9" w:rsidRDefault="004F1363" w:rsidP="005B5547">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67CC8E0" w14:textId="79973C21" w:rsidR="00615526" w:rsidRDefault="00615526" w:rsidP="005B5547">
            <w:pPr>
              <w:spacing w:after="60"/>
              <w:jc w:val="both"/>
              <w:rPr>
                <w:rFonts w:ascii="Verdana" w:hAnsi="Verdana"/>
                <w:sz w:val="18"/>
                <w:szCs w:val="18"/>
              </w:rPr>
            </w:pPr>
            <w:r>
              <w:rPr>
                <w:rFonts w:ascii="Verdana" w:hAnsi="Verdana"/>
                <w:sz w:val="18"/>
                <w:szCs w:val="18"/>
              </w:rPr>
              <w:t xml:space="preserve">For </w:t>
            </w:r>
            <w:r w:rsidR="00AE59DD">
              <w:rPr>
                <w:rFonts w:ascii="Verdana" w:hAnsi="Verdana"/>
                <w:sz w:val="18"/>
                <w:szCs w:val="18"/>
              </w:rPr>
              <w:t>2</w:t>
            </w:r>
            <w:r w:rsidR="00AD3CC6">
              <w:rPr>
                <w:rFonts w:ascii="Verdana" w:hAnsi="Verdana"/>
                <w:sz w:val="18"/>
                <w:szCs w:val="18"/>
              </w:rPr>
              <w:t xml:space="preserve"> and 4</w:t>
            </w:r>
            <w:r>
              <w:rPr>
                <w:rFonts w:ascii="Verdana" w:hAnsi="Verdana"/>
                <w:sz w:val="18"/>
                <w:szCs w:val="18"/>
              </w:rPr>
              <w:t xml:space="preserve">: </w:t>
            </w:r>
          </w:p>
          <w:p w14:paraId="2C33372E" w14:textId="77777777" w:rsidR="004F1363" w:rsidRPr="00C34DE9" w:rsidRDefault="004F1363" w:rsidP="005B5547">
            <w:pPr>
              <w:spacing w:after="60"/>
              <w:jc w:val="both"/>
              <w:rPr>
                <w:rFonts w:ascii="Verdana" w:hAnsi="Verdana"/>
                <w:sz w:val="18"/>
                <w:szCs w:val="18"/>
              </w:rPr>
            </w:pPr>
            <w:r w:rsidRPr="00C34DE9">
              <w:rPr>
                <w:rFonts w:ascii="Verdana" w:hAnsi="Verdana"/>
                <w:sz w:val="18"/>
                <w:szCs w:val="18"/>
              </w:rPr>
              <w:t xml:space="preserve">Sectors in NACE rev.2: </w:t>
            </w:r>
          </w:p>
          <w:p w14:paraId="43D8B8A7" w14:textId="77777777" w:rsidR="004F1363" w:rsidRPr="00C34DE9" w:rsidRDefault="004F1363" w:rsidP="005B5547">
            <w:pPr>
              <w:spacing w:after="60"/>
              <w:jc w:val="both"/>
              <w:rPr>
                <w:rFonts w:ascii="Verdana" w:hAnsi="Verdana"/>
                <w:sz w:val="18"/>
                <w:szCs w:val="18"/>
              </w:rPr>
            </w:pPr>
            <w:r w:rsidRPr="00C34DE9">
              <w:rPr>
                <w:rFonts w:ascii="Verdana" w:hAnsi="Verdana"/>
                <w:sz w:val="18"/>
                <w:szCs w:val="18"/>
              </w:rPr>
              <w:t>Primary sector = branch A (agriculture, forestry and fishing);</w:t>
            </w:r>
          </w:p>
          <w:p w14:paraId="6C30A972" w14:textId="77777777" w:rsidR="004F1363" w:rsidRPr="00B840B2" w:rsidRDefault="004F1363" w:rsidP="005B5547">
            <w:pPr>
              <w:spacing w:after="60"/>
              <w:jc w:val="both"/>
              <w:rPr>
                <w:rFonts w:ascii="Verdana" w:hAnsi="Verdana"/>
                <w:sz w:val="18"/>
                <w:szCs w:val="18"/>
              </w:rPr>
            </w:pPr>
            <w:r w:rsidRPr="00C34DE9">
              <w:rPr>
                <w:rFonts w:ascii="Verdana" w:hAnsi="Verdana"/>
                <w:sz w:val="18"/>
                <w:szCs w:val="18"/>
              </w:rPr>
              <w:t>Secondary sector = branches B-E + F (industry + construction);</w:t>
            </w:r>
          </w:p>
          <w:p w14:paraId="21E15EE5" w14:textId="77777777" w:rsidR="004F1363" w:rsidRPr="00C34DE9" w:rsidRDefault="004F1363" w:rsidP="005B5547">
            <w:pPr>
              <w:spacing w:after="60"/>
              <w:jc w:val="both"/>
              <w:rPr>
                <w:rFonts w:ascii="Verdana" w:hAnsi="Verdana"/>
                <w:sz w:val="18"/>
                <w:szCs w:val="18"/>
                <w:lang w:val="pt-PT"/>
              </w:rPr>
            </w:pPr>
            <w:r w:rsidRPr="00B840B2">
              <w:rPr>
                <w:rFonts w:ascii="Verdana" w:hAnsi="Verdana"/>
                <w:sz w:val="18"/>
                <w:szCs w:val="18"/>
              </w:rPr>
              <w:t>Tertiary</w:t>
            </w:r>
            <w:r w:rsidRPr="00C34DE9">
              <w:rPr>
                <w:rFonts w:ascii="Verdana" w:hAnsi="Verdana"/>
                <w:sz w:val="18"/>
                <w:szCs w:val="18"/>
                <w:lang w:val="pt-PT"/>
              </w:rPr>
              <w:t xml:space="preserve"> sector =</w:t>
            </w:r>
            <w:r w:rsidRPr="00B840B2">
              <w:rPr>
                <w:rFonts w:ascii="Verdana" w:hAnsi="Verdana"/>
                <w:sz w:val="18"/>
                <w:szCs w:val="18"/>
              </w:rPr>
              <w:t xml:space="preserve"> branches</w:t>
            </w:r>
            <w:r w:rsidRPr="00C34DE9">
              <w:rPr>
                <w:rFonts w:ascii="Verdana" w:hAnsi="Verdana"/>
                <w:sz w:val="18"/>
                <w:szCs w:val="18"/>
                <w:lang w:val="pt-PT"/>
              </w:rPr>
              <w:t xml:space="preserve"> G-I + J + K + L + M-N + O-Q + R-U.</w:t>
            </w:r>
          </w:p>
          <w:p w14:paraId="5E0240FF" w14:textId="39EAB832" w:rsidR="004F1363" w:rsidRDefault="00615526" w:rsidP="005B5547">
            <w:pPr>
              <w:spacing w:after="60"/>
              <w:jc w:val="both"/>
              <w:rPr>
                <w:rFonts w:ascii="Verdana" w:hAnsi="Verdana"/>
                <w:sz w:val="18"/>
                <w:szCs w:val="18"/>
              </w:rPr>
            </w:pPr>
            <w:r>
              <w:rPr>
                <w:rFonts w:ascii="Verdana" w:hAnsi="Verdana"/>
                <w:sz w:val="18"/>
                <w:szCs w:val="18"/>
              </w:rPr>
              <w:t xml:space="preserve">For </w:t>
            </w:r>
            <w:r w:rsidR="003C0C57">
              <w:rPr>
                <w:rFonts w:ascii="Verdana" w:hAnsi="Verdana"/>
                <w:sz w:val="18"/>
                <w:szCs w:val="18"/>
              </w:rPr>
              <w:t>2</w:t>
            </w:r>
            <w:r>
              <w:rPr>
                <w:rFonts w:ascii="Verdana" w:hAnsi="Verdana"/>
                <w:sz w:val="18"/>
                <w:szCs w:val="18"/>
              </w:rPr>
              <w:t xml:space="preserve">: </w:t>
            </w:r>
            <w:r w:rsidR="004F1363" w:rsidRPr="00C34DE9">
              <w:rPr>
                <w:rFonts w:ascii="Verdana" w:hAnsi="Verdana"/>
                <w:sz w:val="18"/>
                <w:szCs w:val="18"/>
              </w:rPr>
              <w:t xml:space="preserve">The distribution of employment by type of region has been calculated </w:t>
            </w:r>
            <w:r w:rsidR="004F1363" w:rsidRPr="00C34DE9">
              <w:rPr>
                <w:rFonts w:ascii="Verdana" w:hAnsi="Verdana"/>
                <w:sz w:val="18"/>
                <w:szCs w:val="18"/>
              </w:rPr>
              <w:lastRenderedPageBreak/>
              <w:t>using the Commission's urban-rural typology, which classifies NUTS 3 regions into predominantly rural, intermediate and predominantly urban.</w:t>
            </w:r>
          </w:p>
          <w:p w14:paraId="17844D42" w14:textId="7CA939E4" w:rsidR="00615526" w:rsidRPr="00C34DE9" w:rsidRDefault="00615526" w:rsidP="00615526">
            <w:pPr>
              <w:pStyle w:val="RD-Indicatortabletext"/>
              <w:spacing w:after="60"/>
              <w:jc w:val="both"/>
              <w:rPr>
                <w:rFonts w:cs="Times New Roman"/>
                <w:sz w:val="18"/>
                <w:szCs w:val="18"/>
                <w:lang w:val="en"/>
              </w:rPr>
            </w:pPr>
            <w:r>
              <w:rPr>
                <w:sz w:val="18"/>
                <w:szCs w:val="18"/>
              </w:rPr>
              <w:t xml:space="preserve">For </w:t>
            </w:r>
            <w:r w:rsidR="003C0C57">
              <w:rPr>
                <w:sz w:val="18"/>
                <w:szCs w:val="18"/>
              </w:rPr>
              <w:t>3</w:t>
            </w:r>
            <w:r>
              <w:rPr>
                <w:sz w:val="18"/>
                <w:szCs w:val="18"/>
              </w:rPr>
              <w:t>: Eurostat’s Labour Force Survey (LFS) is</w:t>
            </w:r>
            <w:r>
              <w:rPr>
                <w:rFonts w:cs="Times New Roman"/>
                <w:color w:val="000000"/>
                <w:sz w:val="18"/>
                <w:szCs w:val="18"/>
              </w:rPr>
              <w:t xml:space="preserve"> </w:t>
            </w:r>
            <w:r w:rsidRPr="00C34DE9">
              <w:rPr>
                <w:rFonts w:cs="Times New Roman"/>
                <w:color w:val="000000"/>
                <w:sz w:val="18"/>
                <w:szCs w:val="18"/>
              </w:rPr>
              <w:t>the main data source for the domain employment. The EU LFS is a large household sample survey providing quarterly results on labour participation of people aged 15 years and over (</w:t>
            </w:r>
            <w:r w:rsidRPr="00C34DE9">
              <w:rPr>
                <w:rFonts w:cs="Times New Roman"/>
                <w:sz w:val="18"/>
                <w:szCs w:val="18"/>
                <w:lang w:val="en"/>
              </w:rPr>
              <w:t xml:space="preserve">16 years and over in Spain, Italy and the </w:t>
            </w:r>
            <w:r>
              <w:rPr>
                <w:rFonts w:cs="Times New Roman"/>
                <w:sz w:val="18"/>
                <w:szCs w:val="18"/>
                <w:lang w:val="en"/>
              </w:rPr>
              <w:t>UK</w:t>
            </w:r>
            <w:r w:rsidRPr="00C34DE9">
              <w:rPr>
                <w:rFonts w:cs="Times New Roman"/>
                <w:sz w:val="18"/>
                <w:szCs w:val="18"/>
                <w:lang w:val="en"/>
              </w:rPr>
              <w:t>, 15-74 years in Estonia, Latvia, Hungary, Finland, Sweden and Denmark).</w:t>
            </w:r>
          </w:p>
          <w:p w14:paraId="49948F8E" w14:textId="77777777" w:rsidR="00615526" w:rsidRPr="00C34DE9" w:rsidRDefault="00615526" w:rsidP="00615526">
            <w:pPr>
              <w:spacing w:after="60"/>
              <w:jc w:val="both"/>
              <w:rPr>
                <w:rFonts w:ascii="Verdana" w:hAnsi="Verdana"/>
                <w:sz w:val="18"/>
                <w:szCs w:val="18"/>
              </w:rPr>
            </w:pPr>
            <w:r w:rsidRPr="00615526">
              <w:rPr>
                <w:rFonts w:ascii="Verdana" w:eastAsia="Times New Roman" w:hAnsi="Verdana"/>
                <w:color w:val="000000"/>
                <w:sz w:val="18"/>
                <w:szCs w:val="18"/>
              </w:rPr>
              <w:t>In the Eurostat LFS database (according to the NACE rev.2 divisions) agriculture corresponds to "crop and animal production, hunting and related activities" (A01), while forestry means "forestry and logging" (A02), the food industry is equal to "manufacture of food products" (C10) and "manufacture of beverages" (C11) and "manufacture of tobacco products" (C12), tourism corresponds to "accommodation" (I55) and "food and beverage service activities" (I56).</w:t>
            </w:r>
          </w:p>
        </w:tc>
      </w:tr>
    </w:tbl>
    <w:p w14:paraId="295EA544" w14:textId="77777777" w:rsidR="002C58BD" w:rsidRPr="00C34DE9" w:rsidRDefault="002C58BD">
      <w:pPr>
        <w:rPr>
          <w:rFonts w:ascii="Verdana" w:hAnsi="Verdana"/>
          <w:sz w:val="18"/>
          <w:szCs w:val="18"/>
        </w:rPr>
      </w:pPr>
    </w:p>
    <w:p w14:paraId="2EF6EB6F" w14:textId="77777777" w:rsidR="004F5461" w:rsidRPr="00C34DE9" w:rsidRDefault="002C58BD">
      <w:pPr>
        <w:rPr>
          <w:rFonts w:ascii="Verdana" w:hAnsi="Verdana"/>
          <w:sz w:val="18"/>
          <w:szCs w:val="18"/>
        </w:rPr>
      </w:pPr>
      <w:r w:rsidRPr="00C34DE9">
        <w:rPr>
          <w:rFonts w:ascii="Verdana" w:hAnsi="Verdana"/>
          <w:sz w:val="18"/>
          <w:szCs w:val="18"/>
        </w:rPr>
        <w:t xml:space="preserve"> </w:t>
      </w: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04F7B7D9" w14:textId="77777777" w:rsidTr="00CD193C">
        <w:tc>
          <w:tcPr>
            <w:tcW w:w="251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1B2D0F9" w14:textId="77777777" w:rsidR="004F1363" w:rsidRPr="00C34DE9" w:rsidRDefault="004F1363" w:rsidP="5CB4B133">
            <w:pPr>
              <w:spacing w:after="60"/>
              <w:rPr>
                <w:rFonts w:ascii="Verdana" w:hAnsi="Verdana"/>
                <w:b/>
                <w:bCs/>
                <w:sz w:val="18"/>
                <w:szCs w:val="18"/>
              </w:rPr>
            </w:pPr>
            <w:r w:rsidRPr="00C34DE9">
              <w:rPr>
                <w:rFonts w:ascii="Verdana" w:hAnsi="Verdana"/>
                <w:sz w:val="18"/>
                <w:szCs w:val="18"/>
              </w:rPr>
              <w:lastRenderedPageBreak/>
              <w:br w:type="page"/>
            </w:r>
            <w:r w:rsidRPr="00C34DE9">
              <w:rPr>
                <w:rFonts w:ascii="Verdana" w:hAnsi="Verdana"/>
                <w:sz w:val="18"/>
                <w:szCs w:val="18"/>
              </w:rPr>
              <w:br w:type="page"/>
            </w:r>
            <w:bookmarkStart w:id="9" w:name="C09"/>
            <w:r w:rsidRPr="5CB4B133">
              <w:rPr>
                <w:rFonts w:ascii="Verdana" w:hAnsi="Verdana"/>
                <w:b/>
                <w:bCs/>
                <w:smallCaps/>
                <w:sz w:val="18"/>
                <w:szCs w:val="18"/>
              </w:rPr>
              <w:t>Indicator C.0</w:t>
            </w:r>
            <w:r w:rsidRPr="5CB4B133">
              <w:rPr>
                <w:rFonts w:ascii="Verdana" w:hAnsi="Verdana"/>
                <w:b/>
                <w:bCs/>
                <w:sz w:val="18"/>
                <w:szCs w:val="18"/>
              </w:rPr>
              <w:t>9</w:t>
            </w:r>
            <w:bookmarkEnd w:id="9"/>
          </w:p>
        </w:tc>
        <w:tc>
          <w:tcPr>
            <w:tcW w:w="7490" w:type="dxa"/>
            <w:tcBorders>
              <w:top w:val="single" w:sz="4" w:space="0" w:color="auto"/>
              <w:left w:val="single" w:sz="4" w:space="0" w:color="auto"/>
              <w:bottom w:val="single" w:sz="4" w:space="0" w:color="auto"/>
              <w:right w:val="single" w:sz="4" w:space="0" w:color="auto"/>
            </w:tcBorders>
            <w:shd w:val="clear" w:color="auto" w:fill="5B9BD5" w:themeFill="accent1"/>
          </w:tcPr>
          <w:p w14:paraId="5407BD84" w14:textId="43FE096B" w:rsidR="00ED59D5" w:rsidRPr="00ED59D5" w:rsidRDefault="754CAB1B" w:rsidP="00ED59D5">
            <w:pPr>
              <w:spacing w:after="60"/>
              <w:rPr>
                <w:rFonts w:ascii="Verdana" w:hAnsi="Verdana"/>
                <w:caps/>
                <w:sz w:val="18"/>
                <w:szCs w:val="18"/>
              </w:rPr>
            </w:pPr>
            <w:r w:rsidRPr="7CF3AEC2">
              <w:rPr>
                <w:rFonts w:ascii="Verdana" w:hAnsi="Verdana"/>
                <w:b/>
                <w:bCs/>
                <w:sz w:val="18"/>
                <w:szCs w:val="18"/>
              </w:rPr>
              <w:t xml:space="preserve">Indicator </w:t>
            </w:r>
            <w:bookmarkStart w:id="10" w:name="I23"/>
            <w:r w:rsidRPr="7CF3AEC2">
              <w:rPr>
                <w:rFonts w:ascii="Verdana" w:hAnsi="Verdana"/>
                <w:b/>
                <w:bCs/>
                <w:sz w:val="18"/>
                <w:szCs w:val="18"/>
              </w:rPr>
              <w:t>I.2</w:t>
            </w:r>
            <w:r w:rsidR="7659E805" w:rsidRPr="7CF3AEC2">
              <w:rPr>
                <w:rFonts w:ascii="Verdana" w:hAnsi="Verdana"/>
                <w:b/>
                <w:bCs/>
                <w:sz w:val="18"/>
                <w:szCs w:val="18"/>
              </w:rPr>
              <w:t>5</w:t>
            </w:r>
            <w:bookmarkEnd w:id="10"/>
            <w:r w:rsidR="45987AF3" w:rsidRPr="7CF3AEC2">
              <w:rPr>
                <w:rFonts w:ascii="Verdana" w:hAnsi="Verdana"/>
                <w:b/>
                <w:bCs/>
                <w:sz w:val="18"/>
                <w:szCs w:val="18"/>
              </w:rPr>
              <w:t xml:space="preserve"> C</w:t>
            </w:r>
            <w:r w:rsidRPr="7CF3AEC2">
              <w:rPr>
                <w:rFonts w:ascii="Verdana" w:hAnsi="Verdana"/>
                <w:b/>
                <w:bCs/>
                <w:sz w:val="18"/>
                <w:szCs w:val="18"/>
              </w:rPr>
              <w:t>ontributing to growth in rural areas:</w:t>
            </w:r>
          </w:p>
          <w:p w14:paraId="47FE61B8" w14:textId="5DC50E0E" w:rsidR="004F1363" w:rsidRPr="00C34DE9" w:rsidRDefault="754CAB1B" w:rsidP="00960A93">
            <w:pPr>
              <w:spacing w:after="60"/>
              <w:rPr>
                <w:rFonts w:ascii="Verdana" w:hAnsi="Verdana"/>
                <w:caps/>
                <w:sz w:val="18"/>
                <w:szCs w:val="18"/>
              </w:rPr>
            </w:pPr>
            <w:r w:rsidRPr="7CF3AEC2">
              <w:rPr>
                <w:rFonts w:ascii="Verdana" w:hAnsi="Verdana"/>
                <w:sz w:val="18"/>
                <w:szCs w:val="18"/>
              </w:rPr>
              <w:t>Evolution of G</w:t>
            </w:r>
            <w:r w:rsidR="0D1791F4" w:rsidRPr="7CF3AEC2">
              <w:rPr>
                <w:rFonts w:ascii="Verdana" w:hAnsi="Verdana"/>
                <w:sz w:val="18"/>
                <w:szCs w:val="18"/>
              </w:rPr>
              <w:t xml:space="preserve">ross </w:t>
            </w:r>
            <w:r w:rsidRPr="7CF3AEC2">
              <w:rPr>
                <w:rFonts w:ascii="Verdana" w:hAnsi="Verdana"/>
                <w:sz w:val="18"/>
                <w:szCs w:val="18"/>
              </w:rPr>
              <w:t>D</w:t>
            </w:r>
            <w:r w:rsidR="0D1791F4" w:rsidRPr="7CF3AEC2">
              <w:rPr>
                <w:rFonts w:ascii="Verdana" w:hAnsi="Verdana"/>
                <w:sz w:val="18"/>
                <w:szCs w:val="18"/>
              </w:rPr>
              <w:t xml:space="preserve">omestic </w:t>
            </w:r>
            <w:r w:rsidRPr="7CF3AEC2">
              <w:rPr>
                <w:rFonts w:ascii="Verdana" w:hAnsi="Verdana"/>
                <w:sz w:val="18"/>
                <w:szCs w:val="18"/>
              </w:rPr>
              <w:t>P</w:t>
            </w:r>
            <w:r w:rsidR="0D1791F4" w:rsidRPr="7CF3AEC2">
              <w:rPr>
                <w:rFonts w:ascii="Verdana" w:hAnsi="Verdana"/>
                <w:sz w:val="18"/>
                <w:szCs w:val="18"/>
              </w:rPr>
              <w:t>roduct (GDP)</w:t>
            </w:r>
            <w:r w:rsidRPr="7CF3AEC2">
              <w:rPr>
                <w:rFonts w:ascii="Verdana" w:hAnsi="Verdana"/>
                <w:sz w:val="18"/>
                <w:szCs w:val="18"/>
              </w:rPr>
              <w:t xml:space="preserve"> per </w:t>
            </w:r>
            <w:r w:rsidR="06952C08" w:rsidRPr="7CF3AEC2">
              <w:rPr>
                <w:rFonts w:ascii="Verdana" w:hAnsi="Verdana"/>
                <w:sz w:val="18"/>
                <w:szCs w:val="18"/>
              </w:rPr>
              <w:t>capita</w:t>
            </w:r>
            <w:r w:rsidR="42EE6DF0" w:rsidRPr="7CF3AEC2">
              <w:rPr>
                <w:rFonts w:ascii="Verdana" w:hAnsi="Verdana"/>
                <w:sz w:val="18"/>
                <w:szCs w:val="18"/>
              </w:rPr>
              <w:t xml:space="preserve"> </w:t>
            </w:r>
            <w:r w:rsidRPr="7CF3AEC2">
              <w:rPr>
                <w:rFonts w:ascii="Verdana" w:hAnsi="Verdana"/>
                <w:sz w:val="18"/>
                <w:szCs w:val="18"/>
              </w:rPr>
              <w:t>in rural areas</w:t>
            </w:r>
          </w:p>
        </w:tc>
      </w:tr>
      <w:tr w:rsidR="004F1363" w:rsidRPr="00660F1E" w14:paraId="3721C0AA" w14:textId="77777777" w:rsidTr="7CF3AEC2">
        <w:trPr>
          <w:trHeight w:val="60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EB20C57"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F901FD3" w14:textId="03734C84" w:rsidR="004F1363" w:rsidRPr="00A2798F" w:rsidRDefault="004F1363" w:rsidP="00960A93">
            <w:pPr>
              <w:spacing w:after="60"/>
              <w:jc w:val="center"/>
              <w:rPr>
                <w:rFonts w:ascii="Verdana" w:hAnsi="Verdana"/>
                <w:b/>
                <w:bCs/>
                <w:color w:val="808080"/>
                <w:sz w:val="18"/>
                <w:szCs w:val="18"/>
                <w:lang w:val="it-IT"/>
              </w:rPr>
            </w:pPr>
            <w:r w:rsidRPr="00A2798F">
              <w:rPr>
                <w:rFonts w:ascii="Verdana" w:hAnsi="Verdana"/>
                <w:b/>
                <w:bCs/>
                <w:sz w:val="18"/>
                <w:szCs w:val="18"/>
                <w:lang w:val="it-IT"/>
              </w:rPr>
              <w:t>GDP</w:t>
            </w:r>
            <w:r w:rsidRPr="00A2798F">
              <w:rPr>
                <w:rFonts w:ascii="Verdana" w:hAnsi="Verdana"/>
                <w:sz w:val="18"/>
                <w:szCs w:val="18"/>
                <w:lang w:val="it-IT"/>
              </w:rPr>
              <w:t xml:space="preserve"> </w:t>
            </w:r>
            <w:r w:rsidRPr="00A2798F">
              <w:rPr>
                <w:rFonts w:ascii="Verdana" w:hAnsi="Verdana"/>
                <w:b/>
                <w:bCs/>
                <w:sz w:val="18"/>
                <w:szCs w:val="18"/>
                <w:lang w:val="it-IT"/>
              </w:rPr>
              <w:t>per</w:t>
            </w:r>
            <w:r w:rsidR="00960A93" w:rsidRPr="00A2798F">
              <w:rPr>
                <w:rFonts w:ascii="Verdana" w:hAnsi="Verdana"/>
                <w:b/>
                <w:bCs/>
                <w:sz w:val="18"/>
                <w:szCs w:val="18"/>
                <w:lang w:val="it-IT"/>
              </w:rPr>
              <w:t xml:space="preserve"> capita</w:t>
            </w:r>
          </w:p>
        </w:tc>
      </w:tr>
      <w:tr w:rsidR="004F1363" w:rsidRPr="00C34DE9" w14:paraId="574953F6" w14:textId="77777777" w:rsidTr="7CF3AEC2">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24E8F986"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8B95343" w14:textId="0CBCA4C9" w:rsidR="004F1363" w:rsidRPr="00C34DE9" w:rsidRDefault="004F1363" w:rsidP="00896E60">
            <w:pPr>
              <w:spacing w:after="60"/>
              <w:jc w:val="both"/>
              <w:rPr>
                <w:rFonts w:ascii="Verdana" w:hAnsi="Verdana"/>
                <w:sz w:val="18"/>
                <w:szCs w:val="18"/>
              </w:rPr>
            </w:pPr>
            <w:r w:rsidRPr="5CB4B133">
              <w:rPr>
                <w:rFonts w:ascii="Verdana" w:hAnsi="Verdana"/>
                <w:b/>
                <w:bCs/>
                <w:sz w:val="18"/>
                <w:szCs w:val="18"/>
              </w:rPr>
              <w:t xml:space="preserve">Gross Domestic Product (GDP) </w:t>
            </w:r>
            <w:r w:rsidRPr="00C34DE9">
              <w:rPr>
                <w:rFonts w:ascii="Verdana" w:hAnsi="Verdana"/>
                <w:sz w:val="18"/>
                <w:szCs w:val="18"/>
              </w:rPr>
              <w:t>per capita in rural regions, in</w:t>
            </w:r>
            <w:r w:rsidRPr="5CB4B133">
              <w:rPr>
                <w:rFonts w:ascii="Verdana" w:hAnsi="Verdana"/>
                <w:b/>
                <w:bCs/>
                <w:sz w:val="18"/>
                <w:szCs w:val="18"/>
              </w:rPr>
              <w:t xml:space="preserve"> Purchasing Power Standard (PPS)</w:t>
            </w:r>
            <w:r w:rsidRPr="00C34DE9">
              <w:rPr>
                <w:rStyle w:val="FootnoteReference"/>
                <w:rFonts w:ascii="Verdana" w:hAnsi="Verdana"/>
                <w:sz w:val="18"/>
                <w:szCs w:val="18"/>
              </w:rPr>
              <w:footnoteReference w:id="3"/>
            </w:r>
          </w:p>
          <w:p w14:paraId="1E7B1933" w14:textId="311D620B" w:rsidR="005E6A3F" w:rsidRDefault="00FC6EDB" w:rsidP="00FC6EDB">
            <w:pPr>
              <w:autoSpaceDE w:val="0"/>
              <w:autoSpaceDN w:val="0"/>
              <w:spacing w:before="40" w:after="40" w:line="240" w:lineRule="auto"/>
              <w:rPr>
                <w:rFonts w:ascii="Verdana" w:eastAsia="Times New Roman" w:hAnsi="Verdana"/>
                <w:sz w:val="18"/>
                <w:szCs w:val="18"/>
              </w:rPr>
            </w:pPr>
            <w:r w:rsidRPr="00FC6EDB">
              <w:rPr>
                <w:rFonts w:ascii="Verdana" w:eastAsia="Times New Roman" w:hAnsi="Verdana"/>
                <w:sz w:val="18"/>
                <w:szCs w:val="18"/>
              </w:rPr>
              <w:t xml:space="preserve">The index of GDP per capita in Purchasing Power Standards (PPS) is expressed in relation to the European Union average set to equal 100. </w:t>
            </w:r>
          </w:p>
          <w:p w14:paraId="73828248" w14:textId="4F470E12" w:rsidR="004F1363" w:rsidRPr="00C34DE9" w:rsidRDefault="004F1363" w:rsidP="00896E60">
            <w:pPr>
              <w:pStyle w:val="ListBullet"/>
              <w:numPr>
                <w:ilvl w:val="0"/>
                <w:numId w:val="0"/>
              </w:numPr>
              <w:spacing w:after="60"/>
              <w:rPr>
                <w:rFonts w:ascii="Verdana" w:hAnsi="Verdana"/>
                <w:sz w:val="18"/>
                <w:szCs w:val="18"/>
              </w:rPr>
            </w:pPr>
            <w:r w:rsidRPr="00C34DE9">
              <w:rPr>
                <w:rFonts w:ascii="Verdana" w:hAnsi="Verdana"/>
                <w:sz w:val="18"/>
                <w:szCs w:val="18"/>
              </w:rPr>
              <w:t xml:space="preserve">In particular, the following </w:t>
            </w:r>
            <w:r w:rsidR="00AE1D2E">
              <w:rPr>
                <w:rFonts w:ascii="Verdana" w:hAnsi="Verdana"/>
                <w:sz w:val="18"/>
                <w:szCs w:val="18"/>
              </w:rPr>
              <w:t xml:space="preserve">2 </w:t>
            </w:r>
            <w:r w:rsidR="00DD478B">
              <w:rPr>
                <w:rFonts w:ascii="Verdana" w:hAnsi="Verdana"/>
                <w:sz w:val="18"/>
                <w:szCs w:val="18"/>
              </w:rPr>
              <w:t>specific indicators</w:t>
            </w:r>
            <w:r w:rsidRPr="00C34DE9">
              <w:rPr>
                <w:rFonts w:ascii="Verdana" w:hAnsi="Verdana"/>
                <w:sz w:val="18"/>
                <w:szCs w:val="18"/>
              </w:rPr>
              <w:t xml:space="preserve"> are calculated:</w:t>
            </w:r>
          </w:p>
          <w:p w14:paraId="70CCEC4E" w14:textId="77777777" w:rsidR="00EE0B20" w:rsidRPr="007D3E04" w:rsidRDefault="00FD4CED" w:rsidP="00665997">
            <w:pPr>
              <w:pStyle w:val="ListBullet"/>
              <w:numPr>
                <w:ilvl w:val="0"/>
                <w:numId w:val="95"/>
              </w:numPr>
              <w:spacing w:after="60"/>
              <w:rPr>
                <w:rFonts w:ascii="Verdana" w:hAnsi="Verdana"/>
                <w:b/>
                <w:bCs/>
                <w:sz w:val="18"/>
                <w:szCs w:val="18"/>
              </w:rPr>
            </w:pPr>
            <w:r w:rsidRPr="00993042">
              <w:rPr>
                <w:rFonts w:ascii="Verdana" w:hAnsi="Verdana"/>
                <w:b/>
                <w:bCs/>
                <w:sz w:val="18"/>
                <w:szCs w:val="18"/>
                <w:shd w:val="clear" w:color="auto" w:fill="00B0F0"/>
              </w:rPr>
              <w:t xml:space="preserve">Index of </w:t>
            </w:r>
            <w:r w:rsidR="00EC7B45" w:rsidRPr="00993042">
              <w:rPr>
                <w:rFonts w:ascii="Verdana" w:hAnsi="Verdana"/>
                <w:b/>
                <w:bCs/>
                <w:sz w:val="18"/>
                <w:szCs w:val="18"/>
                <w:shd w:val="clear" w:color="auto" w:fill="00B0F0"/>
              </w:rPr>
              <w:t xml:space="preserve">GDP </w:t>
            </w:r>
            <w:r w:rsidRPr="00993042">
              <w:rPr>
                <w:rFonts w:ascii="Verdana" w:hAnsi="Verdana"/>
                <w:b/>
                <w:bCs/>
                <w:sz w:val="18"/>
                <w:szCs w:val="18"/>
                <w:shd w:val="clear" w:color="auto" w:fill="00B0F0"/>
              </w:rPr>
              <w:t xml:space="preserve">expressed in </w:t>
            </w:r>
            <w:r w:rsidR="004F1363" w:rsidRPr="00993042">
              <w:rPr>
                <w:rFonts w:ascii="Verdana" w:hAnsi="Verdana"/>
                <w:b/>
                <w:bCs/>
                <w:sz w:val="18"/>
                <w:szCs w:val="18"/>
                <w:shd w:val="clear" w:color="auto" w:fill="00B0F0"/>
              </w:rPr>
              <w:t xml:space="preserve">PPS per inhabitant </w:t>
            </w:r>
            <w:r w:rsidR="001B09CE" w:rsidRPr="00993042">
              <w:rPr>
                <w:rFonts w:ascii="Verdana" w:hAnsi="Verdana"/>
                <w:b/>
                <w:bCs/>
                <w:sz w:val="18"/>
                <w:szCs w:val="18"/>
                <w:shd w:val="clear" w:color="auto" w:fill="00B0F0"/>
              </w:rPr>
              <w:t>at national level</w:t>
            </w:r>
            <w:r w:rsidR="001B09CE" w:rsidRPr="3F4AE0BD">
              <w:rPr>
                <w:rFonts w:ascii="Verdana" w:hAnsi="Verdana"/>
                <w:b/>
                <w:bCs/>
                <w:sz w:val="18"/>
                <w:szCs w:val="18"/>
              </w:rPr>
              <w:t xml:space="preserve"> </w:t>
            </w:r>
          </w:p>
          <w:p w14:paraId="0963DE06" w14:textId="3C0A70E9" w:rsidR="001B09CE" w:rsidRPr="001B09CE" w:rsidRDefault="00FD4CED" w:rsidP="00E822F3">
            <w:pPr>
              <w:pStyle w:val="ListBullet"/>
              <w:numPr>
                <w:ilvl w:val="0"/>
                <w:numId w:val="95"/>
              </w:numPr>
              <w:spacing w:after="60"/>
              <w:rPr>
                <w:rFonts w:ascii="Verdana" w:hAnsi="Verdana"/>
                <w:sz w:val="18"/>
                <w:szCs w:val="18"/>
              </w:rPr>
            </w:pPr>
            <w:r w:rsidRPr="3F4AE0BD">
              <w:rPr>
                <w:rFonts w:ascii="Verdana" w:hAnsi="Verdana"/>
                <w:b/>
                <w:bCs/>
                <w:sz w:val="18"/>
                <w:szCs w:val="18"/>
              </w:rPr>
              <w:t xml:space="preserve">Index of </w:t>
            </w:r>
            <w:r w:rsidR="00EC7B45" w:rsidRPr="3F4AE0BD">
              <w:rPr>
                <w:rFonts w:ascii="Verdana" w:hAnsi="Verdana"/>
                <w:b/>
                <w:bCs/>
                <w:sz w:val="18"/>
                <w:szCs w:val="18"/>
              </w:rPr>
              <w:t xml:space="preserve">GDP </w:t>
            </w:r>
            <w:r w:rsidRPr="3F4AE0BD">
              <w:rPr>
                <w:rFonts w:ascii="Verdana" w:hAnsi="Verdana"/>
                <w:b/>
                <w:bCs/>
                <w:sz w:val="18"/>
                <w:szCs w:val="18"/>
              </w:rPr>
              <w:t xml:space="preserve">expressed </w:t>
            </w:r>
            <w:r w:rsidR="00AE59DD" w:rsidRPr="3F4AE0BD">
              <w:rPr>
                <w:rFonts w:ascii="Verdana" w:hAnsi="Verdana"/>
                <w:b/>
                <w:bCs/>
                <w:sz w:val="18"/>
                <w:szCs w:val="18"/>
              </w:rPr>
              <w:t xml:space="preserve">in </w:t>
            </w:r>
            <w:r w:rsidR="004F1363" w:rsidRPr="3F4AE0BD">
              <w:rPr>
                <w:rFonts w:ascii="Verdana" w:hAnsi="Verdana"/>
                <w:b/>
                <w:bCs/>
                <w:sz w:val="18"/>
                <w:szCs w:val="18"/>
              </w:rPr>
              <w:t>PPS per inhabitant in percentage of the EU average</w:t>
            </w:r>
            <w:r w:rsidR="004F1363" w:rsidRPr="00C34DE9">
              <w:rPr>
                <w:rFonts w:ascii="Verdana" w:hAnsi="Verdana"/>
                <w:sz w:val="18"/>
                <w:szCs w:val="18"/>
              </w:rPr>
              <w:t xml:space="preserve"> for rural areas.</w:t>
            </w:r>
          </w:p>
        </w:tc>
      </w:tr>
      <w:tr w:rsidR="004F1363" w:rsidRPr="00C34DE9" w14:paraId="5A6727FF"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3326EA29"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8D18EFC" w14:textId="0A6AEB9D" w:rsidR="00AE59DD" w:rsidRPr="00C34DE9" w:rsidRDefault="00AE1D2E" w:rsidP="000937F0">
            <w:pPr>
              <w:spacing w:after="60"/>
              <w:jc w:val="both"/>
              <w:rPr>
                <w:rFonts w:ascii="Verdana" w:hAnsi="Verdana"/>
                <w:sz w:val="18"/>
                <w:szCs w:val="18"/>
              </w:rPr>
            </w:pPr>
            <w:r>
              <w:rPr>
                <w:rFonts w:ascii="Verdana" w:hAnsi="Verdana"/>
                <w:sz w:val="18"/>
                <w:szCs w:val="18"/>
              </w:rPr>
              <w:t>1</w:t>
            </w:r>
            <w:r w:rsidR="0091288A">
              <w:rPr>
                <w:rFonts w:ascii="Verdana" w:hAnsi="Verdana"/>
                <w:sz w:val="18"/>
                <w:szCs w:val="18"/>
              </w:rPr>
              <w:t xml:space="preserve"> - 2</w:t>
            </w:r>
            <w:r>
              <w:rPr>
                <w:rFonts w:ascii="Verdana" w:hAnsi="Verdana"/>
                <w:sz w:val="18"/>
                <w:szCs w:val="18"/>
              </w:rPr>
              <w:t xml:space="preserve">: </w:t>
            </w:r>
            <w:r w:rsidR="001E4908">
              <w:rPr>
                <w:rFonts w:ascii="Verdana" w:hAnsi="Verdana"/>
                <w:sz w:val="18"/>
                <w:szCs w:val="18"/>
              </w:rPr>
              <w:t>i</w:t>
            </w:r>
            <w:r w:rsidR="00AE59DD">
              <w:rPr>
                <w:rFonts w:ascii="Verdana" w:hAnsi="Verdana"/>
                <w:sz w:val="18"/>
                <w:szCs w:val="18"/>
              </w:rPr>
              <w:t>ndex of</w:t>
            </w:r>
            <w:r w:rsidR="00137DBC">
              <w:rPr>
                <w:rFonts w:ascii="Verdana" w:hAnsi="Verdana"/>
                <w:sz w:val="18"/>
                <w:szCs w:val="18"/>
              </w:rPr>
              <w:t xml:space="preserve"> </w:t>
            </w:r>
            <w:r w:rsidR="00AE59DD">
              <w:rPr>
                <w:rFonts w:ascii="Verdana" w:hAnsi="Verdana"/>
                <w:sz w:val="18"/>
                <w:szCs w:val="18"/>
              </w:rPr>
              <w:t>GDP</w:t>
            </w:r>
            <w:r w:rsidR="00EC7B45">
              <w:rPr>
                <w:rFonts w:ascii="Verdana" w:hAnsi="Verdana"/>
                <w:sz w:val="18"/>
                <w:szCs w:val="18"/>
              </w:rPr>
              <w:t xml:space="preserve"> in </w:t>
            </w:r>
            <w:r w:rsidR="004F1363" w:rsidRPr="00C34DE9">
              <w:rPr>
                <w:rFonts w:ascii="Verdana" w:hAnsi="Verdana"/>
                <w:sz w:val="18"/>
                <w:szCs w:val="18"/>
              </w:rPr>
              <w:t>PPS</w:t>
            </w:r>
            <w:r w:rsidR="00AE59DD">
              <w:rPr>
                <w:rFonts w:ascii="Verdana" w:hAnsi="Verdana"/>
                <w:sz w:val="18"/>
                <w:szCs w:val="18"/>
              </w:rPr>
              <w:t xml:space="preserve"> per inhabitant </w:t>
            </w:r>
          </w:p>
        </w:tc>
      </w:tr>
      <w:tr w:rsidR="004F1363" w:rsidRPr="00C34DE9" w14:paraId="6AA2376F" w14:textId="77777777" w:rsidTr="7CF3AEC2">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4276424B"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DDA1D39"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Eurostat – National and Regional Economic Accounts</w:t>
            </w:r>
          </w:p>
          <w:p w14:paraId="439FF5B7" w14:textId="77777777" w:rsidR="004F1363" w:rsidRPr="00C34DE9" w:rsidRDefault="004F1363" w:rsidP="001D6B51">
            <w:pPr>
              <w:spacing w:after="60"/>
              <w:jc w:val="both"/>
              <w:rPr>
                <w:rFonts w:ascii="Verdana" w:eastAsia="Times New Roman" w:hAnsi="Verdana"/>
                <w:sz w:val="18"/>
                <w:szCs w:val="18"/>
              </w:rPr>
            </w:pPr>
            <w:r w:rsidRPr="00C34DE9">
              <w:rPr>
                <w:rFonts w:ascii="Verdana" w:eastAsia="Times New Roman" w:hAnsi="Verdana"/>
                <w:sz w:val="18"/>
                <w:szCs w:val="18"/>
              </w:rPr>
              <w:t>Eurostat — Rural development statistics</w:t>
            </w:r>
          </w:p>
        </w:tc>
      </w:tr>
      <w:tr w:rsidR="004F1363" w:rsidRPr="00C34DE9" w14:paraId="6B55CEB5"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6C3581E0"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BC4656F" w14:textId="461AA75F" w:rsidR="004F1363" w:rsidRPr="00C34DE9" w:rsidRDefault="004F1363" w:rsidP="00896E60">
            <w:pPr>
              <w:spacing w:after="60"/>
              <w:jc w:val="both"/>
              <w:rPr>
                <w:rFonts w:ascii="Verdana" w:hAnsi="Verdana"/>
                <w:sz w:val="18"/>
                <w:szCs w:val="18"/>
              </w:rPr>
            </w:pPr>
            <w:r w:rsidRPr="00C34DE9">
              <w:rPr>
                <w:rFonts w:ascii="Verdana" w:hAnsi="Verdana"/>
                <w:sz w:val="18"/>
                <w:szCs w:val="18"/>
              </w:rPr>
              <w:t xml:space="preserve">National data: table </w:t>
            </w:r>
            <w:r w:rsidR="001E71E9">
              <w:rPr>
                <w:rFonts w:ascii="Verdana" w:hAnsi="Verdana"/>
                <w:sz w:val="18"/>
                <w:szCs w:val="18"/>
              </w:rPr>
              <w:t>[</w:t>
            </w:r>
            <w:hyperlink r:id="rId49" w:history="1">
              <w:r w:rsidRPr="00C34DE9">
                <w:rPr>
                  <w:rStyle w:val="Hyperlink"/>
                  <w:rFonts w:ascii="Verdana" w:hAnsi="Verdana" w:cs="Calibri"/>
                  <w:sz w:val="18"/>
                  <w:szCs w:val="18"/>
                </w:rPr>
                <w:t>nama_10_gdp</w:t>
              </w:r>
            </w:hyperlink>
            <w:r w:rsidR="001E71E9">
              <w:rPr>
                <w:lang w:val="pt-PT"/>
              </w:rPr>
              <w:t>]</w:t>
            </w:r>
            <w:r w:rsidRPr="00C34DE9">
              <w:rPr>
                <w:rFonts w:ascii="Verdana" w:hAnsi="Verdana"/>
                <w:sz w:val="18"/>
                <w:szCs w:val="18"/>
              </w:rPr>
              <w:t xml:space="preserve">, </w:t>
            </w:r>
            <w:r w:rsidR="001E71E9">
              <w:rPr>
                <w:rFonts w:ascii="Verdana" w:hAnsi="Verdana"/>
                <w:sz w:val="18"/>
                <w:szCs w:val="18"/>
              </w:rPr>
              <w:t>[</w:t>
            </w:r>
            <w:hyperlink r:id="rId50" w:history="1">
              <w:r w:rsidRPr="00C34DE9">
                <w:rPr>
                  <w:rStyle w:val="Hyperlink"/>
                  <w:rFonts w:ascii="Verdana" w:hAnsi="Verdana"/>
                  <w:sz w:val="18"/>
                  <w:szCs w:val="18"/>
                </w:rPr>
                <w:t>nama_10_pc</w:t>
              </w:r>
            </w:hyperlink>
            <w:r w:rsidR="001E71E9">
              <w:rPr>
                <w:lang w:val="pt-PT"/>
              </w:rPr>
              <w:t>]</w:t>
            </w:r>
            <w:r w:rsidRPr="00C34DE9">
              <w:rPr>
                <w:rFonts w:ascii="Verdana" w:hAnsi="Verdana"/>
                <w:sz w:val="18"/>
                <w:szCs w:val="18"/>
              </w:rPr>
              <w:t xml:space="preserve">, , </w:t>
            </w:r>
          </w:p>
          <w:p w14:paraId="1874454B" w14:textId="7BA74863" w:rsidR="004F1363" w:rsidRPr="00C34DE9" w:rsidRDefault="004F1363" w:rsidP="00896E60">
            <w:pPr>
              <w:spacing w:after="60"/>
              <w:jc w:val="both"/>
              <w:rPr>
                <w:rStyle w:val="Hyperlink"/>
                <w:rFonts w:ascii="Verdana" w:hAnsi="Verdana" w:cs="Calibri"/>
                <w:sz w:val="18"/>
                <w:szCs w:val="18"/>
                <w:lang w:val="pt-PT"/>
              </w:rPr>
            </w:pPr>
            <w:r w:rsidRPr="00C34DE9">
              <w:rPr>
                <w:rFonts w:ascii="Verdana" w:hAnsi="Verdana"/>
                <w:sz w:val="18"/>
                <w:szCs w:val="18"/>
                <w:lang w:val="pt-PT"/>
              </w:rPr>
              <w:t>Regional data:</w:t>
            </w:r>
            <w:r w:rsidRPr="00054AC1">
              <w:rPr>
                <w:rFonts w:ascii="Verdana" w:hAnsi="Verdana"/>
                <w:sz w:val="18"/>
                <w:szCs w:val="18"/>
              </w:rPr>
              <w:t xml:space="preserve"> table</w:t>
            </w:r>
            <w:r w:rsidRPr="00C34DE9">
              <w:rPr>
                <w:rFonts w:ascii="Verdana" w:hAnsi="Verdana"/>
                <w:sz w:val="18"/>
                <w:szCs w:val="18"/>
                <w:lang w:val="pt-PT"/>
              </w:rPr>
              <w:t xml:space="preserve"> </w:t>
            </w:r>
            <w:r w:rsidR="001E71E9">
              <w:rPr>
                <w:rFonts w:ascii="Verdana" w:hAnsi="Verdana"/>
                <w:sz w:val="18"/>
                <w:szCs w:val="18"/>
                <w:lang w:val="pt-PT"/>
              </w:rPr>
              <w:t>[</w:t>
            </w:r>
            <w:hyperlink r:id="rId51" w:history="1">
              <w:r w:rsidRPr="00C34DE9">
                <w:rPr>
                  <w:rStyle w:val="Hyperlink"/>
                  <w:rFonts w:ascii="Verdana" w:hAnsi="Verdana" w:cs="Calibri"/>
                  <w:sz w:val="18"/>
                  <w:szCs w:val="18"/>
                  <w:lang w:val="pt-PT"/>
                </w:rPr>
                <w:t>nama_10r_3popgdp</w:t>
              </w:r>
            </w:hyperlink>
            <w:r w:rsidR="0015453A">
              <w:rPr>
                <w:rStyle w:val="Hyperlink"/>
                <w:rFonts w:ascii="Verdana" w:hAnsi="Verdana" w:cs="Calibri"/>
                <w:sz w:val="18"/>
                <w:szCs w:val="18"/>
                <w:lang w:val="pt-PT"/>
              </w:rPr>
              <w:t>]</w:t>
            </w:r>
            <w:r w:rsidRPr="00C34DE9">
              <w:rPr>
                <w:rStyle w:val="Hyperlink"/>
                <w:rFonts w:ascii="Verdana" w:hAnsi="Verdana" w:cs="Calibri"/>
                <w:sz w:val="18"/>
                <w:szCs w:val="18"/>
                <w:lang w:val="pt-PT"/>
              </w:rPr>
              <w:t>,</w:t>
            </w:r>
            <w:r w:rsidRPr="00C34DE9">
              <w:rPr>
                <w:rStyle w:val="Hyperlink"/>
                <w:rFonts w:ascii="Verdana" w:hAnsi="Verdana" w:cs="Calibri"/>
                <w:sz w:val="18"/>
                <w:szCs w:val="18"/>
                <w:u w:val="none"/>
                <w:lang w:val="pt-PT"/>
              </w:rPr>
              <w:t xml:space="preserve"> </w:t>
            </w:r>
            <w:r w:rsidR="0015453A">
              <w:rPr>
                <w:rStyle w:val="Hyperlink"/>
                <w:rFonts w:ascii="Verdana" w:hAnsi="Verdana" w:cs="Calibri"/>
                <w:sz w:val="18"/>
                <w:szCs w:val="18"/>
                <w:u w:val="none"/>
                <w:lang w:val="pt-PT"/>
              </w:rPr>
              <w:t>[</w:t>
            </w:r>
            <w:hyperlink r:id="rId52" w:history="1">
              <w:r w:rsidRPr="00C34DE9">
                <w:rPr>
                  <w:rStyle w:val="Hyperlink"/>
                  <w:rFonts w:ascii="Verdana" w:hAnsi="Verdana" w:cs="Calibri"/>
                  <w:sz w:val="18"/>
                  <w:szCs w:val="18"/>
                  <w:lang w:val="pt-PT"/>
                </w:rPr>
                <w:t>nama_10r_3gdp</w:t>
              </w:r>
            </w:hyperlink>
            <w:r w:rsidR="001E71E9">
              <w:rPr>
                <w:lang w:val="pt-PT"/>
              </w:rPr>
              <w:t>]</w:t>
            </w:r>
          </w:p>
          <w:p w14:paraId="3F930C49" w14:textId="77777777" w:rsidR="00B55D87" w:rsidRPr="00C34DE9" w:rsidRDefault="00B55D87" w:rsidP="00896E60">
            <w:pPr>
              <w:spacing w:after="60"/>
              <w:jc w:val="both"/>
              <w:rPr>
                <w:rFonts w:ascii="Verdana" w:hAnsi="Verdana"/>
                <w:sz w:val="18"/>
                <w:szCs w:val="18"/>
              </w:rPr>
            </w:pPr>
            <w:r w:rsidRPr="00C34DE9">
              <w:rPr>
                <w:rFonts w:ascii="Verdana" w:hAnsi="Verdana"/>
                <w:sz w:val="18"/>
                <w:szCs w:val="18"/>
              </w:rPr>
              <w:t>National data, by typology: table Gross domestic product (GDP) at current market prices by other typologies [</w:t>
            </w:r>
            <w:hyperlink r:id="rId53" w:history="1">
              <w:r w:rsidRPr="00C34DE9">
                <w:rPr>
                  <w:rStyle w:val="Hyperlink"/>
                  <w:rFonts w:ascii="Verdana" w:hAnsi="Verdana"/>
                  <w:sz w:val="18"/>
                  <w:szCs w:val="18"/>
                </w:rPr>
                <w:t>urt_10r_3gdp</w:t>
              </w:r>
            </w:hyperlink>
            <w:r w:rsidRPr="00C34DE9">
              <w:rPr>
                <w:rFonts w:ascii="Verdana" w:hAnsi="Verdana"/>
                <w:sz w:val="18"/>
                <w:szCs w:val="18"/>
              </w:rPr>
              <w:t>]</w:t>
            </w:r>
          </w:p>
          <w:p w14:paraId="074B35A6" w14:textId="77777777" w:rsidR="004F1363" w:rsidRPr="00C34DE9" w:rsidRDefault="004F1363" w:rsidP="002E3F6E">
            <w:pPr>
              <w:spacing w:after="60"/>
              <w:jc w:val="both"/>
              <w:rPr>
                <w:rFonts w:ascii="Verdana" w:hAnsi="Verdana"/>
                <w:sz w:val="18"/>
                <w:szCs w:val="18"/>
              </w:rPr>
            </w:pPr>
            <w:r w:rsidRPr="00C34DE9">
              <w:rPr>
                <w:rFonts w:ascii="Verdana" w:hAnsi="Verdana"/>
                <w:sz w:val="18"/>
                <w:szCs w:val="18"/>
              </w:rPr>
              <w:t xml:space="preserve">Most recent urban-rural typology: </w:t>
            </w:r>
            <w:hyperlink r:id="rId54" w:history="1">
              <w:r w:rsidR="002E3F6E" w:rsidRPr="00910EA0">
                <w:rPr>
                  <w:rStyle w:val="Hyperlink"/>
                  <w:rFonts w:ascii="Verdana" w:hAnsi="Verdana"/>
                  <w:sz w:val="18"/>
                  <w:szCs w:val="18"/>
                </w:rPr>
                <w:t>https://ec.europa.eu/eurostat/web/rural-development/methodology</w:t>
              </w:r>
            </w:hyperlink>
          </w:p>
        </w:tc>
      </w:tr>
      <w:tr w:rsidR="004F1363" w:rsidRPr="00C34DE9" w14:paraId="5C65C2FB"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55E7F8CD"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B55D87"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F40C4D6" w14:textId="77777777" w:rsidR="004F1363" w:rsidRPr="00C34DE9" w:rsidRDefault="004F1363" w:rsidP="00896E60">
            <w:pPr>
              <w:spacing w:after="60"/>
              <w:jc w:val="both"/>
              <w:rPr>
                <w:rFonts w:ascii="Verdana" w:hAnsi="Verdana"/>
                <w:sz w:val="18"/>
                <w:szCs w:val="18"/>
              </w:rPr>
            </w:pPr>
            <w:r w:rsidRPr="00C34DE9">
              <w:rPr>
                <w:rFonts w:ascii="Verdana" w:hAnsi="Verdana"/>
                <w:sz w:val="18"/>
                <w:szCs w:val="18"/>
              </w:rPr>
              <w:t xml:space="preserve">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 R</w:t>
            </w:r>
            <w:r w:rsidRPr="00C34DE9">
              <w:rPr>
                <w:rFonts w:ascii="Verdana" w:hAnsi="Verdana"/>
                <w:sz w:val="18"/>
                <w:szCs w:val="18"/>
              </w:rPr>
              <w:t>egional (NUTS 1, 2 and 3)</w:t>
            </w:r>
          </w:p>
          <w:p w14:paraId="60181FB1" w14:textId="64C405BF" w:rsidR="00EA5948" w:rsidRPr="00C34DE9" w:rsidDel="00F9611E" w:rsidRDefault="00EA5948" w:rsidP="6D2D090B">
            <w:pPr>
              <w:spacing w:after="60"/>
              <w:jc w:val="both"/>
              <w:rPr>
                <w:rFonts w:ascii="Verdana" w:hAnsi="Verdana"/>
                <w:color w:val="FF0000"/>
                <w:sz w:val="18"/>
                <w:szCs w:val="18"/>
              </w:rPr>
            </w:pPr>
            <w:r w:rsidRPr="00C34DE9">
              <w:rPr>
                <w:rFonts w:ascii="Verdana" w:hAnsi="Verdana"/>
                <w:sz w:val="18"/>
                <w:szCs w:val="18"/>
              </w:rPr>
              <w:t>by type of region (</w:t>
            </w:r>
            <w:r w:rsidRPr="00C34DE9" w:rsidDel="00E822F3">
              <w:rPr>
                <w:rFonts w:ascii="Verdana" w:hAnsi="Verdana"/>
                <w:sz w:val="18"/>
                <w:szCs w:val="18"/>
              </w:rPr>
              <w:t xml:space="preserve">predominantly </w:t>
            </w:r>
            <w:r w:rsidRPr="00C34DE9">
              <w:rPr>
                <w:rFonts w:ascii="Verdana" w:hAnsi="Verdana"/>
                <w:sz w:val="18"/>
                <w:szCs w:val="18"/>
              </w:rPr>
              <w:t xml:space="preserve">rural, intermediate and </w:t>
            </w:r>
            <w:r w:rsidRPr="00C34DE9" w:rsidDel="00E822F3">
              <w:rPr>
                <w:rFonts w:ascii="Verdana" w:hAnsi="Verdana"/>
                <w:sz w:val="18"/>
                <w:szCs w:val="18"/>
              </w:rPr>
              <w:t xml:space="preserve">predominantly </w:t>
            </w:r>
          </w:p>
          <w:p w14:paraId="32CC22F4" w14:textId="7A8111AC" w:rsidR="00EA5948" w:rsidRPr="00C34DE9" w:rsidDel="00F9611E" w:rsidRDefault="2A06D574" w:rsidP="00E822F3">
            <w:pPr>
              <w:spacing w:after="60"/>
              <w:jc w:val="both"/>
              <w:rPr>
                <w:rFonts w:ascii="Verdana" w:hAnsi="Verdana"/>
                <w:color w:val="FF0000"/>
                <w:sz w:val="18"/>
                <w:szCs w:val="18"/>
              </w:rPr>
            </w:pPr>
            <w:r w:rsidRPr="00C34DE9">
              <w:rPr>
                <w:rFonts w:ascii="Verdana" w:hAnsi="Verdana"/>
                <w:sz w:val="18"/>
                <w:szCs w:val="18"/>
              </w:rPr>
              <w:t>U</w:t>
            </w:r>
            <w:r w:rsidR="00EA5948" w:rsidRPr="00C34DE9">
              <w:rPr>
                <w:rFonts w:ascii="Verdana" w:hAnsi="Verdana"/>
                <w:sz w:val="18"/>
                <w:szCs w:val="18"/>
              </w:rPr>
              <w:t>rban)</w:t>
            </w:r>
          </w:p>
        </w:tc>
      </w:tr>
      <w:tr w:rsidR="004F1363" w:rsidRPr="00C34DE9" w14:paraId="1914E5F3" w14:textId="77777777" w:rsidTr="7CF3AEC2">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46F5F6F1"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50F5AA2" w14:textId="77777777" w:rsidR="004F1363" w:rsidRPr="00C34DE9" w:rsidRDefault="004F1363" w:rsidP="00896E60">
            <w:pPr>
              <w:spacing w:after="60"/>
              <w:jc w:val="both"/>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5BAF252B" w14:textId="77777777" w:rsidTr="7CF3AEC2">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51C660BC" w14:textId="77777777" w:rsidR="004F1363" w:rsidRPr="00C34DE9" w:rsidRDefault="00B55D87"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279F4BF" w14:textId="77777777" w:rsidR="004F1363" w:rsidRPr="00C34DE9" w:rsidRDefault="004F1363" w:rsidP="00896E60">
            <w:pPr>
              <w:spacing w:after="60"/>
              <w:jc w:val="both"/>
              <w:rPr>
                <w:rFonts w:ascii="Verdana" w:hAnsi="Verdana"/>
                <w:sz w:val="18"/>
                <w:szCs w:val="18"/>
                <w:lang w:val="en-US"/>
              </w:rPr>
            </w:pPr>
            <w:r w:rsidRPr="00C34DE9">
              <w:rPr>
                <w:rFonts w:ascii="Verdana" w:hAnsi="Verdana"/>
                <w:sz w:val="18"/>
                <w:szCs w:val="18"/>
                <w:lang w:val="en-US"/>
              </w:rPr>
              <w:t>1 year (national data) and 3 years (regional data)</w:t>
            </w:r>
          </w:p>
        </w:tc>
      </w:tr>
      <w:tr w:rsidR="004F1363" w:rsidRPr="00C34DE9" w14:paraId="1BD5533B" w14:textId="77777777" w:rsidTr="7CF3AEC2">
        <w:tc>
          <w:tcPr>
            <w:tcW w:w="2518" w:type="dxa"/>
            <w:tcBorders>
              <w:top w:val="single" w:sz="4" w:space="0" w:color="auto"/>
              <w:left w:val="single" w:sz="4" w:space="0" w:color="auto"/>
              <w:bottom w:val="single" w:sz="4" w:space="0" w:color="auto"/>
              <w:right w:val="single" w:sz="4" w:space="0" w:color="auto"/>
            </w:tcBorders>
            <w:vAlign w:val="center"/>
          </w:tcPr>
          <w:p w14:paraId="6931BE08" w14:textId="77777777" w:rsidR="004F1363" w:rsidRPr="00C34DE9" w:rsidRDefault="004F1363" w:rsidP="0054487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45429D3" w14:textId="77777777" w:rsidR="004F1363" w:rsidRPr="00C34DE9" w:rsidRDefault="004F1363" w:rsidP="00896E60">
            <w:pPr>
              <w:spacing w:after="60"/>
              <w:jc w:val="both"/>
              <w:rPr>
                <w:rFonts w:ascii="Verdana" w:eastAsia="Times New Roman" w:hAnsi="Verdana"/>
                <w:sz w:val="18"/>
                <w:szCs w:val="18"/>
              </w:rPr>
            </w:pPr>
            <w:r w:rsidRPr="00C34DE9">
              <w:rPr>
                <w:rFonts w:ascii="Verdana" w:hAnsi="Verdana"/>
                <w:sz w:val="18"/>
                <w:szCs w:val="18"/>
              </w:rPr>
              <w:t>As an average, this indicator does not measure the distribution of income within a given geographical area. Furthermore, non-monetary exchanges (production for self- consumption; public goods and externalities; barter; unpaid family labour) are not taken into account but can be substantial in some sectors (especially in agriculture) and regions.</w:t>
            </w:r>
          </w:p>
        </w:tc>
      </w:tr>
    </w:tbl>
    <w:p w14:paraId="61E6AE29" w14:textId="77777777" w:rsidR="00841E23" w:rsidRPr="00C34DE9" w:rsidRDefault="00841E23" w:rsidP="00544872">
      <w:pPr>
        <w:spacing w:after="60"/>
        <w:rPr>
          <w:rFonts w:ascii="Verdana" w:hAnsi="Verdana"/>
          <w:sz w:val="18"/>
          <w:szCs w:val="18"/>
        </w:rPr>
      </w:pPr>
    </w:p>
    <w:p w14:paraId="69B44FC8" w14:textId="77777777" w:rsidR="00841E23" w:rsidRPr="00C34DE9" w:rsidRDefault="00D0066A" w:rsidP="00544872">
      <w:pPr>
        <w:spacing w:after="60"/>
        <w:rPr>
          <w:rFonts w:ascii="Verdana" w:hAnsi="Verdana"/>
          <w:sz w:val="18"/>
          <w:szCs w:val="18"/>
        </w:rPr>
      </w:pPr>
      <w:r w:rsidRPr="00C34DE9">
        <w:rPr>
          <w:rFonts w:ascii="Verdana" w:hAnsi="Verdana"/>
          <w:b/>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4F1363" w:rsidRPr="00C34DE9" w14:paraId="5BFAB463"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45659348" w14:textId="77777777" w:rsidR="004F1363" w:rsidRPr="00C34DE9" w:rsidRDefault="004F1363" w:rsidP="5CB4B133">
            <w:pPr>
              <w:spacing w:after="60"/>
              <w:rPr>
                <w:rFonts w:ascii="Verdana" w:hAnsi="Verdana"/>
                <w:b/>
                <w:bCs/>
                <w:sz w:val="18"/>
                <w:szCs w:val="18"/>
              </w:rPr>
            </w:pPr>
            <w:bookmarkStart w:id="11" w:name="C10"/>
            <w:r w:rsidRPr="5CB4B133">
              <w:rPr>
                <w:rFonts w:ascii="Verdana" w:hAnsi="Verdana"/>
                <w:b/>
                <w:bCs/>
                <w:smallCaps/>
                <w:sz w:val="18"/>
                <w:szCs w:val="18"/>
              </w:rPr>
              <w:lastRenderedPageBreak/>
              <w:t>Indicator C.</w:t>
            </w:r>
            <w:r w:rsidRPr="5CB4B133">
              <w:rPr>
                <w:rFonts w:ascii="Verdana" w:hAnsi="Verdana"/>
                <w:b/>
                <w:bCs/>
                <w:sz w:val="18"/>
                <w:szCs w:val="18"/>
              </w:rPr>
              <w:t>10</w:t>
            </w:r>
            <w:bookmarkEnd w:id="11"/>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64D01303" w14:textId="6BB9155C" w:rsidR="00ED59D5" w:rsidRPr="00ED59D5" w:rsidRDefault="00ED59D5" w:rsidP="5CB4B133">
            <w:pPr>
              <w:spacing w:after="60"/>
              <w:rPr>
                <w:rFonts w:ascii="Verdana" w:hAnsi="Verdana"/>
                <w:b/>
                <w:bCs/>
                <w:caps/>
                <w:sz w:val="18"/>
                <w:szCs w:val="18"/>
              </w:rPr>
            </w:pPr>
            <w:r w:rsidRPr="5CB4B133">
              <w:rPr>
                <w:rFonts w:ascii="Verdana" w:hAnsi="Verdana"/>
                <w:b/>
                <w:bCs/>
                <w:sz w:val="18"/>
                <w:szCs w:val="18"/>
              </w:rPr>
              <w:t xml:space="preserve">Indicator </w:t>
            </w:r>
            <w:bookmarkStart w:id="12" w:name="I25"/>
            <w:r w:rsidRPr="5CB4B133">
              <w:rPr>
                <w:rFonts w:ascii="Verdana" w:hAnsi="Verdana"/>
                <w:b/>
                <w:bCs/>
                <w:caps/>
                <w:sz w:val="18"/>
                <w:szCs w:val="18"/>
              </w:rPr>
              <w:t>I.2</w:t>
            </w:r>
            <w:r w:rsidR="00235122">
              <w:rPr>
                <w:rFonts w:ascii="Verdana" w:hAnsi="Verdana"/>
                <w:b/>
                <w:bCs/>
                <w:caps/>
                <w:sz w:val="18"/>
                <w:szCs w:val="18"/>
              </w:rPr>
              <w:t>7</w:t>
            </w:r>
            <w:bookmarkEnd w:id="12"/>
            <w:r w:rsidRPr="5CB4B133">
              <w:rPr>
                <w:rFonts w:ascii="Verdana" w:hAnsi="Verdana"/>
                <w:b/>
                <w:bCs/>
                <w:caps/>
                <w:sz w:val="18"/>
                <w:szCs w:val="18"/>
              </w:rPr>
              <w:t xml:space="preserve"> </w:t>
            </w:r>
            <w:r w:rsidRPr="5CB4B133">
              <w:rPr>
                <w:rFonts w:ascii="Verdana" w:hAnsi="Verdana"/>
                <w:b/>
                <w:bCs/>
                <w:sz w:val="18"/>
                <w:szCs w:val="18"/>
              </w:rPr>
              <w:t>Promoting rural inclusion:</w:t>
            </w:r>
          </w:p>
          <w:p w14:paraId="1D763C79" w14:textId="77777777" w:rsidR="004F1363" w:rsidRPr="00C34DE9" w:rsidRDefault="00ED59D5" w:rsidP="00ED59D5">
            <w:pPr>
              <w:spacing w:after="60"/>
              <w:rPr>
                <w:rFonts w:ascii="Verdana" w:hAnsi="Verdana"/>
                <w:caps/>
                <w:sz w:val="18"/>
                <w:szCs w:val="18"/>
              </w:rPr>
            </w:pPr>
            <w:r>
              <w:rPr>
                <w:rFonts w:ascii="Verdana" w:hAnsi="Verdana"/>
                <w:sz w:val="18"/>
                <w:szCs w:val="18"/>
              </w:rPr>
              <w:t>E</w:t>
            </w:r>
            <w:r w:rsidRPr="00ED59D5">
              <w:rPr>
                <w:rFonts w:ascii="Verdana" w:hAnsi="Verdana"/>
                <w:sz w:val="18"/>
                <w:szCs w:val="18"/>
              </w:rPr>
              <w:t>volution of poverty index in rural areas</w:t>
            </w:r>
          </w:p>
        </w:tc>
      </w:tr>
      <w:tr w:rsidR="004F1363" w:rsidRPr="00C34DE9" w14:paraId="6A4E920E" w14:textId="77777777" w:rsidTr="790C88FB">
        <w:trPr>
          <w:trHeight w:val="60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8730C19"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0A3E32A" w14:textId="77777777" w:rsidR="004F1363" w:rsidRPr="00C34DE9" w:rsidRDefault="004F1363" w:rsidP="5CB4B133">
            <w:pPr>
              <w:spacing w:after="60"/>
              <w:jc w:val="center"/>
              <w:rPr>
                <w:rFonts w:ascii="Verdana" w:hAnsi="Verdana"/>
                <w:b/>
                <w:bCs/>
                <w:color w:val="808080"/>
                <w:sz w:val="18"/>
                <w:szCs w:val="18"/>
              </w:rPr>
            </w:pPr>
            <w:r w:rsidRPr="5CB4B133">
              <w:rPr>
                <w:rFonts w:ascii="Verdana" w:hAnsi="Verdana"/>
                <w:b/>
                <w:bCs/>
                <w:sz w:val="18"/>
                <w:szCs w:val="18"/>
              </w:rPr>
              <w:t>Poverty rate</w:t>
            </w:r>
          </w:p>
        </w:tc>
      </w:tr>
      <w:tr w:rsidR="004F1363" w:rsidRPr="00C34DE9" w14:paraId="60E284BF"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63460E15"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11972428" w14:textId="77777777" w:rsidR="004F1363" w:rsidRPr="00C34DE9" w:rsidRDefault="004F1363" w:rsidP="00785D45">
            <w:pPr>
              <w:spacing w:after="60"/>
              <w:jc w:val="both"/>
              <w:rPr>
                <w:rFonts w:ascii="Verdana" w:hAnsi="Verdana"/>
                <w:sz w:val="18"/>
                <w:szCs w:val="18"/>
              </w:rPr>
            </w:pPr>
            <w:r w:rsidRPr="5CB4B133">
              <w:rPr>
                <w:rFonts w:ascii="Verdana" w:hAnsi="Verdana"/>
                <w:b/>
                <w:bCs/>
                <w:sz w:val="18"/>
                <w:szCs w:val="18"/>
              </w:rPr>
              <w:t>The indicator is defined as the share of population at risk of poverty or social exclusion in rural areas</w:t>
            </w:r>
            <w:r w:rsidRPr="00C34DE9">
              <w:rPr>
                <w:rFonts w:ascii="Verdana" w:hAnsi="Verdana"/>
                <w:sz w:val="18"/>
                <w:szCs w:val="18"/>
              </w:rPr>
              <w:t>, as defined in the classification of the degree of urbanisation (DEGURBA). It is calculated as the percentage of people who are at risk of poverty or severely deprived or living in a household with low work intensity over the total population.</w:t>
            </w:r>
          </w:p>
          <w:p w14:paraId="6E52D4EA" w14:textId="29C07E89" w:rsidR="004F1363" w:rsidRPr="00C34DE9" w:rsidRDefault="004F1363" w:rsidP="790C88FB">
            <w:pPr>
              <w:pStyle w:val="NormalWeb"/>
              <w:spacing w:before="0" w:beforeAutospacing="0" w:after="60" w:afterAutospacing="0" w:line="276" w:lineRule="auto"/>
              <w:rPr>
                <w:rFonts w:ascii="Verdana" w:eastAsia="Calibri" w:hAnsi="Verdana"/>
                <w:sz w:val="18"/>
                <w:szCs w:val="18"/>
                <w:lang w:eastAsia="en-US"/>
              </w:rPr>
            </w:pPr>
            <w:r w:rsidRPr="00C34DE9">
              <w:rPr>
                <w:rFonts w:ascii="Verdana" w:eastAsia="Calibri" w:hAnsi="Verdana"/>
                <w:sz w:val="18"/>
                <w:szCs w:val="18"/>
                <w:lang w:eastAsia="en-US"/>
              </w:rPr>
              <w:t>The at-risk-of-poverty rate is the share of people with an equivalised disposable income (after social transfer) below the at-risk-of-poverty threshold, which is set at 60% of the national median equivalised disposable income after social transfers (</w:t>
            </w:r>
            <w:hyperlink r:id="rId55" w:history="1">
              <w:r w:rsidRPr="00C34DE9">
                <w:rPr>
                  <w:rStyle w:val="Hyperlink"/>
                  <w:rFonts w:ascii="Verdana" w:eastAsia="Calibri" w:hAnsi="Verdana"/>
                  <w:sz w:val="18"/>
                  <w:szCs w:val="18"/>
                  <w:lang w:eastAsia="en-US"/>
                </w:rPr>
                <w:t>http://ec.europa.eu/eurostat/statistics-explained/index.php/Glossary:At-risk-of-poverty_rate</w:t>
              </w:r>
            </w:hyperlink>
            <w:r w:rsidRPr="00C34DE9">
              <w:rPr>
                <w:rFonts w:ascii="Verdana" w:eastAsia="Calibri" w:hAnsi="Verdana"/>
                <w:sz w:val="18"/>
                <w:szCs w:val="18"/>
                <w:lang w:eastAsia="en-US"/>
              </w:rPr>
              <w:t>).</w:t>
            </w:r>
          </w:p>
          <w:p w14:paraId="7ABF12A9" w14:textId="2AF6DC7F" w:rsidR="004F1363" w:rsidRDefault="004F1363" w:rsidP="00785D45">
            <w:pPr>
              <w:spacing w:after="120"/>
              <w:jc w:val="both"/>
              <w:rPr>
                <w:rFonts w:ascii="Verdana" w:hAnsi="Verdana"/>
                <w:sz w:val="18"/>
                <w:szCs w:val="18"/>
              </w:rPr>
            </w:pPr>
            <w:r w:rsidRPr="00C34DE9">
              <w:rPr>
                <w:rFonts w:ascii="Verdana" w:hAnsi="Verdana"/>
                <w:sz w:val="18"/>
                <w:szCs w:val="18"/>
              </w:rPr>
              <w:t>The degree of rural poverty (share of population at risk of poverty</w:t>
            </w:r>
            <w:r w:rsidR="00410DDD">
              <w:rPr>
                <w:rFonts w:ascii="Verdana" w:hAnsi="Verdana"/>
                <w:sz w:val="18"/>
                <w:szCs w:val="18"/>
              </w:rPr>
              <w:t xml:space="preserve"> or social exclusion</w:t>
            </w:r>
            <w:r w:rsidRPr="00C34DE9">
              <w:rPr>
                <w:rFonts w:ascii="Verdana" w:hAnsi="Verdana"/>
                <w:sz w:val="18"/>
                <w:szCs w:val="18"/>
              </w:rPr>
              <w:t>) can be compared to the overall EU average, to the respective national average and/or to the average for intermediate and/or urban areas in a Member State or in the EU (choice to be made according to the policy objective).</w:t>
            </w:r>
          </w:p>
          <w:p w14:paraId="0F3BCEC4" w14:textId="77777777" w:rsidR="00AE59DD" w:rsidRDefault="00AE59DD" w:rsidP="007D3E04">
            <w:pPr>
              <w:spacing w:after="60"/>
              <w:jc w:val="both"/>
              <w:rPr>
                <w:rFonts w:ascii="Verdana" w:hAnsi="Verdana"/>
                <w:sz w:val="18"/>
                <w:szCs w:val="18"/>
              </w:rPr>
            </w:pPr>
            <w:r>
              <w:rPr>
                <w:rFonts w:ascii="Verdana" w:hAnsi="Verdana"/>
                <w:sz w:val="18"/>
                <w:szCs w:val="18"/>
              </w:rPr>
              <w:t xml:space="preserve">It consists of </w:t>
            </w:r>
            <w:r w:rsidR="005B3C23">
              <w:rPr>
                <w:rFonts w:ascii="Verdana" w:hAnsi="Verdana"/>
                <w:sz w:val="18"/>
                <w:szCs w:val="18"/>
              </w:rPr>
              <w:t xml:space="preserve">3 </w:t>
            </w:r>
            <w:r w:rsidR="00DD478B">
              <w:rPr>
                <w:rFonts w:ascii="Verdana" w:hAnsi="Verdana"/>
                <w:sz w:val="18"/>
                <w:szCs w:val="18"/>
              </w:rPr>
              <w:t>specific indicators</w:t>
            </w:r>
            <w:r w:rsidR="000937F0">
              <w:rPr>
                <w:rFonts w:ascii="Verdana" w:hAnsi="Verdana"/>
                <w:sz w:val="18"/>
                <w:szCs w:val="18"/>
              </w:rPr>
              <w:t xml:space="preserve">, expressed as </w:t>
            </w:r>
            <w:r w:rsidR="000937F0">
              <w:rPr>
                <w:rFonts w:ascii="Verdana" w:eastAsia="Times New Roman" w:hAnsi="Verdana"/>
                <w:sz w:val="18"/>
                <w:szCs w:val="18"/>
              </w:rPr>
              <w:t>share of total population</w:t>
            </w:r>
            <w:r>
              <w:rPr>
                <w:rFonts w:ascii="Verdana" w:hAnsi="Verdana"/>
                <w:sz w:val="18"/>
                <w:szCs w:val="18"/>
              </w:rPr>
              <w:t>:</w:t>
            </w:r>
          </w:p>
          <w:p w14:paraId="0477E1F0" w14:textId="761D4105" w:rsidR="00AE59DD" w:rsidRPr="007D3E04" w:rsidRDefault="00AE59DD" w:rsidP="00665997">
            <w:pPr>
              <w:pStyle w:val="ListParagraph"/>
              <w:numPr>
                <w:ilvl w:val="0"/>
                <w:numId w:val="68"/>
              </w:numPr>
              <w:spacing w:after="120"/>
              <w:jc w:val="both"/>
              <w:rPr>
                <w:rFonts w:ascii="Verdana" w:hAnsi="Verdana"/>
                <w:b/>
                <w:bCs/>
                <w:sz w:val="18"/>
                <w:szCs w:val="18"/>
              </w:rPr>
            </w:pPr>
            <w:r w:rsidRPr="3F4AE0BD">
              <w:rPr>
                <w:rFonts w:ascii="Verdana" w:hAnsi="Verdana"/>
                <w:b/>
                <w:bCs/>
                <w:sz w:val="18"/>
                <w:szCs w:val="18"/>
              </w:rPr>
              <w:t xml:space="preserve">total </w:t>
            </w:r>
            <w:r w:rsidR="00240500" w:rsidRPr="3F4AE0BD">
              <w:rPr>
                <w:rFonts w:ascii="Verdana" w:hAnsi="Verdana"/>
                <w:b/>
                <w:bCs/>
                <w:sz w:val="18"/>
                <w:szCs w:val="18"/>
              </w:rPr>
              <w:t xml:space="preserve">poverty </w:t>
            </w:r>
            <w:r w:rsidRPr="3F4AE0BD">
              <w:rPr>
                <w:rFonts w:ascii="Verdana" w:hAnsi="Verdana"/>
                <w:b/>
                <w:bCs/>
                <w:sz w:val="18"/>
                <w:szCs w:val="18"/>
              </w:rPr>
              <w:t>rate</w:t>
            </w:r>
          </w:p>
          <w:p w14:paraId="06237887" w14:textId="5B81BAA2" w:rsidR="00AE59DD" w:rsidRPr="007D3E04" w:rsidRDefault="00240500" w:rsidP="00665997">
            <w:pPr>
              <w:pStyle w:val="ListParagraph"/>
              <w:numPr>
                <w:ilvl w:val="0"/>
                <w:numId w:val="68"/>
              </w:numPr>
              <w:spacing w:after="120"/>
              <w:jc w:val="both"/>
              <w:rPr>
                <w:rFonts w:ascii="Verdana" w:hAnsi="Verdana"/>
                <w:b/>
                <w:bCs/>
                <w:sz w:val="18"/>
                <w:szCs w:val="18"/>
              </w:rPr>
            </w:pPr>
            <w:r w:rsidRPr="006765FD">
              <w:rPr>
                <w:rFonts w:ascii="Verdana" w:hAnsi="Verdana"/>
                <w:b/>
                <w:bCs/>
                <w:sz w:val="18"/>
                <w:szCs w:val="18"/>
                <w:shd w:val="clear" w:color="auto" w:fill="00B0F0"/>
              </w:rPr>
              <w:t xml:space="preserve">poverty </w:t>
            </w:r>
            <w:r w:rsidR="00410DDD">
              <w:rPr>
                <w:rFonts w:ascii="Verdana" w:hAnsi="Verdana"/>
                <w:b/>
                <w:bCs/>
                <w:sz w:val="18"/>
                <w:szCs w:val="18"/>
                <w:shd w:val="clear" w:color="auto" w:fill="00B0F0"/>
              </w:rPr>
              <w:t>rate by type of area</w:t>
            </w:r>
          </w:p>
          <w:p w14:paraId="19D37956" w14:textId="7A1E312A" w:rsidR="00504583" w:rsidRPr="00504583" w:rsidRDefault="00240500" w:rsidP="00665997">
            <w:pPr>
              <w:pStyle w:val="ListParagraph"/>
              <w:numPr>
                <w:ilvl w:val="0"/>
                <w:numId w:val="68"/>
              </w:numPr>
              <w:spacing w:after="120"/>
              <w:jc w:val="both"/>
            </w:pPr>
            <w:r w:rsidRPr="3F4AE0BD">
              <w:rPr>
                <w:rFonts w:ascii="Verdana" w:hAnsi="Verdana"/>
                <w:b/>
                <w:bCs/>
                <w:sz w:val="18"/>
                <w:szCs w:val="18"/>
              </w:rPr>
              <w:t xml:space="preserve">poverty </w:t>
            </w:r>
            <w:r w:rsidR="00504583" w:rsidRPr="3F4AE0BD">
              <w:rPr>
                <w:rFonts w:ascii="Verdana" w:hAnsi="Verdana"/>
                <w:b/>
                <w:bCs/>
                <w:sz w:val="18"/>
                <w:szCs w:val="18"/>
              </w:rPr>
              <w:t>rate by sex</w:t>
            </w:r>
            <w:r w:rsidR="00726CA6" w:rsidRPr="3F4AE0BD">
              <w:rPr>
                <w:b/>
                <w:bCs/>
              </w:rPr>
              <w:t xml:space="preserve"> </w:t>
            </w:r>
            <w:r w:rsidR="000937F0">
              <w:t>(at national level only)</w:t>
            </w:r>
          </w:p>
        </w:tc>
      </w:tr>
      <w:tr w:rsidR="004F1363" w:rsidRPr="00C34DE9" w14:paraId="4F9EFFEB"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D0B8F8A"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A112AAE" w14:textId="736150E5" w:rsidR="00504583" w:rsidRPr="00C34DE9" w:rsidRDefault="00B8041A" w:rsidP="000937F0">
            <w:pPr>
              <w:spacing w:after="60"/>
              <w:rPr>
                <w:rFonts w:ascii="Verdana" w:hAnsi="Verdana"/>
                <w:sz w:val="18"/>
                <w:szCs w:val="18"/>
              </w:rPr>
            </w:pPr>
            <w:r>
              <w:rPr>
                <w:rFonts w:ascii="Verdana" w:eastAsia="Times New Roman" w:hAnsi="Verdana"/>
                <w:sz w:val="18"/>
                <w:szCs w:val="18"/>
              </w:rPr>
              <w:t>1</w:t>
            </w:r>
            <w:r w:rsidR="000937F0">
              <w:rPr>
                <w:rFonts w:ascii="Verdana" w:eastAsia="Times New Roman" w:hAnsi="Verdana"/>
                <w:sz w:val="18"/>
                <w:szCs w:val="18"/>
              </w:rPr>
              <w:t>-3: %</w:t>
            </w:r>
            <w:r w:rsidR="00726CA6">
              <w:rPr>
                <w:rFonts w:ascii="Verdana" w:eastAsia="Times New Roman" w:hAnsi="Verdana"/>
                <w:sz w:val="18"/>
                <w:szCs w:val="18"/>
              </w:rPr>
              <w:t xml:space="preserve"> </w:t>
            </w:r>
          </w:p>
        </w:tc>
      </w:tr>
      <w:tr w:rsidR="004F1363" w:rsidRPr="00C34DE9" w14:paraId="0426C838"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1CCC8BE" w14:textId="77777777" w:rsidR="004F1363" w:rsidRPr="00C34DE9" w:rsidRDefault="004F1363"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83DE9DB" w14:textId="77777777" w:rsidR="004F1363" w:rsidRPr="00C34DE9" w:rsidRDefault="004F1363" w:rsidP="00544872">
            <w:pPr>
              <w:spacing w:after="60"/>
              <w:rPr>
                <w:rFonts w:ascii="Verdana" w:eastAsia="Times New Roman" w:hAnsi="Verdana"/>
                <w:sz w:val="18"/>
                <w:szCs w:val="18"/>
              </w:rPr>
            </w:pPr>
            <w:r w:rsidRPr="00C34DE9">
              <w:rPr>
                <w:rFonts w:ascii="Verdana" w:eastAsia="Times New Roman" w:hAnsi="Verdana"/>
                <w:sz w:val="18"/>
                <w:szCs w:val="18"/>
              </w:rPr>
              <w:t>Eurostat – Survey on income and living conditions (SILC)</w:t>
            </w:r>
          </w:p>
          <w:p w14:paraId="0A413F51" w14:textId="77777777" w:rsidR="004F1363" w:rsidRPr="00C34DE9" w:rsidRDefault="004F1363" w:rsidP="00544872">
            <w:pPr>
              <w:spacing w:after="60"/>
              <w:rPr>
                <w:rFonts w:ascii="Verdana" w:eastAsia="Times New Roman" w:hAnsi="Verdana"/>
                <w:sz w:val="18"/>
                <w:szCs w:val="18"/>
              </w:rPr>
            </w:pPr>
            <w:r w:rsidRPr="00C34DE9">
              <w:rPr>
                <w:rFonts w:ascii="Verdana" w:eastAsia="Times New Roman" w:hAnsi="Verdana"/>
                <w:sz w:val="18"/>
                <w:szCs w:val="18"/>
              </w:rPr>
              <w:t>Eurostat – Degree of urbanisation</w:t>
            </w:r>
          </w:p>
        </w:tc>
      </w:tr>
      <w:tr w:rsidR="004F1363" w:rsidRPr="00C34DE9" w14:paraId="08253D4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EDBABE3"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C5E0F5D" w14:textId="77777777" w:rsidR="004F1363" w:rsidRPr="00C34DE9" w:rsidRDefault="004F1363" w:rsidP="00544872">
            <w:pPr>
              <w:spacing w:after="60"/>
              <w:rPr>
                <w:rFonts w:ascii="Verdana" w:hAnsi="Verdana"/>
                <w:sz w:val="18"/>
                <w:szCs w:val="18"/>
              </w:rPr>
            </w:pPr>
            <w:r w:rsidRPr="00C34DE9">
              <w:rPr>
                <w:rFonts w:ascii="Verdana" w:hAnsi="Verdana"/>
                <w:sz w:val="18"/>
                <w:szCs w:val="18"/>
              </w:rPr>
              <w:t xml:space="preserve">National data: table </w:t>
            </w:r>
            <w:r w:rsidR="004F3E30" w:rsidRPr="004F3E30">
              <w:rPr>
                <w:rFonts w:ascii="Verdana" w:hAnsi="Verdana"/>
                <w:sz w:val="18"/>
                <w:szCs w:val="18"/>
              </w:rPr>
              <w:t xml:space="preserve">People at risk of poverty or social exclusion by age and sex </w:t>
            </w:r>
            <w:r w:rsidR="001E71E9">
              <w:rPr>
                <w:rFonts w:ascii="Verdana" w:hAnsi="Verdana"/>
                <w:sz w:val="18"/>
                <w:szCs w:val="18"/>
              </w:rPr>
              <w:t>[</w:t>
            </w:r>
            <w:hyperlink r:id="rId56" w:history="1">
              <w:r w:rsidRPr="00C34DE9">
                <w:rPr>
                  <w:rStyle w:val="Hyperlink"/>
                  <w:rFonts w:ascii="Verdana" w:hAnsi="Verdana" w:cs="Calibri"/>
                  <w:sz w:val="18"/>
                  <w:szCs w:val="18"/>
                </w:rPr>
                <w:t>ilc_peps01</w:t>
              </w:r>
            </w:hyperlink>
            <w:r w:rsidR="001E71E9">
              <w:rPr>
                <w:lang w:val="pt-PT"/>
              </w:rPr>
              <w:t>]</w:t>
            </w:r>
          </w:p>
          <w:p w14:paraId="2F802BD7" w14:textId="77777777" w:rsidR="00C97FD0" w:rsidRDefault="00C97FD0" w:rsidP="00544872">
            <w:pPr>
              <w:spacing w:after="60"/>
              <w:rPr>
                <w:rFonts w:ascii="Verdana" w:hAnsi="Verdana"/>
                <w:sz w:val="18"/>
                <w:szCs w:val="18"/>
              </w:rPr>
            </w:pPr>
            <w:r w:rsidRPr="00C34DE9">
              <w:rPr>
                <w:rFonts w:ascii="Verdana" w:hAnsi="Verdana"/>
                <w:sz w:val="18"/>
                <w:szCs w:val="18"/>
              </w:rPr>
              <w:t xml:space="preserve">National data, by degree of urbanisation: table </w:t>
            </w:r>
            <w:r>
              <w:rPr>
                <w:rFonts w:ascii="Verdana" w:hAnsi="Verdana"/>
                <w:sz w:val="18"/>
                <w:szCs w:val="18"/>
              </w:rPr>
              <w:t>[</w:t>
            </w:r>
            <w:hyperlink r:id="rId57" w:history="1">
              <w:r w:rsidRPr="00C34DE9">
                <w:rPr>
                  <w:rStyle w:val="Hyperlink"/>
                  <w:rFonts w:ascii="Verdana" w:hAnsi="Verdana" w:cs="Calibri"/>
                  <w:sz w:val="18"/>
                  <w:szCs w:val="18"/>
                </w:rPr>
                <w:t>ilc_peps13</w:t>
              </w:r>
            </w:hyperlink>
            <w:r>
              <w:rPr>
                <w:lang w:val="pt-PT"/>
              </w:rPr>
              <w:t>]</w:t>
            </w:r>
          </w:p>
          <w:p w14:paraId="2C099EFE" w14:textId="7FF387FE" w:rsidR="004F1363" w:rsidRPr="00C34DE9" w:rsidRDefault="004F1363" w:rsidP="006F3763">
            <w:pPr>
              <w:spacing w:after="60"/>
              <w:rPr>
                <w:rFonts w:ascii="Verdana" w:hAnsi="Verdana"/>
                <w:sz w:val="18"/>
                <w:szCs w:val="18"/>
              </w:rPr>
            </w:pPr>
            <w:r w:rsidRPr="00C34DE9">
              <w:rPr>
                <w:rFonts w:ascii="Verdana" w:hAnsi="Verdana"/>
                <w:sz w:val="18"/>
                <w:szCs w:val="18"/>
              </w:rPr>
              <w:t xml:space="preserve">Regional data: table </w:t>
            </w:r>
            <w:r w:rsidR="001E71E9">
              <w:rPr>
                <w:rFonts w:ascii="Verdana" w:hAnsi="Verdana"/>
                <w:sz w:val="18"/>
                <w:szCs w:val="18"/>
              </w:rPr>
              <w:t>[</w:t>
            </w:r>
            <w:hyperlink r:id="rId58" w:history="1">
              <w:r w:rsidRPr="00C34DE9">
                <w:rPr>
                  <w:rStyle w:val="Hyperlink"/>
                  <w:rFonts w:ascii="Verdana" w:hAnsi="Verdana" w:cs="Calibri"/>
                  <w:sz w:val="18"/>
                  <w:szCs w:val="18"/>
                </w:rPr>
                <w:t>ilc_peps11</w:t>
              </w:r>
            </w:hyperlink>
            <w:r w:rsidR="001E71E9">
              <w:rPr>
                <w:lang w:val="pt-PT"/>
              </w:rPr>
              <w:t>]</w:t>
            </w:r>
            <w:r w:rsidRPr="00C34DE9">
              <w:rPr>
                <w:rFonts w:ascii="Verdana" w:hAnsi="Verdana"/>
                <w:sz w:val="18"/>
                <w:szCs w:val="18"/>
              </w:rPr>
              <w:t xml:space="preserve"> (regional data are not available for some MS)</w:t>
            </w:r>
          </w:p>
        </w:tc>
      </w:tr>
      <w:tr w:rsidR="004F1363" w:rsidRPr="00C34DE9" w14:paraId="147337D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7ADBAAC" w14:textId="77777777" w:rsidR="004F1363" w:rsidRPr="00C34DE9" w:rsidRDefault="004F1363" w:rsidP="5CB4B133">
            <w:pPr>
              <w:spacing w:after="60"/>
              <w:rPr>
                <w:rFonts w:ascii="Verdana" w:hAnsi="Verdana"/>
                <w:b/>
                <w:bCs/>
                <w:sz w:val="18"/>
                <w:szCs w:val="18"/>
              </w:rPr>
            </w:pPr>
            <w:r w:rsidRPr="5CB4B133">
              <w:rPr>
                <w:rFonts w:ascii="Verdana" w:hAnsi="Verdana"/>
                <w:b/>
                <w:bCs/>
                <w:sz w:val="18"/>
                <w:szCs w:val="18"/>
              </w:rPr>
              <w:t xml:space="preserve">Data collection </w:t>
            </w:r>
            <w:r w:rsidR="00EA5948"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EDF0A15" w14:textId="77777777" w:rsidR="004F1363" w:rsidRPr="00C34DE9" w:rsidRDefault="004F1363" w:rsidP="00544872">
            <w:pPr>
              <w:spacing w:after="60"/>
              <w:rPr>
                <w:rFonts w:ascii="Verdana" w:hAnsi="Verdana"/>
                <w:sz w:val="18"/>
                <w:szCs w:val="18"/>
              </w:rPr>
            </w:pPr>
            <w:r w:rsidRPr="00C34DE9">
              <w:rPr>
                <w:rFonts w:ascii="Verdana" w:hAnsi="Verdana"/>
                <w:sz w:val="18"/>
                <w:szCs w:val="18"/>
              </w:rPr>
              <w:t xml:space="preserve">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 R</w:t>
            </w:r>
            <w:r w:rsidRPr="00C34DE9">
              <w:rPr>
                <w:rFonts w:ascii="Verdana" w:hAnsi="Verdana"/>
                <w:sz w:val="18"/>
                <w:szCs w:val="18"/>
              </w:rPr>
              <w:t>egional (NUTS 1 and 2)</w:t>
            </w:r>
          </w:p>
          <w:p w14:paraId="4D92D146" w14:textId="3CB5109D" w:rsidR="00EA5948" w:rsidRPr="00C34DE9" w:rsidDel="00F9611E" w:rsidRDefault="00DE33BA" w:rsidP="00544872">
            <w:pPr>
              <w:spacing w:after="60"/>
              <w:rPr>
                <w:rFonts w:ascii="Verdana" w:hAnsi="Verdana"/>
                <w:color w:val="FF0000"/>
                <w:sz w:val="18"/>
                <w:szCs w:val="18"/>
              </w:rPr>
            </w:pPr>
            <w:r>
              <w:rPr>
                <w:rFonts w:ascii="Verdana" w:hAnsi="Verdana"/>
                <w:sz w:val="18"/>
                <w:szCs w:val="18"/>
              </w:rPr>
              <w:t>B</w:t>
            </w:r>
            <w:r w:rsidR="00EA5948" w:rsidRPr="00C34DE9">
              <w:rPr>
                <w:rFonts w:ascii="Verdana" w:hAnsi="Verdana"/>
                <w:sz w:val="18"/>
                <w:szCs w:val="18"/>
              </w:rPr>
              <w:t xml:space="preserve">y degree of urbanisation (rural areas, towns and suburbs, cities) </w:t>
            </w:r>
          </w:p>
        </w:tc>
      </w:tr>
      <w:tr w:rsidR="004F1363" w:rsidRPr="00C34DE9" w14:paraId="2726774A"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2331B235" w14:textId="77777777" w:rsidR="004F1363" w:rsidRPr="00C34DE9" w:rsidRDefault="004F1363"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48E6E33" w14:textId="77777777" w:rsidR="004F1363" w:rsidRPr="00C34DE9" w:rsidRDefault="004F1363" w:rsidP="00544872">
            <w:pPr>
              <w:spacing w:after="60"/>
              <w:rPr>
                <w:rFonts w:ascii="Verdana" w:eastAsia="Times New Roman" w:hAnsi="Verdana"/>
                <w:sz w:val="18"/>
                <w:szCs w:val="18"/>
              </w:rPr>
            </w:pPr>
            <w:r w:rsidRPr="00C34DE9">
              <w:rPr>
                <w:rFonts w:ascii="Verdana" w:eastAsia="Times New Roman" w:hAnsi="Verdana"/>
                <w:sz w:val="18"/>
                <w:szCs w:val="18"/>
              </w:rPr>
              <w:t>Annual</w:t>
            </w:r>
          </w:p>
        </w:tc>
      </w:tr>
      <w:tr w:rsidR="004F1363" w:rsidRPr="00C34DE9" w14:paraId="76F12957"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09BB26C8" w14:textId="77777777" w:rsidR="004F1363" w:rsidRPr="00C34DE9" w:rsidRDefault="00EA5948"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BCB7269" w14:textId="77777777" w:rsidR="004F1363" w:rsidRPr="00C34DE9" w:rsidRDefault="004F1363" w:rsidP="00544872">
            <w:pPr>
              <w:spacing w:after="60"/>
              <w:rPr>
                <w:rFonts w:ascii="Verdana" w:hAnsi="Verdana"/>
                <w:sz w:val="18"/>
                <w:szCs w:val="18"/>
                <w:lang w:val="en-US"/>
              </w:rPr>
            </w:pPr>
            <w:r w:rsidRPr="00C34DE9">
              <w:rPr>
                <w:rFonts w:ascii="Verdana" w:hAnsi="Verdana"/>
                <w:sz w:val="18"/>
                <w:szCs w:val="18"/>
                <w:lang w:val="en-US"/>
              </w:rPr>
              <w:t xml:space="preserve">2 years </w:t>
            </w:r>
          </w:p>
        </w:tc>
      </w:tr>
      <w:tr w:rsidR="004F1363" w:rsidRPr="00C34DE9" w14:paraId="1B0A376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CCBF0E9" w14:textId="77777777" w:rsidR="004F1363" w:rsidRPr="00C34DE9" w:rsidRDefault="004F1363" w:rsidP="0054487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2524A63" w14:textId="76519733" w:rsidR="00D107B8" w:rsidRDefault="00D107B8" w:rsidP="00785D45">
            <w:pPr>
              <w:spacing w:after="60"/>
              <w:rPr>
                <w:rFonts w:ascii="Verdana" w:hAnsi="Verdana"/>
                <w:sz w:val="18"/>
                <w:szCs w:val="18"/>
              </w:rPr>
            </w:pPr>
          </w:p>
          <w:p w14:paraId="162B6D3B" w14:textId="33227A30" w:rsidR="004F1363" w:rsidRPr="00C34DE9" w:rsidRDefault="00D107B8" w:rsidP="00785D45">
            <w:pPr>
              <w:spacing w:after="60"/>
              <w:rPr>
                <w:rFonts w:ascii="Verdana" w:hAnsi="Verdana"/>
                <w:sz w:val="18"/>
                <w:szCs w:val="18"/>
              </w:rPr>
            </w:pPr>
            <w:r w:rsidRPr="3F4AE0BD">
              <w:rPr>
                <w:rFonts w:ascii="Verdana" w:hAnsi="Verdana"/>
                <w:b/>
                <w:bCs/>
                <w:sz w:val="18"/>
                <w:szCs w:val="18"/>
              </w:rPr>
              <w:t>This indicator is also used for the EU reporting on UN Sustainable Development Goals.</w:t>
            </w:r>
          </w:p>
        </w:tc>
      </w:tr>
    </w:tbl>
    <w:p w14:paraId="71FBD1B0" w14:textId="77777777" w:rsidR="00DD2480" w:rsidRPr="00C34DE9" w:rsidRDefault="004F5461">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DD2480" w:rsidRPr="00C34DE9" w14:paraId="5F9EAD4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64A84F63" w14:textId="77777777" w:rsidR="00DD2480" w:rsidRPr="00C34DE9" w:rsidRDefault="00DD2480" w:rsidP="5CB4B133">
            <w:pPr>
              <w:spacing w:after="60"/>
              <w:rPr>
                <w:rFonts w:ascii="Verdana" w:hAnsi="Verdana"/>
                <w:b/>
                <w:bCs/>
                <w:sz w:val="18"/>
                <w:szCs w:val="18"/>
              </w:rPr>
            </w:pPr>
            <w:r w:rsidRPr="00C34DE9">
              <w:rPr>
                <w:rFonts w:ascii="Verdana" w:hAnsi="Verdana"/>
                <w:sz w:val="18"/>
                <w:szCs w:val="18"/>
              </w:rPr>
              <w:lastRenderedPageBreak/>
              <w:br w:type="page"/>
            </w:r>
            <w:bookmarkStart w:id="13" w:name="C11"/>
            <w:r w:rsidRPr="5CB4B133">
              <w:rPr>
                <w:rFonts w:ascii="Verdana" w:hAnsi="Verdana"/>
                <w:b/>
                <w:bCs/>
                <w:smallCaps/>
                <w:sz w:val="18"/>
                <w:szCs w:val="18"/>
              </w:rPr>
              <w:t>Indicator C.1</w:t>
            </w:r>
            <w:r w:rsidRPr="5CB4B133">
              <w:rPr>
                <w:rFonts w:ascii="Verdana" w:hAnsi="Verdana"/>
                <w:b/>
                <w:bCs/>
                <w:sz w:val="18"/>
                <w:szCs w:val="18"/>
              </w:rPr>
              <w:t>1</w:t>
            </w:r>
            <w:bookmarkEnd w:id="13"/>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27FA6BF2" w14:textId="77777777" w:rsidR="00ED59D5" w:rsidRPr="00ED59D5" w:rsidRDefault="00ED59D5" w:rsidP="5CB4B133">
            <w:pPr>
              <w:spacing w:after="60"/>
              <w:rPr>
                <w:rFonts w:ascii="Verdana" w:hAnsi="Verdana"/>
                <w:b/>
                <w:bCs/>
                <w:caps/>
                <w:sz w:val="18"/>
                <w:szCs w:val="18"/>
              </w:rPr>
            </w:pPr>
            <w:bookmarkStart w:id="14" w:name="I08"/>
            <w:r w:rsidRPr="5CB4B133">
              <w:rPr>
                <w:rFonts w:ascii="Verdana" w:hAnsi="Verdana"/>
                <w:b/>
                <w:bCs/>
                <w:sz w:val="18"/>
                <w:szCs w:val="18"/>
              </w:rPr>
              <w:t xml:space="preserve">Indicator </w:t>
            </w:r>
            <w:r w:rsidRPr="5CB4B133">
              <w:rPr>
                <w:rFonts w:ascii="Verdana" w:hAnsi="Verdana"/>
                <w:b/>
                <w:bCs/>
                <w:caps/>
                <w:sz w:val="18"/>
                <w:szCs w:val="18"/>
              </w:rPr>
              <w:t>I.8</w:t>
            </w:r>
            <w:bookmarkEnd w:id="14"/>
            <w:r w:rsidRPr="5CB4B133">
              <w:rPr>
                <w:rFonts w:ascii="Verdana" w:hAnsi="Verdana"/>
                <w:b/>
                <w:bCs/>
                <w:caps/>
                <w:sz w:val="18"/>
                <w:szCs w:val="18"/>
              </w:rPr>
              <w:t xml:space="preserve"> I</w:t>
            </w:r>
            <w:r w:rsidRPr="5CB4B133">
              <w:rPr>
                <w:rFonts w:ascii="Verdana" w:hAnsi="Verdana"/>
                <w:b/>
                <w:bCs/>
                <w:sz w:val="18"/>
                <w:szCs w:val="18"/>
              </w:rPr>
              <w:t>mproving farmers’ position in the food chain:</w:t>
            </w:r>
          </w:p>
          <w:p w14:paraId="4D0BFABB" w14:textId="77777777" w:rsidR="00DD2480" w:rsidRPr="00C34DE9" w:rsidRDefault="00ED59D5" w:rsidP="00ED59D5">
            <w:pPr>
              <w:spacing w:after="60"/>
              <w:rPr>
                <w:rFonts w:ascii="Verdana" w:hAnsi="Verdana"/>
                <w:caps/>
                <w:sz w:val="18"/>
                <w:szCs w:val="18"/>
              </w:rPr>
            </w:pPr>
            <w:r>
              <w:rPr>
                <w:rFonts w:ascii="Verdana" w:hAnsi="Verdana"/>
                <w:sz w:val="18"/>
                <w:szCs w:val="18"/>
              </w:rPr>
              <w:t>V</w:t>
            </w:r>
            <w:r w:rsidRPr="00ED59D5">
              <w:rPr>
                <w:rFonts w:ascii="Verdana" w:hAnsi="Verdana"/>
                <w:sz w:val="18"/>
                <w:szCs w:val="18"/>
              </w:rPr>
              <w:t>alue added for primary producers in the food chain</w:t>
            </w:r>
          </w:p>
        </w:tc>
      </w:tr>
      <w:tr w:rsidR="00DD2480" w:rsidRPr="00C34DE9" w14:paraId="08E7C615" w14:textId="77777777" w:rsidTr="790C88FB">
        <w:trPr>
          <w:trHeight w:val="466"/>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07042ED"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2C245543" w14:textId="48EA859A" w:rsidR="00DD2480" w:rsidRPr="00137DBC" w:rsidRDefault="00DD2480" w:rsidP="3F4AE0BD">
            <w:pPr>
              <w:spacing w:after="60"/>
              <w:jc w:val="center"/>
              <w:rPr>
                <w:b/>
                <w:bCs/>
                <w:color w:val="808080"/>
              </w:rPr>
            </w:pPr>
            <w:r w:rsidRPr="3F4AE0BD">
              <w:rPr>
                <w:rFonts w:ascii="Verdana" w:hAnsi="Verdana"/>
                <w:b/>
                <w:bCs/>
                <w:sz w:val="18"/>
                <w:szCs w:val="18"/>
              </w:rPr>
              <w:t xml:space="preserve">Gross value added </w:t>
            </w:r>
            <w:r w:rsidR="00EC026F" w:rsidRPr="3F4AE0BD">
              <w:rPr>
                <w:rFonts w:ascii="Verdana" w:hAnsi="Verdana"/>
                <w:b/>
                <w:bCs/>
                <w:sz w:val="18"/>
                <w:szCs w:val="18"/>
              </w:rPr>
              <w:t>by sector, by type of region, in agriculture and for primary producers</w:t>
            </w:r>
          </w:p>
        </w:tc>
      </w:tr>
      <w:tr w:rsidR="00DD2480" w:rsidRPr="00C34DE9" w14:paraId="7B12F600"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3EA6C5D5"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8CA6B77" w14:textId="0D5093B6" w:rsidR="00AE59DD" w:rsidRDefault="00AE59DD" w:rsidP="5D021C1E">
            <w:pPr>
              <w:pStyle w:val="RD-Indicatortabletext"/>
              <w:spacing w:after="60"/>
              <w:jc w:val="both"/>
            </w:pPr>
            <w:r w:rsidRPr="3F4AE0BD">
              <w:rPr>
                <w:rFonts w:cs="Times New Roman"/>
                <w:b/>
                <w:bCs/>
                <w:sz w:val="18"/>
                <w:szCs w:val="18"/>
                <w:lang w:eastAsia="en-US"/>
              </w:rPr>
              <w:t xml:space="preserve">The </w:t>
            </w:r>
            <w:r w:rsidR="00DD2480" w:rsidRPr="3F4AE0BD">
              <w:rPr>
                <w:rFonts w:cs="Times New Roman"/>
                <w:b/>
                <w:bCs/>
                <w:sz w:val="18"/>
                <w:szCs w:val="18"/>
                <w:lang w:eastAsia="en-US"/>
              </w:rPr>
              <w:t xml:space="preserve">Total Gross Value Added (GVA) </w:t>
            </w:r>
            <w:r w:rsidR="00DD2480" w:rsidRPr="00C34DE9">
              <w:rPr>
                <w:rFonts w:cs="Times New Roman"/>
                <w:sz w:val="18"/>
                <w:szCs w:val="18"/>
                <w:lang w:eastAsia="en-US"/>
              </w:rPr>
              <w:t>(at basic prices)</w:t>
            </w:r>
            <w:r w:rsidR="00DD2480" w:rsidRPr="002E3F6E">
              <w:rPr>
                <w:rFonts w:cs="Times New Roman"/>
                <w:sz w:val="18"/>
                <w:szCs w:val="18"/>
                <w:lang w:eastAsia="en-US"/>
              </w:rPr>
              <w:t xml:space="preserve">, </w:t>
            </w:r>
            <w:r w:rsidR="00DD2480" w:rsidRPr="00AE59DD">
              <w:rPr>
                <w:rFonts w:cs="Times New Roman"/>
                <w:sz w:val="18"/>
                <w:szCs w:val="18"/>
                <w:lang w:eastAsia="en-US"/>
              </w:rPr>
              <w:t>is defined as the value of output less the value of intermediate consumption</w:t>
            </w:r>
            <w:r w:rsidR="00EE0B20">
              <w:rPr>
                <w:rFonts w:cs="Times New Roman"/>
                <w:sz w:val="18"/>
                <w:szCs w:val="18"/>
                <w:lang w:eastAsia="en-US"/>
              </w:rPr>
              <w:t xml:space="preserve"> </w:t>
            </w:r>
            <w:r w:rsidR="00DD2480" w:rsidRPr="00AE59DD">
              <w:rPr>
                <w:rFonts w:cs="Times New Roman"/>
                <w:sz w:val="18"/>
                <w:szCs w:val="18"/>
                <w:lang w:eastAsia="en-US"/>
              </w:rPr>
              <w:t>Output is valued at basic prices, GVA is valued at basic prices and intermediate consumption is valued at purchasers’ prices.</w:t>
            </w:r>
          </w:p>
          <w:p w14:paraId="3889AB98" w14:textId="77777777" w:rsidR="00AE59DD" w:rsidRDefault="005B3C23" w:rsidP="00AE59DD">
            <w:pPr>
              <w:pStyle w:val="RD-Indicatortabletext"/>
              <w:spacing w:after="60"/>
              <w:jc w:val="both"/>
              <w:rPr>
                <w:rFonts w:cs="Times New Roman"/>
                <w:sz w:val="18"/>
                <w:szCs w:val="18"/>
                <w:lang w:eastAsia="en-US"/>
              </w:rPr>
            </w:pPr>
            <w:r>
              <w:rPr>
                <w:rFonts w:cs="Times New Roman"/>
                <w:sz w:val="18"/>
                <w:szCs w:val="18"/>
                <w:lang w:eastAsia="en-US"/>
              </w:rPr>
              <w:t>It consists of 5</w:t>
            </w:r>
            <w:r w:rsidR="00AE59DD">
              <w:rPr>
                <w:rFonts w:cs="Times New Roman"/>
                <w:sz w:val="18"/>
                <w:szCs w:val="18"/>
                <w:lang w:eastAsia="en-US"/>
              </w:rPr>
              <w:t xml:space="preserve"> </w:t>
            </w:r>
            <w:r w:rsidR="00DD478B">
              <w:rPr>
                <w:rFonts w:cs="Times New Roman"/>
                <w:sz w:val="18"/>
                <w:szCs w:val="18"/>
                <w:lang w:eastAsia="en-US"/>
              </w:rPr>
              <w:t>specific indicators</w:t>
            </w:r>
            <w:r w:rsidR="00AE59DD">
              <w:rPr>
                <w:rFonts w:cs="Times New Roman"/>
                <w:sz w:val="18"/>
                <w:szCs w:val="18"/>
                <w:lang w:eastAsia="en-US"/>
              </w:rPr>
              <w:t>:</w:t>
            </w:r>
          </w:p>
          <w:p w14:paraId="1488BE43" w14:textId="673F74AC" w:rsidR="00AE59DD" w:rsidRPr="007D3E04" w:rsidRDefault="00AE59DD" w:rsidP="00665997">
            <w:pPr>
              <w:pStyle w:val="RD-Indicatortabletext"/>
              <w:numPr>
                <w:ilvl w:val="0"/>
                <w:numId w:val="79"/>
              </w:numPr>
              <w:spacing w:after="60"/>
              <w:jc w:val="both"/>
              <w:rPr>
                <w:rFonts w:cs="Times New Roman"/>
                <w:b/>
                <w:bCs/>
                <w:sz w:val="18"/>
                <w:szCs w:val="18"/>
                <w:lang w:eastAsia="en-US"/>
              </w:rPr>
            </w:pPr>
            <w:r w:rsidRPr="3F4AE0BD">
              <w:rPr>
                <w:rFonts w:cs="Times New Roman"/>
                <w:b/>
                <w:bCs/>
                <w:sz w:val="18"/>
                <w:szCs w:val="18"/>
                <w:lang w:eastAsia="en-US"/>
              </w:rPr>
              <w:t>total</w:t>
            </w:r>
            <w:r w:rsidR="00414DCF" w:rsidRPr="3F4AE0BD">
              <w:rPr>
                <w:rFonts w:cs="Times New Roman"/>
                <w:b/>
                <w:bCs/>
                <w:sz w:val="18"/>
                <w:szCs w:val="18"/>
                <w:lang w:eastAsia="en-US"/>
              </w:rPr>
              <w:t xml:space="preserve"> GVA</w:t>
            </w:r>
          </w:p>
          <w:p w14:paraId="5CF7D439" w14:textId="2C0676EB" w:rsidR="00AE59DD" w:rsidRDefault="005B3C23" w:rsidP="00665997">
            <w:pPr>
              <w:pStyle w:val="RD-Indicatortabletext"/>
              <w:numPr>
                <w:ilvl w:val="0"/>
                <w:numId w:val="79"/>
              </w:numPr>
              <w:spacing w:after="60"/>
              <w:jc w:val="both"/>
              <w:rPr>
                <w:rFonts w:cs="Times New Roman"/>
                <w:sz w:val="18"/>
                <w:szCs w:val="18"/>
                <w:lang w:eastAsia="en-US"/>
              </w:rPr>
            </w:pPr>
            <w:r w:rsidRPr="3F4AE0BD">
              <w:rPr>
                <w:rFonts w:cs="Times New Roman"/>
                <w:b/>
                <w:bCs/>
                <w:sz w:val="18"/>
                <w:szCs w:val="18"/>
                <w:lang w:eastAsia="en-US"/>
              </w:rPr>
              <w:t xml:space="preserve">GVA </w:t>
            </w:r>
            <w:r w:rsidR="00AE59DD" w:rsidRPr="3F4AE0BD">
              <w:rPr>
                <w:rFonts w:cs="Times New Roman"/>
                <w:b/>
                <w:bCs/>
                <w:sz w:val="18"/>
                <w:szCs w:val="18"/>
                <w:lang w:eastAsia="en-US"/>
              </w:rPr>
              <w:t xml:space="preserve">by sector </w:t>
            </w:r>
            <w:r w:rsidR="00AE59DD" w:rsidRPr="00C34DE9">
              <w:rPr>
                <w:rFonts w:cs="Times New Roman"/>
                <w:sz w:val="18"/>
                <w:szCs w:val="18"/>
                <w:lang w:eastAsia="en-US"/>
              </w:rPr>
              <w:t>(primary, secondary, tertiary)</w:t>
            </w:r>
            <w:r w:rsidR="000937F0">
              <w:rPr>
                <w:rFonts w:cs="Times New Roman"/>
                <w:sz w:val="18"/>
                <w:szCs w:val="18"/>
                <w:lang w:eastAsia="en-US"/>
              </w:rPr>
              <w:t>, total and share of total GVA</w:t>
            </w:r>
          </w:p>
          <w:p w14:paraId="2A957E47" w14:textId="08560CA7" w:rsidR="00AE59DD" w:rsidRPr="000937F0" w:rsidRDefault="005B3C23" w:rsidP="00665997">
            <w:pPr>
              <w:pStyle w:val="RD-Indicatortabletext"/>
              <w:numPr>
                <w:ilvl w:val="0"/>
                <w:numId w:val="79"/>
              </w:numPr>
              <w:spacing w:after="60"/>
              <w:jc w:val="both"/>
              <w:rPr>
                <w:rFonts w:cs="Times New Roman"/>
                <w:sz w:val="18"/>
                <w:szCs w:val="18"/>
                <w:lang w:eastAsia="en-US"/>
              </w:rPr>
            </w:pPr>
            <w:r w:rsidRPr="3F4AE0BD">
              <w:rPr>
                <w:rFonts w:cs="Times New Roman"/>
                <w:b/>
                <w:bCs/>
                <w:sz w:val="18"/>
                <w:szCs w:val="18"/>
                <w:lang w:eastAsia="en-US"/>
              </w:rPr>
              <w:t xml:space="preserve">GVA </w:t>
            </w:r>
            <w:r w:rsidR="00AE59DD" w:rsidRPr="3F4AE0BD">
              <w:rPr>
                <w:rFonts w:cs="Times New Roman"/>
                <w:b/>
                <w:bCs/>
                <w:sz w:val="18"/>
                <w:szCs w:val="18"/>
                <w:lang w:eastAsia="en-US"/>
              </w:rPr>
              <w:t xml:space="preserve">by type of region </w:t>
            </w:r>
            <w:r w:rsidR="00AE59DD" w:rsidRPr="00C34DE9">
              <w:rPr>
                <w:rFonts w:cs="Times New Roman"/>
                <w:sz w:val="18"/>
                <w:szCs w:val="18"/>
                <w:lang w:eastAsia="en-US"/>
              </w:rPr>
              <w:t>(predominantly rural, intermedia</w:t>
            </w:r>
            <w:r w:rsidR="00AE59DD">
              <w:rPr>
                <w:rFonts w:cs="Times New Roman"/>
                <w:sz w:val="18"/>
                <w:szCs w:val="18"/>
                <w:lang w:eastAsia="en-US"/>
              </w:rPr>
              <w:t>te and predominantly urban)</w:t>
            </w:r>
            <w:r w:rsidR="000937F0">
              <w:rPr>
                <w:rFonts w:cs="Times New Roman"/>
                <w:sz w:val="18"/>
                <w:szCs w:val="18"/>
                <w:lang w:eastAsia="en-US"/>
              </w:rPr>
              <w:t>, total and share of total GVA</w:t>
            </w:r>
          </w:p>
          <w:p w14:paraId="441A2F07" w14:textId="1960C903" w:rsidR="00AE59DD" w:rsidRPr="007D3E04" w:rsidRDefault="005B3C23" w:rsidP="00665997">
            <w:pPr>
              <w:pStyle w:val="RD-Indicatortabletext"/>
              <w:numPr>
                <w:ilvl w:val="0"/>
                <w:numId w:val="79"/>
              </w:numPr>
              <w:spacing w:after="60"/>
              <w:jc w:val="both"/>
              <w:rPr>
                <w:rFonts w:cs="Times New Roman"/>
                <w:b/>
                <w:bCs/>
                <w:sz w:val="18"/>
                <w:szCs w:val="18"/>
                <w:lang w:eastAsia="en-US"/>
              </w:rPr>
            </w:pPr>
            <w:r w:rsidRPr="3F4AE0BD">
              <w:rPr>
                <w:rFonts w:cs="Times New Roman"/>
                <w:b/>
                <w:bCs/>
                <w:sz w:val="18"/>
                <w:szCs w:val="18"/>
                <w:lang w:eastAsia="en-US"/>
              </w:rPr>
              <w:t xml:space="preserve">GVA </w:t>
            </w:r>
            <w:r w:rsidR="00AE59DD" w:rsidRPr="3F4AE0BD">
              <w:rPr>
                <w:rFonts w:cs="Times New Roman"/>
                <w:b/>
                <w:bCs/>
                <w:sz w:val="18"/>
                <w:szCs w:val="18"/>
                <w:lang w:eastAsia="en-US"/>
              </w:rPr>
              <w:t>in agriculture</w:t>
            </w:r>
          </w:p>
          <w:p w14:paraId="5C9C8123" w14:textId="448FF5EF" w:rsidR="00AE59DD" w:rsidRPr="00785D45" w:rsidRDefault="00553180" w:rsidP="000F479B">
            <w:pPr>
              <w:pStyle w:val="RD-Indicatortabletext"/>
              <w:numPr>
                <w:ilvl w:val="0"/>
                <w:numId w:val="79"/>
              </w:numPr>
              <w:spacing w:after="60"/>
              <w:jc w:val="both"/>
              <w:rPr>
                <w:sz w:val="18"/>
                <w:szCs w:val="18"/>
              </w:rPr>
            </w:pPr>
            <w:r w:rsidRPr="790C88FB">
              <w:rPr>
                <w:rFonts w:eastAsiaTheme="minorEastAsia" w:cstheme="minorBidi"/>
                <w:b/>
                <w:bCs/>
                <w:sz w:val="18"/>
                <w:szCs w:val="18"/>
                <w:shd w:val="clear" w:color="auto" w:fill="00B0F0"/>
              </w:rPr>
              <w:t xml:space="preserve">Indicator I.8: </w:t>
            </w:r>
            <w:r w:rsidR="005B3C23" w:rsidRPr="790C88FB">
              <w:rPr>
                <w:rFonts w:eastAsiaTheme="minorEastAsia" w:cstheme="minorBidi"/>
                <w:b/>
                <w:bCs/>
                <w:sz w:val="18"/>
                <w:szCs w:val="18"/>
                <w:shd w:val="clear" w:color="auto" w:fill="00B0F0"/>
              </w:rPr>
              <w:t xml:space="preserve">GVA </w:t>
            </w:r>
            <w:r w:rsidR="00437AB6" w:rsidRPr="790C88FB">
              <w:rPr>
                <w:rFonts w:eastAsiaTheme="minorEastAsia" w:cstheme="minorBidi"/>
                <w:b/>
                <w:bCs/>
                <w:sz w:val="18"/>
                <w:szCs w:val="18"/>
                <w:shd w:val="clear" w:color="auto" w:fill="00B0F0"/>
              </w:rPr>
              <w:t>of</w:t>
            </w:r>
            <w:r w:rsidR="00AE59DD" w:rsidRPr="790C88FB">
              <w:rPr>
                <w:rFonts w:eastAsiaTheme="minorEastAsia" w:cstheme="minorBidi"/>
                <w:b/>
                <w:bCs/>
                <w:sz w:val="18"/>
                <w:szCs w:val="18"/>
                <w:shd w:val="clear" w:color="auto" w:fill="00B0F0"/>
              </w:rPr>
              <w:t xml:space="preserve"> primary producers</w:t>
            </w:r>
            <w:r w:rsidR="000937F0" w:rsidRPr="790C88FB">
              <w:rPr>
                <w:rFonts w:eastAsiaTheme="minorEastAsia" w:cstheme="minorBidi"/>
                <w:sz w:val="18"/>
                <w:szCs w:val="18"/>
                <w:shd w:val="clear" w:color="auto" w:fill="00B0F0"/>
              </w:rPr>
              <w:t>, total and</w:t>
            </w:r>
            <w:r w:rsidR="00AE59DD" w:rsidRPr="790C88FB">
              <w:rPr>
                <w:rFonts w:eastAsiaTheme="minorEastAsia" w:cstheme="minorBidi"/>
                <w:sz w:val="18"/>
                <w:szCs w:val="18"/>
                <w:shd w:val="clear" w:color="auto" w:fill="00B0F0"/>
              </w:rPr>
              <w:t xml:space="preserve"> share of the primary production  on the total value added generated by different participants of the food chain</w:t>
            </w:r>
            <w:r w:rsidR="00AE59DD" w:rsidRPr="790C88FB">
              <w:rPr>
                <w:rFonts w:eastAsiaTheme="minorEastAsia" w:cstheme="minorBidi"/>
                <w:b/>
                <w:bCs/>
                <w:sz w:val="18"/>
                <w:szCs w:val="18"/>
                <w:shd w:val="clear" w:color="auto" w:fill="00B0F0"/>
              </w:rPr>
              <w:t xml:space="preserve"> </w:t>
            </w:r>
            <w:r w:rsidR="00AE59DD" w:rsidRPr="00C34DE9">
              <w:rPr>
                <w:sz w:val="18"/>
                <w:szCs w:val="18"/>
              </w:rPr>
              <w:t>(primary production, food manufacturing, food distribution and food service activities)</w:t>
            </w:r>
          </w:p>
        </w:tc>
      </w:tr>
      <w:tr w:rsidR="00DD2480" w:rsidRPr="00C34DE9" w14:paraId="100849E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74597C"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D36D897" w14:textId="642F692B" w:rsidR="00DD2480" w:rsidRPr="00C34DE9" w:rsidRDefault="00536A71" w:rsidP="00FF72D2">
            <w:pPr>
              <w:spacing w:after="60"/>
              <w:jc w:val="both"/>
              <w:rPr>
                <w:rFonts w:ascii="Verdana" w:eastAsia="Times New Roman" w:hAnsi="Verdana"/>
                <w:sz w:val="18"/>
                <w:szCs w:val="18"/>
              </w:rPr>
            </w:pPr>
            <w:r>
              <w:rPr>
                <w:rFonts w:ascii="Verdana" w:eastAsia="Times New Roman" w:hAnsi="Verdana"/>
                <w:sz w:val="18"/>
                <w:szCs w:val="18"/>
              </w:rPr>
              <w:t xml:space="preserve">1: </w:t>
            </w:r>
            <w:r w:rsidR="00DD2480" w:rsidRPr="00C34DE9">
              <w:rPr>
                <w:rFonts w:ascii="Verdana" w:eastAsia="Times New Roman" w:hAnsi="Verdana"/>
                <w:sz w:val="18"/>
                <w:szCs w:val="18"/>
              </w:rPr>
              <w:t>EUR million</w:t>
            </w:r>
          </w:p>
          <w:p w14:paraId="612722E7" w14:textId="08064276" w:rsidR="00DD2480" w:rsidRPr="00C34DE9" w:rsidRDefault="00536A71" w:rsidP="00FF72D2">
            <w:pPr>
              <w:spacing w:after="60"/>
              <w:jc w:val="both"/>
              <w:rPr>
                <w:rFonts w:ascii="Verdana" w:eastAsia="Times New Roman" w:hAnsi="Verdana"/>
                <w:sz w:val="18"/>
                <w:szCs w:val="18"/>
              </w:rPr>
            </w:pPr>
            <w:r>
              <w:rPr>
                <w:rFonts w:ascii="Verdana" w:eastAsia="Times New Roman" w:hAnsi="Verdana"/>
                <w:sz w:val="18"/>
                <w:szCs w:val="18"/>
              </w:rPr>
              <w:t xml:space="preserve">2: </w:t>
            </w:r>
            <w:r w:rsidR="00DD2480" w:rsidRPr="00C34DE9">
              <w:rPr>
                <w:rFonts w:ascii="Verdana" w:eastAsia="Times New Roman" w:hAnsi="Verdana"/>
                <w:sz w:val="18"/>
                <w:szCs w:val="18"/>
              </w:rPr>
              <w:t>EUR million and</w:t>
            </w:r>
            <w:r w:rsidR="00553180">
              <w:rPr>
                <w:rFonts w:ascii="Verdana" w:eastAsia="Times New Roman" w:hAnsi="Verdana"/>
                <w:sz w:val="18"/>
                <w:szCs w:val="18"/>
              </w:rPr>
              <w:t xml:space="preserve"> </w:t>
            </w:r>
            <w:r w:rsidR="000937F0">
              <w:rPr>
                <w:rFonts w:ascii="Verdana" w:eastAsia="Times New Roman" w:hAnsi="Verdana"/>
                <w:sz w:val="18"/>
                <w:szCs w:val="18"/>
              </w:rPr>
              <w:t>%</w:t>
            </w:r>
          </w:p>
          <w:p w14:paraId="13A33199" w14:textId="6FC35DE3" w:rsidR="00DD2480" w:rsidRPr="00C34DE9" w:rsidRDefault="00536A71" w:rsidP="00FF72D2">
            <w:pPr>
              <w:spacing w:after="60"/>
              <w:jc w:val="both"/>
              <w:rPr>
                <w:rFonts w:ascii="Verdana" w:eastAsia="Times New Roman" w:hAnsi="Verdana"/>
                <w:sz w:val="18"/>
                <w:szCs w:val="18"/>
              </w:rPr>
            </w:pPr>
            <w:r>
              <w:rPr>
                <w:rFonts w:ascii="Verdana" w:eastAsia="Times New Roman" w:hAnsi="Verdana"/>
                <w:sz w:val="18"/>
                <w:szCs w:val="18"/>
              </w:rPr>
              <w:t xml:space="preserve">3: </w:t>
            </w:r>
            <w:r w:rsidR="00DD2480" w:rsidRPr="00C34DE9">
              <w:rPr>
                <w:rFonts w:ascii="Verdana" w:eastAsia="Times New Roman" w:hAnsi="Verdana"/>
                <w:sz w:val="18"/>
                <w:szCs w:val="18"/>
              </w:rPr>
              <w:t>EUR million and</w:t>
            </w:r>
            <w:r w:rsidR="00553180">
              <w:rPr>
                <w:rFonts w:ascii="Verdana" w:eastAsia="Times New Roman" w:hAnsi="Verdana"/>
                <w:sz w:val="18"/>
                <w:szCs w:val="18"/>
              </w:rPr>
              <w:t xml:space="preserve"> </w:t>
            </w:r>
            <w:r w:rsidR="000937F0">
              <w:rPr>
                <w:rFonts w:ascii="Verdana" w:eastAsia="Times New Roman" w:hAnsi="Verdana"/>
                <w:sz w:val="18"/>
                <w:szCs w:val="18"/>
              </w:rPr>
              <w:t>%</w:t>
            </w:r>
          </w:p>
          <w:p w14:paraId="34ED55DD" w14:textId="545BB0D1" w:rsidR="00DD2480" w:rsidRPr="00536A71" w:rsidRDefault="00536A71" w:rsidP="00536A71">
            <w:pPr>
              <w:spacing w:after="60"/>
              <w:jc w:val="both"/>
              <w:rPr>
                <w:rFonts w:eastAsia="Times New Roman"/>
              </w:rPr>
            </w:pPr>
            <w:r>
              <w:rPr>
                <w:rFonts w:ascii="Verdana" w:eastAsia="Times New Roman" w:hAnsi="Verdana"/>
                <w:sz w:val="18"/>
                <w:szCs w:val="18"/>
              </w:rPr>
              <w:t xml:space="preserve">4: </w:t>
            </w:r>
            <w:r w:rsidR="00DD2480" w:rsidRPr="00536A71">
              <w:rPr>
                <w:rFonts w:eastAsia="Times New Roman"/>
              </w:rPr>
              <w:t xml:space="preserve">EUR million </w:t>
            </w:r>
          </w:p>
          <w:p w14:paraId="000662C8" w14:textId="5771C9BF" w:rsidR="00DD2480" w:rsidRPr="00C34DE9" w:rsidRDefault="00536A71" w:rsidP="000937F0">
            <w:pPr>
              <w:spacing w:after="60"/>
              <w:jc w:val="both"/>
              <w:rPr>
                <w:rFonts w:ascii="Verdana" w:eastAsia="Times New Roman" w:hAnsi="Verdana"/>
                <w:sz w:val="18"/>
                <w:szCs w:val="18"/>
              </w:rPr>
            </w:pPr>
            <w:r>
              <w:rPr>
                <w:rFonts w:ascii="Verdana" w:eastAsia="Times New Roman" w:hAnsi="Verdana"/>
                <w:sz w:val="18"/>
                <w:szCs w:val="18"/>
              </w:rPr>
              <w:t xml:space="preserve">5: </w:t>
            </w:r>
            <w:r w:rsidR="00DD2480" w:rsidRPr="00C34DE9">
              <w:rPr>
                <w:rFonts w:ascii="Verdana" w:eastAsia="Times New Roman" w:hAnsi="Verdana"/>
                <w:sz w:val="18"/>
                <w:szCs w:val="18"/>
              </w:rPr>
              <w:t>EUR million and</w:t>
            </w:r>
            <w:r w:rsidR="00553180">
              <w:rPr>
                <w:rFonts w:ascii="Verdana" w:eastAsia="Times New Roman" w:hAnsi="Verdana"/>
                <w:sz w:val="18"/>
                <w:szCs w:val="18"/>
              </w:rPr>
              <w:t xml:space="preserve"> </w:t>
            </w:r>
            <w:r w:rsidR="000937F0">
              <w:rPr>
                <w:rFonts w:ascii="Verdana" w:eastAsia="Times New Roman" w:hAnsi="Verdana"/>
                <w:sz w:val="18"/>
                <w:szCs w:val="18"/>
              </w:rPr>
              <w:t>%</w:t>
            </w:r>
          </w:p>
        </w:tc>
      </w:tr>
      <w:tr w:rsidR="00DD2480" w:rsidRPr="00C34DE9" w14:paraId="2A1AB4D1"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2907118F" w14:textId="77777777" w:rsidR="00DD2480" w:rsidRPr="00C34DE9" w:rsidRDefault="00DD2480"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0F3973C3" w14:textId="77777777" w:rsidR="00DD2480" w:rsidRPr="00C34DE9" w:rsidRDefault="00DD2480" w:rsidP="00FF72D2">
            <w:pPr>
              <w:spacing w:after="60"/>
              <w:jc w:val="both"/>
              <w:rPr>
                <w:rFonts w:ascii="Verdana" w:eastAsia="Times New Roman" w:hAnsi="Verdana"/>
                <w:sz w:val="18"/>
                <w:szCs w:val="18"/>
              </w:rPr>
            </w:pPr>
            <w:r w:rsidRPr="00C34DE9">
              <w:rPr>
                <w:rFonts w:ascii="Verdana" w:eastAsia="Times New Roman" w:hAnsi="Verdana"/>
                <w:sz w:val="18"/>
                <w:szCs w:val="18"/>
              </w:rPr>
              <w:t xml:space="preserve">Eurostat – National and Regional Economic Accounts, </w:t>
            </w:r>
            <w:r w:rsidRPr="00C34DE9">
              <w:rPr>
                <w:rFonts w:ascii="Verdana" w:hAnsi="Verdana"/>
                <w:sz w:val="18"/>
                <w:szCs w:val="18"/>
              </w:rPr>
              <w:t xml:space="preserve">Economic accounts for </w:t>
            </w:r>
            <w:r w:rsidR="00605D3D" w:rsidRPr="00C34DE9">
              <w:rPr>
                <w:rFonts w:ascii="Verdana" w:hAnsi="Verdana"/>
                <w:sz w:val="18"/>
                <w:szCs w:val="18"/>
              </w:rPr>
              <w:t>agriculture</w:t>
            </w:r>
            <w:r w:rsidRPr="00C34DE9">
              <w:rPr>
                <w:rFonts w:ascii="Verdana" w:hAnsi="Verdana"/>
                <w:sz w:val="18"/>
                <w:szCs w:val="18"/>
              </w:rPr>
              <w:t xml:space="preserve"> and Structural Business Statistics </w:t>
            </w:r>
          </w:p>
        </w:tc>
      </w:tr>
      <w:tr w:rsidR="00DD2480" w:rsidRPr="00C34DE9" w14:paraId="671DBB68"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D977982" w14:textId="77777777" w:rsidR="00DD2480" w:rsidRPr="00B840B2" w:rsidRDefault="00DD2480"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71D6A4A" w14:textId="77777777" w:rsidR="00CA3E26" w:rsidRDefault="00DD2480" w:rsidP="00CA3E26">
            <w:pPr>
              <w:spacing w:after="60"/>
              <w:jc w:val="both"/>
              <w:rPr>
                <w:rFonts w:ascii="Arial" w:hAnsi="Arial" w:cs="Arial"/>
                <w:sz w:val="20"/>
                <w:szCs w:val="20"/>
                <w:lang w:eastAsia="fr-BE"/>
              </w:rPr>
            </w:pPr>
            <w:r w:rsidRPr="00B840B2">
              <w:rPr>
                <w:rFonts w:ascii="Verdana" w:hAnsi="Verdana"/>
                <w:sz w:val="18"/>
                <w:szCs w:val="18"/>
              </w:rPr>
              <w:t>National</w:t>
            </w:r>
            <w:r w:rsidRPr="00C34DE9">
              <w:rPr>
                <w:rFonts w:ascii="Verdana" w:hAnsi="Verdana"/>
                <w:sz w:val="18"/>
                <w:szCs w:val="18"/>
                <w:lang w:val="pt-PT"/>
              </w:rPr>
              <w:t xml:space="preserve"> data</w:t>
            </w:r>
            <w:r w:rsidR="002E3F6E">
              <w:rPr>
                <w:rFonts w:ascii="Verdana" w:hAnsi="Verdana"/>
                <w:sz w:val="18"/>
                <w:szCs w:val="18"/>
                <w:lang w:val="pt-PT"/>
              </w:rPr>
              <w:t>:</w:t>
            </w:r>
            <w:r w:rsidRPr="00B840B2">
              <w:rPr>
                <w:rFonts w:ascii="Verdana" w:hAnsi="Verdana"/>
                <w:sz w:val="18"/>
                <w:szCs w:val="18"/>
              </w:rPr>
              <w:t xml:space="preserve"> table</w:t>
            </w:r>
            <w:r w:rsidRPr="00C34DE9">
              <w:rPr>
                <w:rFonts w:ascii="Verdana" w:hAnsi="Verdana"/>
                <w:sz w:val="18"/>
                <w:szCs w:val="18"/>
                <w:lang w:val="pt-PT"/>
              </w:rPr>
              <w:t xml:space="preserve"> </w:t>
            </w:r>
          </w:p>
          <w:p w14:paraId="5E83483C" w14:textId="5EDC623C" w:rsidR="00DD2480" w:rsidRPr="00CA3E26" w:rsidRDefault="003F0656" w:rsidP="00CA3E26">
            <w:pPr>
              <w:spacing w:after="0" w:line="240" w:lineRule="auto"/>
              <w:jc w:val="both"/>
              <w:rPr>
                <w:rFonts w:ascii="Verdana" w:hAnsi="Verdana"/>
                <w:sz w:val="18"/>
                <w:szCs w:val="18"/>
              </w:rPr>
            </w:pPr>
            <w:r>
              <w:rPr>
                <w:rFonts w:ascii="Verdana" w:hAnsi="Verdana"/>
                <w:sz w:val="18"/>
                <w:szCs w:val="18"/>
              </w:rPr>
              <w:t xml:space="preserve">1: </w:t>
            </w:r>
            <w:r w:rsidR="00CA3E26" w:rsidRPr="00CA3E26">
              <w:rPr>
                <w:rFonts w:ascii="Verdana" w:hAnsi="Verdana"/>
                <w:sz w:val="18"/>
                <w:szCs w:val="18"/>
              </w:rPr>
              <w:t>Gross value added and income by A*10 industry breakdowns</w:t>
            </w:r>
            <w:r w:rsidR="00CA3E26">
              <w:rPr>
                <w:rFonts w:ascii="Verdana" w:hAnsi="Verdana"/>
                <w:sz w:val="18"/>
                <w:szCs w:val="18"/>
              </w:rPr>
              <w:t xml:space="preserve"> </w:t>
            </w:r>
            <w:r w:rsidR="001E71E9">
              <w:rPr>
                <w:rFonts w:ascii="Verdana" w:hAnsi="Verdana"/>
                <w:sz w:val="18"/>
                <w:szCs w:val="18"/>
                <w:lang w:val="pt-PT"/>
              </w:rPr>
              <w:t>[</w:t>
            </w:r>
            <w:hyperlink r:id="rId59" w:history="1">
              <w:r w:rsidR="00DD2480" w:rsidRPr="002E3F6E">
                <w:rPr>
                  <w:rStyle w:val="Hyperlink"/>
                  <w:rFonts w:ascii="Verdana" w:hAnsi="Verdana" w:cs="Calibri"/>
                  <w:sz w:val="18"/>
                  <w:szCs w:val="18"/>
                  <w:lang w:val="pt-PT"/>
                </w:rPr>
                <w:t>nama_10_a10</w:t>
              </w:r>
            </w:hyperlink>
            <w:r w:rsidR="001E71E9">
              <w:rPr>
                <w:lang w:val="pt-PT"/>
              </w:rPr>
              <w:t>]</w:t>
            </w:r>
          </w:p>
          <w:p w14:paraId="0DCEAD20" w14:textId="78C8DDDC" w:rsidR="00EA5948" w:rsidRDefault="003F0656" w:rsidP="00EA5948">
            <w:pPr>
              <w:spacing w:after="60"/>
              <w:jc w:val="both"/>
              <w:rPr>
                <w:rFonts w:ascii="Verdana" w:hAnsi="Verdana"/>
                <w:sz w:val="18"/>
                <w:szCs w:val="18"/>
              </w:rPr>
            </w:pPr>
            <w:r>
              <w:rPr>
                <w:rFonts w:ascii="Verdana" w:hAnsi="Verdana"/>
                <w:sz w:val="18"/>
                <w:szCs w:val="18"/>
              </w:rPr>
              <w:t xml:space="preserve">2: </w:t>
            </w:r>
            <w:r w:rsidR="00EA5948" w:rsidRPr="00C34DE9">
              <w:rPr>
                <w:rFonts w:ascii="Verdana" w:hAnsi="Verdana"/>
                <w:sz w:val="18"/>
                <w:szCs w:val="18"/>
              </w:rPr>
              <w:t>National data, by typology: table Gross value added at basic prices by other typologies [</w:t>
            </w:r>
            <w:hyperlink r:id="rId60" w:history="1">
              <w:r w:rsidR="00EA5948" w:rsidRPr="00C34DE9">
                <w:rPr>
                  <w:rStyle w:val="Hyperlink"/>
                  <w:rFonts w:ascii="Verdana" w:hAnsi="Verdana"/>
                  <w:sz w:val="18"/>
                  <w:szCs w:val="18"/>
                </w:rPr>
                <w:t>urt_10r_3gva</w:t>
              </w:r>
            </w:hyperlink>
            <w:r w:rsidR="00EA5948" w:rsidRPr="00C34DE9">
              <w:rPr>
                <w:rFonts w:ascii="Verdana" w:hAnsi="Verdana"/>
                <w:sz w:val="18"/>
                <w:szCs w:val="18"/>
              </w:rPr>
              <w:t>]</w:t>
            </w:r>
          </w:p>
          <w:p w14:paraId="0A362442" w14:textId="5BB9B479" w:rsidR="00EA5948" w:rsidRDefault="003F0656" w:rsidP="00FF72D2">
            <w:pPr>
              <w:spacing w:after="60"/>
              <w:jc w:val="both"/>
              <w:rPr>
                <w:lang w:val="pt-PT"/>
              </w:rPr>
            </w:pPr>
            <w:r>
              <w:rPr>
                <w:rFonts w:ascii="Verdana" w:hAnsi="Verdana"/>
                <w:sz w:val="18"/>
                <w:szCs w:val="18"/>
                <w:lang w:val="pt-PT"/>
              </w:rPr>
              <w:t xml:space="preserve">3: </w:t>
            </w:r>
            <w:r w:rsidR="00DE163A" w:rsidRPr="00C34DE9">
              <w:rPr>
                <w:rFonts w:ascii="Verdana" w:hAnsi="Verdana"/>
                <w:sz w:val="18"/>
                <w:szCs w:val="18"/>
                <w:lang w:val="pt-PT"/>
              </w:rPr>
              <w:t>Regional data:</w:t>
            </w:r>
            <w:r w:rsidR="00DE163A" w:rsidRPr="00B840B2">
              <w:rPr>
                <w:rFonts w:ascii="Verdana" w:hAnsi="Verdana"/>
                <w:sz w:val="18"/>
                <w:szCs w:val="18"/>
              </w:rPr>
              <w:t xml:space="preserve"> table</w:t>
            </w:r>
            <w:r w:rsidR="00DE163A">
              <w:rPr>
                <w:rStyle w:val="Hyperlink"/>
                <w:rFonts w:cs="Calibri"/>
                <w:u w:val="none"/>
              </w:rPr>
              <w:t xml:space="preserve"> </w:t>
            </w:r>
            <w:r w:rsidR="00CA3E26" w:rsidRPr="00EE0B20">
              <w:rPr>
                <w:rStyle w:val="Hyperlink"/>
                <w:rFonts w:cs="Calibri"/>
                <w:color w:val="auto"/>
                <w:u w:val="none"/>
              </w:rPr>
              <w:t xml:space="preserve">Gross value added at basic prices by NUTS 3 regions </w:t>
            </w:r>
            <w:r w:rsidR="00DE163A">
              <w:rPr>
                <w:rStyle w:val="Hyperlink"/>
                <w:rFonts w:cs="Calibri"/>
                <w:u w:val="none"/>
              </w:rPr>
              <w:t>[</w:t>
            </w:r>
            <w:hyperlink r:id="rId61" w:history="1">
              <w:r w:rsidR="00DE163A" w:rsidRPr="002E3F6E">
                <w:rPr>
                  <w:rStyle w:val="Hyperlink"/>
                  <w:rFonts w:ascii="Verdana" w:hAnsi="Verdana" w:cs="Calibri"/>
                  <w:sz w:val="18"/>
                  <w:szCs w:val="18"/>
                  <w:lang w:val="pt-PT"/>
                </w:rPr>
                <w:t>nama_10r_3gva</w:t>
              </w:r>
            </w:hyperlink>
            <w:r w:rsidR="00DE163A">
              <w:rPr>
                <w:lang w:val="pt-PT"/>
              </w:rPr>
              <w:t>]</w:t>
            </w:r>
          </w:p>
          <w:p w14:paraId="2CC66D58" w14:textId="79C0EAFA" w:rsidR="007978C5" w:rsidRPr="00C34DE9" w:rsidRDefault="003F0656" w:rsidP="00FF72D2">
            <w:pPr>
              <w:spacing w:after="60"/>
              <w:jc w:val="both"/>
              <w:rPr>
                <w:rFonts w:ascii="Verdana" w:hAnsi="Verdana"/>
                <w:sz w:val="18"/>
                <w:szCs w:val="18"/>
              </w:rPr>
            </w:pPr>
            <w:r>
              <w:rPr>
                <w:rFonts w:ascii="Verdana" w:hAnsi="Verdana"/>
                <w:sz w:val="18"/>
                <w:szCs w:val="18"/>
              </w:rPr>
              <w:t xml:space="preserve">4: </w:t>
            </w:r>
            <w:r w:rsidR="007978C5">
              <w:rPr>
                <w:rFonts w:ascii="Verdana" w:hAnsi="Verdana"/>
                <w:sz w:val="18"/>
                <w:szCs w:val="18"/>
              </w:rPr>
              <w:t xml:space="preserve">Gross value added and income by A*64 industry breakdowns </w:t>
            </w:r>
            <w:r w:rsidR="007978C5" w:rsidRPr="007978C5">
              <w:rPr>
                <w:rFonts w:ascii="Verdana" w:hAnsi="Verdana"/>
                <w:sz w:val="18"/>
                <w:szCs w:val="18"/>
              </w:rPr>
              <w:t>[nama_10_a64]</w:t>
            </w:r>
          </w:p>
          <w:p w14:paraId="5A19AA1A" w14:textId="76D65D31" w:rsidR="00DD2480" w:rsidRPr="00C34DE9" w:rsidRDefault="003F0656" w:rsidP="00240261">
            <w:pPr>
              <w:shd w:val="clear" w:color="auto" w:fill="00B0F0"/>
              <w:spacing w:after="60"/>
              <w:jc w:val="both"/>
              <w:rPr>
                <w:rStyle w:val="Hyperlink"/>
                <w:rFonts w:cs="Calibri"/>
              </w:rPr>
            </w:pPr>
            <w:r>
              <w:rPr>
                <w:rFonts w:ascii="Verdana" w:hAnsi="Verdana"/>
                <w:sz w:val="18"/>
                <w:szCs w:val="18"/>
              </w:rPr>
              <w:t xml:space="preserve">5: </w:t>
            </w:r>
            <w:r w:rsidR="00DD2480" w:rsidRPr="00C34DE9">
              <w:rPr>
                <w:rFonts w:ascii="Verdana" w:hAnsi="Verdana"/>
                <w:sz w:val="18"/>
                <w:szCs w:val="18"/>
              </w:rPr>
              <w:t xml:space="preserve">For </w:t>
            </w:r>
            <w:r w:rsidR="00605D3D" w:rsidRPr="00C34DE9">
              <w:rPr>
                <w:rFonts w:ascii="Verdana" w:hAnsi="Verdana"/>
                <w:sz w:val="18"/>
                <w:szCs w:val="18"/>
              </w:rPr>
              <w:t>agriculture</w:t>
            </w:r>
            <w:r w:rsidR="00DD2480" w:rsidRPr="00C34DE9">
              <w:rPr>
                <w:rFonts w:ascii="Verdana" w:hAnsi="Verdana"/>
                <w:sz w:val="18"/>
                <w:szCs w:val="18"/>
              </w:rPr>
              <w:t xml:space="preserve"> and primary producers</w:t>
            </w:r>
            <w:r w:rsidR="00240261">
              <w:rPr>
                <w:rFonts w:ascii="Verdana" w:hAnsi="Verdana"/>
                <w:sz w:val="18"/>
                <w:szCs w:val="18"/>
              </w:rPr>
              <w:t xml:space="preserve"> (I.8)</w:t>
            </w:r>
            <w:r w:rsidR="00DD2480" w:rsidRPr="00C34DE9">
              <w:rPr>
                <w:rFonts w:ascii="Verdana" w:hAnsi="Verdana"/>
                <w:sz w:val="18"/>
                <w:szCs w:val="18"/>
              </w:rPr>
              <w:t xml:space="preserve">: </w:t>
            </w:r>
          </w:p>
          <w:p w14:paraId="259F9524"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Gross value added at basic prices </w:t>
            </w:r>
          </w:p>
          <w:p w14:paraId="76295CEB"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subsidies on production</w:t>
            </w:r>
          </w:p>
          <w:p w14:paraId="2BDE9138"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-other taxes on production </w:t>
            </w:r>
          </w:p>
          <w:p w14:paraId="1475CFE9" w14:textId="2DA3893E"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(table Economic accounts for agriculture </w:t>
            </w:r>
            <w:r w:rsidR="004917FD">
              <w:rPr>
                <w:rFonts w:ascii="Verdana" w:hAnsi="Verdana"/>
                <w:sz w:val="18"/>
                <w:szCs w:val="18"/>
              </w:rPr>
              <w:t>–</w:t>
            </w:r>
            <w:r w:rsidRPr="00C34DE9">
              <w:rPr>
                <w:rFonts w:ascii="Verdana" w:hAnsi="Verdana"/>
                <w:sz w:val="18"/>
                <w:szCs w:val="18"/>
              </w:rPr>
              <w:t xml:space="preserve"> </w:t>
            </w:r>
            <w:r w:rsidR="004917FD">
              <w:rPr>
                <w:rFonts w:ascii="Verdana" w:hAnsi="Verdana"/>
                <w:sz w:val="18"/>
                <w:szCs w:val="18"/>
              </w:rPr>
              <w:t>[</w:t>
            </w:r>
            <w:hyperlink r:id="rId62" w:history="1">
              <w:r w:rsidRPr="004917FD">
                <w:rPr>
                  <w:rStyle w:val="Hyperlink"/>
                  <w:rFonts w:ascii="Verdana" w:hAnsi="Verdana"/>
                  <w:sz w:val="18"/>
                  <w:szCs w:val="18"/>
                </w:rPr>
                <w:t>aact_eaa01</w:t>
              </w:r>
            </w:hyperlink>
            <w:r w:rsidR="004917FD">
              <w:rPr>
                <w:rFonts w:ascii="Verdana" w:hAnsi="Verdana"/>
                <w:sz w:val="18"/>
                <w:szCs w:val="18"/>
              </w:rPr>
              <w:t>]</w:t>
            </w:r>
            <w:r w:rsidRPr="00C34DE9">
              <w:rPr>
                <w:rFonts w:ascii="Verdana" w:hAnsi="Verdana"/>
                <w:sz w:val="18"/>
                <w:szCs w:val="18"/>
              </w:rPr>
              <w:t>) '</w:t>
            </w:r>
          </w:p>
          <w:p w14:paraId="06B5EAD3" w14:textId="77777777" w:rsidR="00DD2480" w:rsidRPr="00C34DE9" w:rsidRDefault="00DD2480" w:rsidP="00FF72D2">
            <w:pPr>
              <w:spacing w:after="0" w:line="240" w:lineRule="auto"/>
              <w:rPr>
                <w:rFonts w:ascii="Verdana" w:hAnsi="Verdana"/>
                <w:sz w:val="18"/>
                <w:szCs w:val="18"/>
              </w:rPr>
            </w:pPr>
          </w:p>
          <w:p w14:paraId="0BFE5794"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Available at: </w:t>
            </w:r>
            <w:hyperlink r:id="rId63" w:history="1">
              <w:r w:rsidRPr="00C34DE9">
                <w:rPr>
                  <w:rStyle w:val="Hyperlink"/>
                  <w:rFonts w:ascii="Verdana" w:hAnsi="Verdana"/>
                  <w:sz w:val="18"/>
                  <w:szCs w:val="18"/>
                </w:rPr>
                <w:t>http://ec.europa.eu/eurostat/web/products-datasets/-/aact_eaa01</w:t>
              </w:r>
            </w:hyperlink>
            <w:r w:rsidRPr="00C34DE9">
              <w:rPr>
                <w:rFonts w:ascii="Verdana" w:hAnsi="Verdana"/>
                <w:sz w:val="18"/>
                <w:szCs w:val="18"/>
              </w:rPr>
              <w:t xml:space="preserve"> </w:t>
            </w:r>
          </w:p>
          <w:p w14:paraId="377281B6" w14:textId="77777777" w:rsidR="00DD2480" w:rsidRPr="00C34DE9" w:rsidRDefault="00DD2480" w:rsidP="00FF72D2">
            <w:pPr>
              <w:spacing w:after="0" w:line="240" w:lineRule="auto"/>
              <w:rPr>
                <w:rFonts w:ascii="Verdana" w:hAnsi="Verdana"/>
                <w:sz w:val="18"/>
                <w:szCs w:val="18"/>
              </w:rPr>
            </w:pPr>
          </w:p>
          <w:p w14:paraId="3EE6FEC1"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Value added of the food and beverages manufacturing (food manufacturing)</w:t>
            </w:r>
          </w:p>
          <w:p w14:paraId="3EC81193"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Manufacture of food products (C10)</w:t>
            </w:r>
          </w:p>
          <w:p w14:paraId="1C56F79E"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beverages (C11)</w:t>
            </w:r>
          </w:p>
          <w:p w14:paraId="4F661940"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 tobacco products (C12) </w:t>
            </w:r>
          </w:p>
          <w:p w14:paraId="1AE39693" w14:textId="75D4DC79"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(table Annual enterprise statistics for special aggregates of activities (NACE </w:t>
            </w:r>
            <w:r w:rsidRPr="00C34DE9">
              <w:rPr>
                <w:rFonts w:ascii="Verdana" w:hAnsi="Verdana"/>
                <w:sz w:val="18"/>
                <w:szCs w:val="18"/>
              </w:rPr>
              <w:lastRenderedPageBreak/>
              <w:t xml:space="preserve">Rev. 2) </w:t>
            </w:r>
            <w:r w:rsidR="00881011">
              <w:rPr>
                <w:rFonts w:ascii="Verdana" w:hAnsi="Verdana"/>
                <w:sz w:val="18"/>
                <w:szCs w:val="18"/>
              </w:rPr>
              <w:t>–</w:t>
            </w:r>
            <w:r w:rsidRPr="00C34DE9">
              <w:rPr>
                <w:rFonts w:ascii="Verdana" w:hAnsi="Verdana"/>
                <w:sz w:val="18"/>
                <w:szCs w:val="18"/>
              </w:rPr>
              <w:t xml:space="preserve"> </w:t>
            </w:r>
            <w:r w:rsidR="00881011">
              <w:rPr>
                <w:rFonts w:ascii="Verdana" w:hAnsi="Verdana"/>
                <w:sz w:val="18"/>
                <w:szCs w:val="18"/>
              </w:rPr>
              <w:t>[</w:t>
            </w:r>
            <w:hyperlink r:id="rId64" w:history="1">
              <w:r w:rsidRPr="00881011">
                <w:rPr>
                  <w:rStyle w:val="Hyperlink"/>
                  <w:rFonts w:ascii="Verdana" w:hAnsi="Verdana"/>
                  <w:sz w:val="18"/>
                  <w:szCs w:val="18"/>
                </w:rPr>
                <w:t>sbs_na_sca_r2</w:t>
              </w:r>
            </w:hyperlink>
            <w:r w:rsidR="00881011">
              <w:rPr>
                <w:rFonts w:ascii="Verdana" w:hAnsi="Verdana"/>
                <w:sz w:val="18"/>
                <w:szCs w:val="18"/>
              </w:rPr>
              <w:t>]</w:t>
            </w:r>
            <w:r w:rsidRPr="00C34DE9">
              <w:rPr>
                <w:rFonts w:ascii="Verdana" w:hAnsi="Verdana"/>
                <w:sz w:val="18"/>
                <w:szCs w:val="18"/>
              </w:rPr>
              <w:t>)</w:t>
            </w:r>
            <w:r w:rsidRPr="00C34DE9" w:rsidDel="0063718C">
              <w:rPr>
                <w:rFonts w:ascii="Verdana" w:hAnsi="Verdana"/>
                <w:sz w:val="18"/>
                <w:szCs w:val="18"/>
              </w:rPr>
              <w:t xml:space="preserve"> </w:t>
            </w:r>
          </w:p>
          <w:p w14:paraId="28145594" w14:textId="77777777" w:rsidR="00DD2480" w:rsidRPr="00C34DE9" w:rsidRDefault="00DD2480" w:rsidP="00FF72D2">
            <w:pPr>
              <w:spacing w:after="0" w:line="240" w:lineRule="auto"/>
              <w:rPr>
                <w:rFonts w:ascii="Verdana" w:hAnsi="Verdana"/>
                <w:sz w:val="18"/>
                <w:szCs w:val="18"/>
              </w:rPr>
            </w:pPr>
          </w:p>
          <w:p w14:paraId="2F23CFE1"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Available at: </w:t>
            </w:r>
            <w:hyperlink r:id="rId65" w:history="1">
              <w:r w:rsidRPr="00C34DE9">
                <w:rPr>
                  <w:rStyle w:val="Hyperlink"/>
                  <w:rFonts w:ascii="Verdana" w:hAnsi="Verdana"/>
                  <w:sz w:val="18"/>
                  <w:szCs w:val="18"/>
                </w:rPr>
                <w:t>http://ec.europa.eu/eurostat/web/structural-business-statistics/data/database</w:t>
              </w:r>
            </w:hyperlink>
          </w:p>
          <w:p w14:paraId="0BEABEA9" w14:textId="77777777" w:rsidR="00DD2480" w:rsidRPr="00C34DE9" w:rsidRDefault="00DD2480" w:rsidP="00FF72D2">
            <w:pPr>
              <w:spacing w:after="0" w:line="240" w:lineRule="auto"/>
              <w:rPr>
                <w:rFonts w:ascii="Verdana" w:hAnsi="Verdana"/>
                <w:sz w:val="18"/>
                <w:szCs w:val="18"/>
              </w:rPr>
            </w:pPr>
          </w:p>
          <w:p w14:paraId="47A11DA7"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Value added of the food and beverages distribution (food distribution)</w:t>
            </w:r>
          </w:p>
          <w:p w14:paraId="0AFB7BB8"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Agents involved in the sale of food, beverages and tobacco (G4617)</w:t>
            </w:r>
          </w:p>
          <w:p w14:paraId="6CC5F278"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Wholesale of food, beverages and tobacco (G463)</w:t>
            </w:r>
          </w:p>
          <w:p w14:paraId="00F3E161"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Retail sale in non-specialised stores with food, beverages or tobacco predominating (G4711)</w:t>
            </w:r>
          </w:p>
          <w:p w14:paraId="2719FC6A"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Retail sale of food, beverages and tobacco in specialised stores (G472)</w:t>
            </w:r>
          </w:p>
          <w:p w14:paraId="2AF52E80"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 Retail sale via stalls and markets of food, beverages and tobacco products (G4781) </w:t>
            </w:r>
          </w:p>
          <w:p w14:paraId="1B05A820" w14:textId="021AFCB5"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(table Annual detailed enterprise statistics for trade (NACE Rev. 2 G) </w:t>
            </w:r>
            <w:r w:rsidR="00881011">
              <w:rPr>
                <w:rFonts w:ascii="Verdana" w:hAnsi="Verdana"/>
                <w:sz w:val="18"/>
                <w:szCs w:val="18"/>
              </w:rPr>
              <w:t>–</w:t>
            </w:r>
            <w:r w:rsidRPr="00C34DE9">
              <w:rPr>
                <w:rFonts w:ascii="Verdana" w:hAnsi="Verdana"/>
                <w:sz w:val="18"/>
                <w:szCs w:val="18"/>
              </w:rPr>
              <w:t xml:space="preserve"> </w:t>
            </w:r>
            <w:r w:rsidR="00881011">
              <w:rPr>
                <w:rFonts w:ascii="Verdana" w:hAnsi="Verdana"/>
                <w:sz w:val="18"/>
                <w:szCs w:val="18"/>
              </w:rPr>
              <w:t>[</w:t>
            </w:r>
            <w:hyperlink r:id="rId66" w:history="1">
              <w:r w:rsidRPr="00881011">
                <w:rPr>
                  <w:rStyle w:val="Hyperlink"/>
                  <w:rFonts w:ascii="Verdana" w:hAnsi="Verdana"/>
                  <w:sz w:val="18"/>
                  <w:szCs w:val="18"/>
                </w:rPr>
                <w:t>sbs_na_dt_r2</w:t>
              </w:r>
            </w:hyperlink>
            <w:r w:rsidR="00881011">
              <w:rPr>
                <w:rFonts w:ascii="Verdana" w:hAnsi="Verdana"/>
                <w:sz w:val="18"/>
                <w:szCs w:val="18"/>
              </w:rPr>
              <w:t>]</w:t>
            </w:r>
            <w:r w:rsidRPr="00C34DE9">
              <w:rPr>
                <w:rFonts w:ascii="Verdana" w:hAnsi="Verdana"/>
                <w:sz w:val="18"/>
                <w:szCs w:val="18"/>
              </w:rPr>
              <w:t>)</w:t>
            </w:r>
          </w:p>
          <w:p w14:paraId="430F979F" w14:textId="77777777" w:rsidR="00DD2480" w:rsidRPr="00C34DE9" w:rsidRDefault="00DD2480" w:rsidP="00FF72D2">
            <w:pPr>
              <w:spacing w:after="0" w:line="240" w:lineRule="auto"/>
              <w:rPr>
                <w:rFonts w:ascii="Verdana" w:hAnsi="Verdana"/>
                <w:sz w:val="18"/>
                <w:szCs w:val="18"/>
              </w:rPr>
            </w:pPr>
          </w:p>
          <w:p w14:paraId="4838959A"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Available at: </w:t>
            </w:r>
            <w:hyperlink r:id="rId67" w:history="1">
              <w:r w:rsidRPr="00C34DE9">
                <w:rPr>
                  <w:rStyle w:val="Hyperlink"/>
                  <w:rFonts w:ascii="Verdana" w:hAnsi="Verdana"/>
                  <w:sz w:val="18"/>
                  <w:szCs w:val="18"/>
                </w:rPr>
                <w:t>http://ec.europa.eu/eurostat/web/structural-business-statistics/data/database</w:t>
              </w:r>
            </w:hyperlink>
          </w:p>
          <w:p w14:paraId="3DD00738" w14:textId="77777777" w:rsidR="00DD2480" w:rsidRPr="00C34DE9" w:rsidRDefault="00DD2480" w:rsidP="00FF72D2">
            <w:pPr>
              <w:spacing w:after="0" w:line="240" w:lineRule="auto"/>
              <w:rPr>
                <w:rFonts w:ascii="Verdana" w:hAnsi="Verdana"/>
                <w:sz w:val="18"/>
                <w:szCs w:val="18"/>
              </w:rPr>
            </w:pPr>
          </w:p>
          <w:p w14:paraId="70B1B3C0"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Value added of the food and beverages consumer services  (food service activities)</w:t>
            </w:r>
          </w:p>
          <w:p w14:paraId="6C49C6BB" w14:textId="77777777" w:rsidR="00DD2480" w:rsidRPr="00C34DE9" w:rsidRDefault="00DD2480" w:rsidP="00FF72D2">
            <w:pPr>
              <w:spacing w:after="0" w:line="240" w:lineRule="auto"/>
              <w:rPr>
                <w:rFonts w:ascii="Verdana" w:hAnsi="Verdana"/>
                <w:sz w:val="18"/>
                <w:szCs w:val="18"/>
              </w:rPr>
            </w:pPr>
            <w:r w:rsidRPr="00C34DE9">
              <w:rPr>
                <w:rFonts w:ascii="Verdana" w:hAnsi="Verdana"/>
                <w:sz w:val="18"/>
                <w:szCs w:val="18"/>
              </w:rPr>
              <w:t xml:space="preserve">Food and beverage service activities (table Annual detailed enterprise statistics for services (NACE Rev. 2 H-N and S95)  - </w:t>
            </w:r>
            <w:r w:rsidR="00881011">
              <w:rPr>
                <w:rFonts w:ascii="Verdana" w:hAnsi="Verdana"/>
                <w:sz w:val="18"/>
                <w:szCs w:val="18"/>
              </w:rPr>
              <w:t>[</w:t>
            </w:r>
            <w:hyperlink r:id="rId68" w:history="1">
              <w:r w:rsidRPr="00881011">
                <w:rPr>
                  <w:rStyle w:val="Hyperlink"/>
                  <w:rFonts w:ascii="Verdana" w:hAnsi="Verdana"/>
                  <w:sz w:val="18"/>
                  <w:szCs w:val="18"/>
                </w:rPr>
                <w:t>sbs_na_1a_se_r2</w:t>
              </w:r>
            </w:hyperlink>
            <w:r w:rsidR="00881011">
              <w:rPr>
                <w:rFonts w:ascii="Verdana" w:hAnsi="Verdana"/>
                <w:sz w:val="18"/>
                <w:szCs w:val="18"/>
              </w:rPr>
              <w:t>]</w:t>
            </w:r>
            <w:r w:rsidRPr="00C34DE9">
              <w:rPr>
                <w:rFonts w:ascii="Verdana" w:hAnsi="Verdana"/>
                <w:sz w:val="18"/>
                <w:szCs w:val="18"/>
              </w:rPr>
              <w:t>)'</w:t>
            </w:r>
          </w:p>
          <w:p w14:paraId="6559E90B" w14:textId="77777777" w:rsidR="00DD2480" w:rsidRPr="00C34DE9" w:rsidRDefault="00DD2480" w:rsidP="00FF72D2">
            <w:pPr>
              <w:spacing w:after="60"/>
              <w:jc w:val="both"/>
              <w:rPr>
                <w:rFonts w:ascii="Verdana" w:hAnsi="Verdana"/>
                <w:sz w:val="18"/>
                <w:szCs w:val="18"/>
              </w:rPr>
            </w:pPr>
          </w:p>
          <w:p w14:paraId="454E479A" w14:textId="77777777" w:rsidR="00DD2480" w:rsidRPr="00C34DE9" w:rsidRDefault="00DD2480" w:rsidP="002E3F6E">
            <w:pPr>
              <w:spacing w:after="60"/>
              <w:jc w:val="both"/>
              <w:rPr>
                <w:rFonts w:ascii="Verdana" w:hAnsi="Verdana"/>
                <w:sz w:val="18"/>
                <w:szCs w:val="18"/>
              </w:rPr>
            </w:pPr>
            <w:r w:rsidRPr="00C34DE9">
              <w:rPr>
                <w:rFonts w:ascii="Verdana" w:hAnsi="Verdana"/>
                <w:sz w:val="18"/>
                <w:szCs w:val="18"/>
              </w:rPr>
              <w:t>Most recent urban-rural typology:</w:t>
            </w:r>
            <w:r w:rsidR="002E3F6E">
              <w:rPr>
                <w:rFonts w:ascii="Verdana" w:hAnsi="Verdana"/>
                <w:sz w:val="18"/>
                <w:szCs w:val="18"/>
              </w:rPr>
              <w:t xml:space="preserve"> </w:t>
            </w:r>
            <w:hyperlink r:id="rId69" w:history="1">
              <w:r w:rsidR="002E3F6E" w:rsidRPr="00910EA0">
                <w:rPr>
                  <w:rStyle w:val="Hyperlink"/>
                  <w:rFonts w:ascii="Verdana" w:hAnsi="Verdana"/>
                  <w:sz w:val="18"/>
                  <w:szCs w:val="18"/>
                </w:rPr>
                <w:t>https://ec.europa.eu/eurostat/web/rural-development/methodology</w:t>
              </w:r>
            </w:hyperlink>
          </w:p>
        </w:tc>
      </w:tr>
      <w:tr w:rsidR="00DD2480" w:rsidRPr="00C34DE9" w14:paraId="2F2CC8D0"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AAB6429" w14:textId="77777777" w:rsidR="00DD2480" w:rsidRPr="00C34DE9" w:rsidRDefault="00DD2480" w:rsidP="5CB4B133">
            <w:pPr>
              <w:spacing w:after="60"/>
              <w:rPr>
                <w:rFonts w:ascii="Verdana" w:hAnsi="Verdana"/>
                <w:b/>
                <w:bCs/>
                <w:sz w:val="18"/>
                <w:szCs w:val="18"/>
              </w:rPr>
            </w:pPr>
            <w:r w:rsidRPr="5CB4B133">
              <w:rPr>
                <w:rFonts w:ascii="Verdana" w:hAnsi="Verdana"/>
                <w:b/>
                <w:bCs/>
                <w:sz w:val="18"/>
                <w:szCs w:val="18"/>
              </w:rPr>
              <w:lastRenderedPageBreak/>
              <w:t xml:space="preserve">Data collection </w:t>
            </w:r>
            <w:r w:rsidR="00EA5948"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C2E81DE" w14:textId="77777777" w:rsidR="00DD2480" w:rsidRPr="00C34DE9" w:rsidRDefault="00DD2480" w:rsidP="00FF72D2">
            <w:pPr>
              <w:spacing w:after="60"/>
              <w:jc w:val="both"/>
              <w:rPr>
                <w:rFonts w:ascii="Verdana" w:hAnsi="Verdana"/>
                <w:sz w:val="18"/>
                <w:szCs w:val="18"/>
              </w:rPr>
            </w:pPr>
            <w:r w:rsidRPr="00C34DE9">
              <w:rPr>
                <w:rFonts w:ascii="Verdana" w:hAnsi="Verdana"/>
                <w:sz w:val="18"/>
                <w:szCs w:val="18"/>
              </w:rPr>
              <w:t xml:space="preserve">For sectors and type of regions: EU, </w:t>
            </w:r>
            <w:r w:rsidR="002E3F6E">
              <w:rPr>
                <w:rFonts w:ascii="Verdana" w:hAnsi="Verdana"/>
                <w:sz w:val="18"/>
                <w:szCs w:val="18"/>
              </w:rPr>
              <w:t>N</w:t>
            </w:r>
            <w:r w:rsidRPr="00C34DE9">
              <w:rPr>
                <w:rFonts w:ascii="Verdana" w:hAnsi="Verdana"/>
                <w:sz w:val="18"/>
                <w:szCs w:val="18"/>
              </w:rPr>
              <w:t>ational (NUTS 0)</w:t>
            </w:r>
            <w:r w:rsidR="002E3F6E">
              <w:rPr>
                <w:rFonts w:ascii="Verdana" w:hAnsi="Verdana"/>
                <w:sz w:val="18"/>
                <w:szCs w:val="18"/>
              </w:rPr>
              <w:t>, R</w:t>
            </w:r>
            <w:r w:rsidRPr="00C34DE9">
              <w:rPr>
                <w:rFonts w:ascii="Verdana" w:hAnsi="Verdana"/>
                <w:sz w:val="18"/>
                <w:szCs w:val="18"/>
              </w:rPr>
              <w:t>egional (NUTS 1, 2 and 3)</w:t>
            </w:r>
          </w:p>
          <w:p w14:paraId="3F38D6A0" w14:textId="605D4AD9" w:rsidR="00EA5948" w:rsidRPr="00C34DE9" w:rsidRDefault="000F15A4" w:rsidP="00FF72D2">
            <w:pPr>
              <w:spacing w:after="60"/>
              <w:jc w:val="both"/>
              <w:rPr>
                <w:rFonts w:ascii="Verdana" w:hAnsi="Verdana"/>
                <w:sz w:val="18"/>
                <w:szCs w:val="18"/>
              </w:rPr>
            </w:pPr>
            <w:r>
              <w:rPr>
                <w:rFonts w:ascii="Verdana" w:hAnsi="Verdana"/>
                <w:sz w:val="18"/>
                <w:szCs w:val="18"/>
              </w:rPr>
              <w:t>B</w:t>
            </w:r>
            <w:r w:rsidR="00EA5948" w:rsidRPr="00C34DE9">
              <w:rPr>
                <w:rFonts w:ascii="Verdana" w:hAnsi="Verdana"/>
                <w:sz w:val="18"/>
                <w:szCs w:val="18"/>
              </w:rPr>
              <w:t>y type of region (predominantly rural, intermediate and predominantly urban)</w:t>
            </w:r>
          </w:p>
          <w:p w14:paraId="028E7BB7" w14:textId="760D4F48" w:rsidR="00DD2480" w:rsidRPr="00C34DE9" w:rsidDel="00F9611E" w:rsidRDefault="00DD2480" w:rsidP="00FF72D2">
            <w:pPr>
              <w:spacing w:after="60"/>
              <w:jc w:val="both"/>
              <w:rPr>
                <w:rFonts w:ascii="Verdana" w:hAnsi="Verdana"/>
                <w:sz w:val="18"/>
                <w:szCs w:val="18"/>
              </w:rPr>
            </w:pPr>
            <w:r w:rsidRPr="00C34DE9">
              <w:rPr>
                <w:rFonts w:ascii="Verdana" w:hAnsi="Verdana"/>
                <w:sz w:val="18"/>
                <w:szCs w:val="18"/>
              </w:rPr>
              <w:t xml:space="preserve">For agriculture and primary producers: EU and </w:t>
            </w:r>
            <w:r w:rsidR="000F15A4">
              <w:rPr>
                <w:rFonts w:ascii="Verdana" w:hAnsi="Verdana"/>
                <w:sz w:val="18"/>
                <w:szCs w:val="18"/>
              </w:rPr>
              <w:t>N</w:t>
            </w:r>
            <w:r w:rsidRPr="00C34DE9">
              <w:rPr>
                <w:rFonts w:ascii="Verdana" w:hAnsi="Verdana"/>
                <w:sz w:val="18"/>
                <w:szCs w:val="18"/>
              </w:rPr>
              <w:t>ational</w:t>
            </w:r>
            <w:r w:rsidR="000F15A4">
              <w:rPr>
                <w:rFonts w:ascii="Verdana" w:hAnsi="Verdana"/>
                <w:sz w:val="18"/>
                <w:szCs w:val="18"/>
              </w:rPr>
              <w:t xml:space="preserve"> (NUTS 0)</w:t>
            </w:r>
            <w:r w:rsidRPr="00C34DE9">
              <w:rPr>
                <w:rFonts w:ascii="Verdana" w:hAnsi="Verdana"/>
                <w:sz w:val="18"/>
                <w:szCs w:val="18"/>
              </w:rPr>
              <w:t xml:space="preserve"> </w:t>
            </w:r>
          </w:p>
        </w:tc>
      </w:tr>
      <w:tr w:rsidR="00DD2480" w:rsidRPr="00C34DE9" w14:paraId="48AC760E"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6420A948" w14:textId="77777777" w:rsidR="00DD2480" w:rsidRPr="00C34DE9" w:rsidRDefault="00DD2480"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40B1834" w14:textId="77777777" w:rsidR="00DD2480" w:rsidRPr="00C34DE9" w:rsidRDefault="00DD2480" w:rsidP="000937F0">
            <w:pPr>
              <w:spacing w:after="60"/>
              <w:rPr>
                <w:rFonts w:ascii="Verdana" w:hAnsi="Verdana"/>
                <w:sz w:val="18"/>
                <w:szCs w:val="18"/>
              </w:rPr>
            </w:pPr>
            <w:r w:rsidRPr="00C34DE9">
              <w:rPr>
                <w:rFonts w:ascii="Verdana" w:hAnsi="Verdana"/>
                <w:sz w:val="18"/>
                <w:szCs w:val="18"/>
              </w:rPr>
              <w:t>Annual</w:t>
            </w:r>
          </w:p>
        </w:tc>
      </w:tr>
      <w:tr w:rsidR="00DD2480" w:rsidRPr="00C34DE9" w14:paraId="76E007C9"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1B39D7E5" w14:textId="77777777" w:rsidR="00DD2480" w:rsidRPr="00C34DE9" w:rsidRDefault="00EA5948"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51C39BF" w14:textId="77777777" w:rsidR="00DD2480" w:rsidRPr="00C34DE9" w:rsidRDefault="00DD2480" w:rsidP="00FF72D2">
            <w:pPr>
              <w:spacing w:after="60"/>
              <w:jc w:val="both"/>
              <w:rPr>
                <w:rFonts w:ascii="Verdana" w:hAnsi="Verdana"/>
                <w:sz w:val="18"/>
                <w:szCs w:val="18"/>
              </w:rPr>
            </w:pPr>
            <w:r w:rsidRPr="00C34DE9">
              <w:rPr>
                <w:rFonts w:ascii="Verdana" w:hAnsi="Verdana"/>
                <w:sz w:val="18"/>
                <w:szCs w:val="18"/>
              </w:rPr>
              <w:t>1 year (national data, GVA in agriculture) and 3 years (regional data, Structural Business Statistics)</w:t>
            </w:r>
          </w:p>
        </w:tc>
      </w:tr>
      <w:tr w:rsidR="00DD2480" w:rsidRPr="00C34DE9" w14:paraId="6D3E04B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0B979B17" w14:textId="77777777" w:rsidR="00DD2480" w:rsidRPr="00C34DE9" w:rsidRDefault="00DD2480" w:rsidP="00FF72D2">
            <w:pPr>
              <w:spacing w:after="60"/>
              <w:rPr>
                <w:rFonts w:ascii="Verdana" w:hAnsi="Verdana"/>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2257894" w14:textId="77777777" w:rsidR="00DD2480" w:rsidRPr="00C34DE9" w:rsidRDefault="00DD2480" w:rsidP="00FF72D2">
            <w:pPr>
              <w:spacing w:after="60"/>
              <w:jc w:val="both"/>
              <w:rPr>
                <w:rFonts w:ascii="Verdana" w:hAnsi="Verdana"/>
                <w:sz w:val="18"/>
                <w:szCs w:val="18"/>
              </w:rPr>
            </w:pPr>
            <w:r w:rsidRPr="00C34DE9">
              <w:rPr>
                <w:rFonts w:ascii="Verdana" w:hAnsi="Verdana"/>
                <w:sz w:val="18"/>
                <w:szCs w:val="18"/>
              </w:rPr>
              <w:t>Sectors in NACE rev.2:</w:t>
            </w:r>
          </w:p>
          <w:p w14:paraId="028F9A97" w14:textId="70E96E73" w:rsidR="00DD2480" w:rsidRPr="00C34DE9" w:rsidRDefault="00DD2480" w:rsidP="00FF72D2">
            <w:pPr>
              <w:spacing w:after="60"/>
              <w:jc w:val="both"/>
              <w:rPr>
                <w:rFonts w:ascii="Verdana" w:hAnsi="Verdana"/>
                <w:sz w:val="18"/>
                <w:szCs w:val="18"/>
              </w:rPr>
            </w:pPr>
            <w:r w:rsidRPr="00C34DE9">
              <w:rPr>
                <w:rFonts w:ascii="Verdana" w:hAnsi="Verdana"/>
                <w:sz w:val="18"/>
                <w:szCs w:val="18"/>
              </w:rPr>
              <w:t xml:space="preserve">Primary sector = branch A (agriculture, forestry and fishing); </w:t>
            </w:r>
          </w:p>
          <w:p w14:paraId="5A2A37A5" w14:textId="77777777" w:rsidR="00DD2480" w:rsidRPr="00B840B2" w:rsidRDefault="00DD2480" w:rsidP="00FF72D2">
            <w:pPr>
              <w:spacing w:after="60"/>
              <w:jc w:val="both"/>
              <w:rPr>
                <w:rFonts w:ascii="Verdana" w:hAnsi="Verdana"/>
                <w:sz w:val="18"/>
                <w:szCs w:val="18"/>
              </w:rPr>
            </w:pPr>
            <w:r w:rsidRPr="00C34DE9">
              <w:rPr>
                <w:rFonts w:ascii="Verdana" w:hAnsi="Verdana"/>
                <w:sz w:val="18"/>
                <w:szCs w:val="18"/>
              </w:rPr>
              <w:t xml:space="preserve">Secondary sector = branches B-E + F (industry + construction); </w:t>
            </w:r>
          </w:p>
          <w:p w14:paraId="20A595E7" w14:textId="77777777" w:rsidR="00DD2480" w:rsidRPr="00C34DE9" w:rsidRDefault="00DD2480" w:rsidP="00FF72D2">
            <w:pPr>
              <w:spacing w:after="60"/>
              <w:jc w:val="both"/>
              <w:rPr>
                <w:rFonts w:ascii="Verdana" w:hAnsi="Verdana"/>
                <w:sz w:val="18"/>
                <w:szCs w:val="18"/>
                <w:lang w:val="pt-PT"/>
              </w:rPr>
            </w:pPr>
            <w:r w:rsidRPr="00B840B2">
              <w:rPr>
                <w:rFonts w:ascii="Verdana" w:hAnsi="Verdana"/>
                <w:sz w:val="18"/>
                <w:szCs w:val="18"/>
              </w:rPr>
              <w:t>Tertiary</w:t>
            </w:r>
            <w:r w:rsidRPr="00C34DE9">
              <w:rPr>
                <w:rFonts w:ascii="Verdana" w:hAnsi="Verdana"/>
                <w:sz w:val="18"/>
                <w:szCs w:val="18"/>
                <w:lang w:val="pt-PT"/>
              </w:rPr>
              <w:t xml:space="preserve"> sector =</w:t>
            </w:r>
            <w:r w:rsidRPr="00B840B2">
              <w:rPr>
                <w:rFonts w:ascii="Verdana" w:hAnsi="Verdana"/>
                <w:sz w:val="18"/>
                <w:szCs w:val="18"/>
              </w:rPr>
              <w:t xml:space="preserve"> branches</w:t>
            </w:r>
            <w:r w:rsidRPr="00C34DE9">
              <w:rPr>
                <w:rFonts w:ascii="Verdana" w:hAnsi="Verdana"/>
                <w:sz w:val="18"/>
                <w:szCs w:val="18"/>
                <w:lang w:val="pt-PT"/>
              </w:rPr>
              <w:t xml:space="preserve"> G-I + J + K + L + M-N + O-Q + R-U.</w:t>
            </w:r>
          </w:p>
          <w:p w14:paraId="0B748B0C" w14:textId="120FBD47" w:rsidR="00DD2480" w:rsidRPr="00C34DE9" w:rsidRDefault="00DD2480" w:rsidP="00FF72D2">
            <w:pPr>
              <w:spacing w:after="60"/>
              <w:jc w:val="both"/>
              <w:rPr>
                <w:rFonts w:ascii="Verdana" w:hAnsi="Verdana"/>
                <w:sz w:val="18"/>
                <w:szCs w:val="18"/>
              </w:rPr>
            </w:pPr>
            <w:r w:rsidRPr="00C34DE9">
              <w:rPr>
                <w:rFonts w:ascii="Verdana" w:hAnsi="Verdana"/>
                <w:sz w:val="18"/>
                <w:szCs w:val="18"/>
              </w:rPr>
              <w:t>The distribution of GVA by type of region has been calculated using the Commission's urban-rural typology, which classifies NUTS 3 regions into predominantly rural, interm</w:t>
            </w:r>
            <w:r w:rsidR="007D3E04">
              <w:rPr>
                <w:rFonts w:ascii="Verdana" w:hAnsi="Verdana"/>
                <w:sz w:val="18"/>
                <w:szCs w:val="18"/>
              </w:rPr>
              <w:t>ediate and predominantly urban.</w:t>
            </w:r>
          </w:p>
          <w:p w14:paraId="00DD175A" w14:textId="09115D5D" w:rsidR="003F0656" w:rsidRPr="00C34DE9" w:rsidRDefault="003F0656" w:rsidP="00FF72D2">
            <w:pPr>
              <w:spacing w:after="60"/>
              <w:jc w:val="both"/>
              <w:rPr>
                <w:rFonts w:ascii="Verdana" w:hAnsi="Verdana"/>
                <w:sz w:val="18"/>
                <w:szCs w:val="18"/>
              </w:rPr>
            </w:pPr>
            <w:r>
              <w:rPr>
                <w:rFonts w:ascii="Verdana" w:hAnsi="Verdana"/>
                <w:sz w:val="18"/>
                <w:szCs w:val="18"/>
              </w:rPr>
              <w:t>For GVA in agriculture: agriculture = A01 (</w:t>
            </w:r>
            <w:r w:rsidRPr="003F0656">
              <w:rPr>
                <w:rFonts w:ascii="Verdana" w:hAnsi="Verdana"/>
                <w:sz w:val="18"/>
                <w:szCs w:val="18"/>
              </w:rPr>
              <w:t>Crop and animal production, hunting and related service activities</w:t>
            </w:r>
            <w:r>
              <w:rPr>
                <w:rFonts w:ascii="Verdana" w:hAnsi="Verdana"/>
                <w:sz w:val="18"/>
                <w:szCs w:val="18"/>
              </w:rPr>
              <w:t>)</w:t>
            </w:r>
          </w:p>
          <w:p w14:paraId="110713D1" w14:textId="77777777" w:rsidR="00DD2480" w:rsidRPr="00C34DE9" w:rsidRDefault="00DD2480" w:rsidP="00FF72D2">
            <w:pPr>
              <w:spacing w:before="120" w:after="120"/>
              <w:rPr>
                <w:rFonts w:ascii="Verdana" w:hAnsi="Verdana"/>
                <w:sz w:val="18"/>
                <w:szCs w:val="18"/>
              </w:rPr>
            </w:pPr>
            <w:r w:rsidRPr="00C34DE9">
              <w:rPr>
                <w:rFonts w:ascii="Verdana" w:hAnsi="Verdana"/>
                <w:sz w:val="18"/>
                <w:szCs w:val="18"/>
              </w:rPr>
              <w:t>For the primary producers:</w:t>
            </w:r>
          </w:p>
          <w:p w14:paraId="57900534" w14:textId="77777777" w:rsidR="00DD2480" w:rsidRPr="00C34DE9" w:rsidRDefault="00DD2480" w:rsidP="00FF72D2">
            <w:pPr>
              <w:spacing w:before="120" w:after="120"/>
              <w:rPr>
                <w:rFonts w:ascii="Verdana" w:hAnsi="Verdana"/>
                <w:sz w:val="18"/>
                <w:szCs w:val="18"/>
              </w:rPr>
            </w:pPr>
            <w:r w:rsidRPr="00C34DE9">
              <w:rPr>
                <w:rFonts w:ascii="Verdana" w:hAnsi="Verdana"/>
                <w:sz w:val="18"/>
                <w:szCs w:val="18"/>
              </w:rPr>
              <w:t>The whole food manufacturing is covered as well as the food distribution of three products (food, beverages, tobacco). However, the share is still an over-estimate, as the value-added of the primary production includes also other products (e.g. textiles and bio-industries outlets, which have been excluded, when possible, in the rest of the food chain added value).</w:t>
            </w:r>
          </w:p>
          <w:p w14:paraId="4B247248" w14:textId="77777777" w:rsidR="00DD2480" w:rsidRPr="00C34DE9" w:rsidRDefault="00DD2480" w:rsidP="00FF72D2">
            <w:pPr>
              <w:spacing w:before="120" w:after="120"/>
              <w:rPr>
                <w:rFonts w:ascii="Verdana" w:hAnsi="Verdana"/>
                <w:sz w:val="18"/>
                <w:szCs w:val="18"/>
              </w:rPr>
            </w:pPr>
            <w:r w:rsidRPr="00C34DE9">
              <w:rPr>
                <w:rFonts w:ascii="Verdana" w:hAnsi="Verdana"/>
                <w:sz w:val="18"/>
                <w:szCs w:val="18"/>
              </w:rPr>
              <w:t xml:space="preserve">Additionally, the food distribution covers all possible channels (both retail and </w:t>
            </w:r>
            <w:r w:rsidRPr="00C34DE9">
              <w:rPr>
                <w:rFonts w:ascii="Verdana" w:hAnsi="Verdana"/>
                <w:sz w:val="18"/>
                <w:szCs w:val="18"/>
              </w:rPr>
              <w:lastRenderedPageBreak/>
              <w:t>wholesale) as their importance on sales in individual Member States differs.</w:t>
            </w:r>
          </w:p>
          <w:p w14:paraId="50411E8E" w14:textId="10B0605D" w:rsidR="00DD2480" w:rsidRPr="00C34DE9" w:rsidRDefault="00DD2480" w:rsidP="00BE3B4C">
            <w:pPr>
              <w:spacing w:after="60"/>
              <w:jc w:val="both"/>
              <w:rPr>
                <w:rFonts w:ascii="Verdana" w:hAnsi="Verdana"/>
                <w:sz w:val="18"/>
                <w:szCs w:val="18"/>
              </w:rPr>
            </w:pPr>
            <w:r w:rsidRPr="00C34DE9">
              <w:rPr>
                <w:rFonts w:ascii="Verdana" w:hAnsi="Verdana"/>
                <w:sz w:val="18"/>
                <w:szCs w:val="18"/>
              </w:rPr>
              <w:t xml:space="preserve">Food and beverages distribution - from 2011, EU is the sum of reported EU values for respective distribution channels. The discrepancy between the sum of individual MS and EU </w:t>
            </w:r>
            <w:r w:rsidR="00EA5948" w:rsidRPr="00C34DE9">
              <w:rPr>
                <w:rFonts w:ascii="Verdana" w:hAnsi="Verdana"/>
                <w:sz w:val="18"/>
                <w:szCs w:val="18"/>
              </w:rPr>
              <w:t>originates in rounding of the EU aggregate, to make it impossible to recalculate confidential data</w:t>
            </w:r>
            <w:r w:rsidRPr="00C34DE9">
              <w:rPr>
                <w:rFonts w:ascii="Verdana" w:hAnsi="Verdana"/>
                <w:sz w:val="18"/>
                <w:szCs w:val="18"/>
              </w:rPr>
              <w:t>. The same applies to the food and beverage service activities.</w:t>
            </w:r>
          </w:p>
        </w:tc>
      </w:tr>
    </w:tbl>
    <w:p w14:paraId="7F4836EC" w14:textId="77777777" w:rsidR="00A84515" w:rsidRPr="00C34DE9" w:rsidRDefault="00A84515">
      <w:pPr>
        <w:rPr>
          <w:rFonts w:ascii="Verdana" w:hAnsi="Verdana"/>
          <w:sz w:val="18"/>
          <w:szCs w:val="18"/>
        </w:rPr>
      </w:pPr>
    </w:p>
    <w:p w14:paraId="106FF68C" w14:textId="77777777" w:rsidR="00A84515" w:rsidRPr="00C34DE9" w:rsidRDefault="00A84515">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4F1363" w:rsidRPr="00C34DE9" w14:paraId="0CD08295"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3252013F" w14:textId="77777777" w:rsidR="004F1363" w:rsidRPr="00C34DE9" w:rsidRDefault="00AA197A" w:rsidP="5CB4B133">
            <w:pPr>
              <w:spacing w:after="60" w:line="240" w:lineRule="auto"/>
              <w:rPr>
                <w:rFonts w:ascii="Verdana" w:hAnsi="Verdana"/>
                <w:b/>
                <w:bCs/>
                <w:sz w:val="18"/>
                <w:szCs w:val="18"/>
              </w:rPr>
            </w:pPr>
            <w:bookmarkStart w:id="15" w:name="C12"/>
            <w:r w:rsidRPr="5CB4B133">
              <w:rPr>
                <w:rFonts w:ascii="Verdana" w:hAnsi="Verdana"/>
                <w:b/>
                <w:bCs/>
                <w:smallCaps/>
                <w:sz w:val="18"/>
                <w:szCs w:val="18"/>
              </w:rPr>
              <w:lastRenderedPageBreak/>
              <w:t>Indicator</w:t>
            </w:r>
            <w:r w:rsidR="004F1363" w:rsidRPr="5CB4B133">
              <w:rPr>
                <w:rFonts w:ascii="Verdana" w:hAnsi="Verdana"/>
                <w:b/>
                <w:bCs/>
                <w:sz w:val="18"/>
                <w:szCs w:val="18"/>
              </w:rPr>
              <w:t xml:space="preserve"> C.12</w:t>
            </w:r>
            <w:bookmarkEnd w:id="15"/>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F06A40F" w14:textId="77777777" w:rsidR="004F1363" w:rsidRPr="00C34DE9" w:rsidRDefault="004F1363" w:rsidP="00C30187">
            <w:pPr>
              <w:spacing w:after="60"/>
              <w:rPr>
                <w:rFonts w:ascii="Verdana" w:hAnsi="Verdana"/>
                <w:caps/>
                <w:sz w:val="18"/>
                <w:szCs w:val="18"/>
              </w:rPr>
            </w:pPr>
          </w:p>
        </w:tc>
      </w:tr>
      <w:tr w:rsidR="004F1363" w:rsidRPr="00C34DE9" w14:paraId="11B5DA79" w14:textId="77777777" w:rsidTr="7CF3AEC2">
        <w:trPr>
          <w:trHeight w:val="57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62E4B45"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90A784D" w14:textId="77777777" w:rsidR="004F1363" w:rsidRPr="00C34DE9" w:rsidRDefault="004F1363" w:rsidP="5CB4B133">
            <w:pPr>
              <w:spacing w:after="60" w:line="240" w:lineRule="auto"/>
              <w:jc w:val="center"/>
              <w:rPr>
                <w:rFonts w:ascii="Verdana" w:hAnsi="Verdana"/>
                <w:b/>
                <w:bCs/>
                <w:sz w:val="18"/>
                <w:szCs w:val="18"/>
              </w:rPr>
            </w:pPr>
            <w:r w:rsidRPr="5CB4B133">
              <w:rPr>
                <w:rFonts w:ascii="Verdana" w:hAnsi="Verdana"/>
                <w:b/>
                <w:bCs/>
                <w:sz w:val="18"/>
                <w:szCs w:val="18"/>
              </w:rPr>
              <w:t>Agricultural holdings (farms)</w:t>
            </w:r>
          </w:p>
        </w:tc>
      </w:tr>
      <w:tr w:rsidR="004F1363" w:rsidRPr="00C34DE9" w14:paraId="305F8E8A"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088B05CA"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869C1D7" w14:textId="77777777" w:rsidR="004F1363" w:rsidRPr="00C34DE9" w:rsidRDefault="004F1363" w:rsidP="002C58BD">
            <w:pPr>
              <w:rPr>
                <w:rFonts w:ascii="Verdana" w:hAnsi="Verdana"/>
                <w:sz w:val="18"/>
                <w:szCs w:val="18"/>
              </w:rPr>
            </w:pPr>
            <w:r w:rsidRPr="00C34DE9">
              <w:rPr>
                <w:rFonts w:ascii="Verdana" w:hAnsi="Verdana"/>
                <w:sz w:val="18"/>
                <w:szCs w:val="18"/>
              </w:rPr>
              <w:t xml:space="preserve">This indicator consists of </w:t>
            </w:r>
            <w:r w:rsidR="007139E9">
              <w:rPr>
                <w:rFonts w:ascii="Verdana" w:hAnsi="Verdana"/>
                <w:sz w:val="18"/>
                <w:szCs w:val="18"/>
              </w:rPr>
              <w:t>5</w:t>
            </w:r>
            <w:r w:rsidRPr="00C34DE9">
              <w:rPr>
                <w:rFonts w:ascii="Verdana" w:hAnsi="Verdana"/>
                <w:sz w:val="18"/>
                <w:szCs w:val="18"/>
              </w:rPr>
              <w:t xml:space="preserve"> </w:t>
            </w:r>
            <w:r w:rsidR="00DD478B">
              <w:rPr>
                <w:rFonts w:ascii="Verdana" w:hAnsi="Verdana"/>
                <w:sz w:val="18"/>
                <w:szCs w:val="18"/>
              </w:rPr>
              <w:t>specific indicators</w:t>
            </w:r>
            <w:r w:rsidRPr="00C34DE9">
              <w:rPr>
                <w:rFonts w:ascii="Verdana" w:hAnsi="Verdana"/>
                <w:sz w:val="18"/>
                <w:szCs w:val="18"/>
              </w:rPr>
              <w:t>:</w:t>
            </w:r>
          </w:p>
          <w:p w14:paraId="6C3E3C6E" w14:textId="596D849C" w:rsidR="004F1363" w:rsidRPr="007D3E04" w:rsidRDefault="004F1363" w:rsidP="00665997">
            <w:pPr>
              <w:pStyle w:val="RD-Indicatortabletext"/>
              <w:numPr>
                <w:ilvl w:val="0"/>
                <w:numId w:val="67"/>
              </w:numPr>
              <w:spacing w:after="60"/>
              <w:jc w:val="both"/>
              <w:rPr>
                <w:rFonts w:eastAsia="Calibri" w:cs="Times New Roman"/>
                <w:b/>
                <w:bCs/>
                <w:sz w:val="18"/>
                <w:szCs w:val="18"/>
                <w:lang w:eastAsia="en-US"/>
              </w:rPr>
            </w:pPr>
            <w:r w:rsidRPr="3F4AE0BD">
              <w:rPr>
                <w:rFonts w:eastAsia="Calibri" w:cs="Times New Roman"/>
                <w:b/>
                <w:bCs/>
                <w:sz w:val="18"/>
                <w:szCs w:val="18"/>
                <w:lang w:eastAsia="en-US"/>
              </w:rPr>
              <w:t>Number of agricultural holdings</w:t>
            </w:r>
          </w:p>
          <w:p w14:paraId="2AA1344F" w14:textId="598530AF" w:rsidR="004F1363" w:rsidRPr="00C34DE9" w:rsidRDefault="004F1363" w:rsidP="00665997">
            <w:pPr>
              <w:pStyle w:val="RD-Indicatortabletext"/>
              <w:numPr>
                <w:ilvl w:val="0"/>
                <w:numId w:val="67"/>
              </w:numPr>
              <w:spacing w:after="60"/>
              <w:jc w:val="both"/>
              <w:rPr>
                <w:rFonts w:eastAsia="Calibri" w:cs="Times New Roman"/>
                <w:sz w:val="18"/>
                <w:szCs w:val="18"/>
                <w:lang w:eastAsia="en-US"/>
              </w:rPr>
            </w:pPr>
            <w:r w:rsidRPr="3F4AE0BD">
              <w:rPr>
                <w:rFonts w:eastAsia="Calibri" w:cs="Times New Roman"/>
                <w:b/>
                <w:bCs/>
                <w:sz w:val="18"/>
                <w:szCs w:val="18"/>
                <w:lang w:eastAsia="en-US"/>
              </w:rPr>
              <w:t>Agricultural size of the holdings</w:t>
            </w:r>
            <w:r w:rsidRPr="00C34DE9">
              <w:rPr>
                <w:rFonts w:eastAsia="Calibri" w:cs="Times New Roman"/>
                <w:sz w:val="18"/>
                <w:szCs w:val="18"/>
                <w:lang w:eastAsia="en-US"/>
              </w:rPr>
              <w:t xml:space="preserve"> - in utilised agricultural area (UAA) size classes</w:t>
            </w:r>
          </w:p>
          <w:p w14:paraId="0560875B" w14:textId="65A98582" w:rsidR="004F1363" w:rsidRPr="00C34DE9" w:rsidRDefault="004F1363" w:rsidP="00665997">
            <w:pPr>
              <w:pStyle w:val="RD-Indicatortabletext"/>
              <w:numPr>
                <w:ilvl w:val="0"/>
                <w:numId w:val="67"/>
              </w:numPr>
              <w:spacing w:after="60"/>
              <w:jc w:val="both"/>
              <w:rPr>
                <w:rFonts w:eastAsia="Calibri" w:cs="Times New Roman"/>
                <w:sz w:val="18"/>
                <w:szCs w:val="18"/>
                <w:lang w:eastAsia="en-US"/>
              </w:rPr>
            </w:pPr>
            <w:r w:rsidRPr="3F4AE0BD">
              <w:rPr>
                <w:rFonts w:eastAsia="Calibri" w:cs="Times New Roman"/>
                <w:b/>
                <w:bCs/>
                <w:sz w:val="18"/>
                <w:szCs w:val="18"/>
                <w:lang w:eastAsia="en-US"/>
              </w:rPr>
              <w:t>Economic size of the holdings</w:t>
            </w:r>
            <w:r w:rsidRPr="00C34DE9">
              <w:rPr>
                <w:rFonts w:eastAsia="Calibri" w:cs="Times New Roman"/>
                <w:sz w:val="18"/>
                <w:szCs w:val="18"/>
                <w:lang w:eastAsia="en-US"/>
              </w:rPr>
              <w:t xml:space="preserve"> - in standard output (SO) classes</w:t>
            </w:r>
          </w:p>
          <w:p w14:paraId="10E04279" w14:textId="087E01ED" w:rsidR="002F3D8B" w:rsidRDefault="004F1363" w:rsidP="00665997">
            <w:pPr>
              <w:pStyle w:val="RD-Indicatortabletext"/>
              <w:numPr>
                <w:ilvl w:val="0"/>
                <w:numId w:val="67"/>
              </w:numPr>
              <w:spacing w:after="60"/>
              <w:jc w:val="both"/>
              <w:rPr>
                <w:rFonts w:eastAsia="Calibri" w:cs="Times New Roman"/>
                <w:sz w:val="18"/>
                <w:szCs w:val="18"/>
                <w:lang w:eastAsia="en-US"/>
              </w:rPr>
            </w:pPr>
            <w:r w:rsidRPr="3F4AE0BD">
              <w:rPr>
                <w:rFonts w:eastAsia="Calibri" w:cs="Times New Roman"/>
                <w:b/>
                <w:bCs/>
                <w:sz w:val="18"/>
                <w:szCs w:val="18"/>
                <w:lang w:eastAsia="en-US"/>
              </w:rPr>
              <w:t>Average size of the holdings</w:t>
            </w:r>
            <w:r w:rsidRPr="00C34DE9">
              <w:rPr>
                <w:rFonts w:eastAsia="Calibri" w:cs="Times New Roman"/>
                <w:sz w:val="18"/>
                <w:szCs w:val="18"/>
                <w:lang w:eastAsia="en-US"/>
              </w:rPr>
              <w:t xml:space="preserve"> - physical (UAA), </w:t>
            </w:r>
          </w:p>
          <w:p w14:paraId="179D086C" w14:textId="148AFC6E" w:rsidR="002F3D8B" w:rsidRPr="00421AD8" w:rsidRDefault="002F3D8B" w:rsidP="00665997">
            <w:pPr>
              <w:pStyle w:val="RD-Indicatortabletext"/>
              <w:numPr>
                <w:ilvl w:val="0"/>
                <w:numId w:val="67"/>
              </w:numPr>
              <w:spacing w:after="120"/>
              <w:ind w:left="714" w:hanging="357"/>
              <w:jc w:val="both"/>
              <w:rPr>
                <w:rFonts w:eastAsia="Calibri" w:cs="Times New Roman"/>
                <w:sz w:val="18"/>
                <w:szCs w:val="18"/>
                <w:lang w:eastAsia="en-US"/>
              </w:rPr>
            </w:pPr>
            <w:r w:rsidRPr="3F4AE0BD">
              <w:rPr>
                <w:rFonts w:eastAsia="Calibri" w:cs="Times New Roman"/>
                <w:b/>
                <w:bCs/>
                <w:sz w:val="18"/>
                <w:szCs w:val="18"/>
                <w:lang w:eastAsia="en-US"/>
              </w:rPr>
              <w:t>Labour force</w:t>
            </w:r>
            <w:r w:rsidRPr="00C34DE9">
              <w:rPr>
                <w:rFonts w:eastAsia="Calibri" w:cs="Times New Roman"/>
                <w:sz w:val="18"/>
                <w:szCs w:val="18"/>
                <w:lang w:eastAsia="en-US"/>
              </w:rPr>
              <w:t xml:space="preserve"> - in persons and in annual work units (AWU)</w:t>
            </w:r>
            <w:r>
              <w:rPr>
                <w:rFonts w:eastAsia="Calibri" w:cs="Times New Roman"/>
                <w:sz w:val="18"/>
                <w:szCs w:val="18"/>
                <w:lang w:eastAsia="en-US"/>
              </w:rPr>
              <w:t>, total and by sex</w:t>
            </w:r>
          </w:p>
          <w:p w14:paraId="7E58D13A" w14:textId="7174F48D" w:rsidR="004F1363" w:rsidRPr="00C34DE9" w:rsidRDefault="004F1363" w:rsidP="00FA7243">
            <w:pPr>
              <w:rPr>
                <w:sz w:val="18"/>
                <w:szCs w:val="18"/>
              </w:rPr>
            </w:pPr>
            <w:r w:rsidRPr="00C34DE9">
              <w:rPr>
                <w:rFonts w:ascii="Verdana" w:hAnsi="Verdana"/>
                <w:sz w:val="18"/>
                <w:szCs w:val="18"/>
              </w:rPr>
              <w:t xml:space="preserve">The first four </w:t>
            </w:r>
            <w:r w:rsidR="00DD478B">
              <w:rPr>
                <w:rFonts w:ascii="Verdana" w:hAnsi="Verdana"/>
                <w:sz w:val="18"/>
                <w:szCs w:val="18"/>
              </w:rPr>
              <w:t>specific indicators</w:t>
            </w:r>
            <w:r w:rsidRPr="00C34DE9">
              <w:rPr>
                <w:rFonts w:ascii="Verdana" w:hAnsi="Verdana"/>
                <w:sz w:val="18"/>
                <w:szCs w:val="18"/>
              </w:rPr>
              <w:t xml:space="preserve"> provide basic information on the total number of farms, ha of UAA, EUR of SO and the total number of persons employed or AWU for each EU Member State. Quantities are presented in absolute figures and serve as a basis for the calculation of the fifth s</w:t>
            </w:r>
            <w:r w:rsidR="00100083">
              <w:rPr>
                <w:rFonts w:ascii="Verdana" w:hAnsi="Verdana"/>
                <w:sz w:val="18"/>
                <w:szCs w:val="18"/>
              </w:rPr>
              <w:t xml:space="preserve">pecific </w:t>
            </w:r>
            <w:r w:rsidRPr="00C34DE9">
              <w:rPr>
                <w:rFonts w:ascii="Verdana" w:hAnsi="Verdana"/>
                <w:sz w:val="18"/>
                <w:szCs w:val="18"/>
              </w:rPr>
              <w:t>indicator.</w:t>
            </w:r>
          </w:p>
        </w:tc>
      </w:tr>
      <w:tr w:rsidR="004F1363" w:rsidRPr="00C34DE9" w14:paraId="7C6F2A27"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5CEC1055"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73B82AA" w14:textId="001BBB74" w:rsidR="004F1363" w:rsidRPr="00F33662" w:rsidRDefault="002F3D8B" w:rsidP="001C195E">
            <w:pPr>
              <w:spacing w:after="0"/>
              <w:rPr>
                <w:rFonts w:ascii="Verdana" w:hAnsi="Verdana"/>
                <w:sz w:val="18"/>
                <w:szCs w:val="18"/>
                <w:lang w:val="x-none"/>
              </w:rPr>
            </w:pPr>
            <w:r>
              <w:rPr>
                <w:rFonts w:ascii="Verdana" w:hAnsi="Verdana"/>
                <w:sz w:val="18"/>
                <w:szCs w:val="18"/>
              </w:rPr>
              <w:t>1</w:t>
            </w:r>
            <w:r w:rsidR="00421AD8">
              <w:rPr>
                <w:rFonts w:ascii="Verdana" w:hAnsi="Verdana"/>
                <w:sz w:val="18"/>
                <w:szCs w:val="18"/>
              </w:rPr>
              <w:t xml:space="preserve">: </w:t>
            </w:r>
            <w:r w:rsidR="004F1363" w:rsidRPr="00C34DE9">
              <w:rPr>
                <w:rFonts w:ascii="Verdana" w:hAnsi="Verdana"/>
                <w:sz w:val="18"/>
                <w:szCs w:val="18"/>
              </w:rPr>
              <w:t>number of farms</w:t>
            </w:r>
          </w:p>
          <w:p w14:paraId="7110A246" w14:textId="4772856B" w:rsidR="004F1363" w:rsidRPr="00C34DE9" w:rsidRDefault="002F3D8B" w:rsidP="001C195E">
            <w:pPr>
              <w:spacing w:after="0"/>
              <w:rPr>
                <w:rFonts w:ascii="Verdana" w:hAnsi="Verdana"/>
                <w:sz w:val="18"/>
                <w:szCs w:val="18"/>
              </w:rPr>
            </w:pPr>
            <w:r>
              <w:rPr>
                <w:rFonts w:ascii="Verdana" w:hAnsi="Verdana"/>
                <w:sz w:val="18"/>
                <w:szCs w:val="18"/>
              </w:rPr>
              <w:t>2</w:t>
            </w:r>
            <w:r w:rsidR="00421AD8">
              <w:rPr>
                <w:rFonts w:ascii="Verdana" w:hAnsi="Verdana"/>
                <w:sz w:val="18"/>
                <w:szCs w:val="18"/>
              </w:rPr>
              <w:t xml:space="preserve">: </w:t>
            </w:r>
            <w:r w:rsidR="004F1363" w:rsidRPr="00C34DE9">
              <w:rPr>
                <w:rFonts w:ascii="Verdana" w:hAnsi="Verdana"/>
                <w:sz w:val="18"/>
                <w:szCs w:val="18"/>
              </w:rPr>
              <w:t>number of ha</w:t>
            </w:r>
          </w:p>
          <w:p w14:paraId="262E5490" w14:textId="77777777" w:rsidR="002F3D8B" w:rsidRPr="00C34DE9" w:rsidRDefault="003C5920" w:rsidP="001C195E">
            <w:pPr>
              <w:spacing w:after="0"/>
              <w:rPr>
                <w:rFonts w:ascii="Verdana" w:hAnsi="Verdana"/>
                <w:sz w:val="18"/>
                <w:szCs w:val="18"/>
              </w:rPr>
            </w:pPr>
            <w:r>
              <w:rPr>
                <w:rFonts w:ascii="Verdana" w:hAnsi="Verdana"/>
                <w:sz w:val="18"/>
                <w:szCs w:val="18"/>
              </w:rPr>
              <w:t>3</w:t>
            </w:r>
            <w:r w:rsidR="002F3D8B" w:rsidRPr="00C34DE9">
              <w:rPr>
                <w:rFonts w:ascii="Verdana" w:hAnsi="Verdana"/>
                <w:sz w:val="18"/>
                <w:szCs w:val="18"/>
              </w:rPr>
              <w:t>: EUR/farm</w:t>
            </w:r>
          </w:p>
          <w:p w14:paraId="71657D3B" w14:textId="6D185B52" w:rsidR="002F3D8B" w:rsidRDefault="003C5920" w:rsidP="001C195E">
            <w:pPr>
              <w:spacing w:after="0"/>
              <w:rPr>
                <w:rFonts w:ascii="Verdana" w:hAnsi="Verdana"/>
                <w:sz w:val="18"/>
                <w:szCs w:val="18"/>
              </w:rPr>
            </w:pPr>
            <w:r>
              <w:rPr>
                <w:rFonts w:ascii="Verdana" w:hAnsi="Verdana"/>
                <w:sz w:val="18"/>
                <w:szCs w:val="18"/>
              </w:rPr>
              <w:t xml:space="preserve">4: </w:t>
            </w:r>
            <w:r w:rsidR="004F1363" w:rsidRPr="00C34DE9">
              <w:rPr>
                <w:rFonts w:ascii="Verdana" w:hAnsi="Verdana"/>
                <w:sz w:val="18"/>
                <w:szCs w:val="18"/>
              </w:rPr>
              <w:t xml:space="preserve">ha/farm </w:t>
            </w:r>
          </w:p>
          <w:p w14:paraId="0730F68D" w14:textId="345468C6" w:rsidR="004F1363" w:rsidRPr="00C34DE9" w:rsidRDefault="003C5920" w:rsidP="001C195E">
            <w:pPr>
              <w:spacing w:after="0"/>
              <w:rPr>
                <w:rFonts w:ascii="Verdana" w:hAnsi="Verdana"/>
                <w:sz w:val="18"/>
                <w:szCs w:val="18"/>
              </w:rPr>
            </w:pPr>
            <w:r>
              <w:rPr>
                <w:rFonts w:ascii="Verdana" w:hAnsi="Verdana"/>
                <w:sz w:val="18"/>
                <w:szCs w:val="18"/>
              </w:rPr>
              <w:t xml:space="preserve">5: </w:t>
            </w:r>
            <w:r w:rsidR="002F3D8B" w:rsidRPr="00C34DE9">
              <w:rPr>
                <w:rFonts w:ascii="Verdana" w:hAnsi="Verdana"/>
                <w:sz w:val="18"/>
                <w:szCs w:val="18"/>
              </w:rPr>
              <w:t>number of AWU, number of persons</w:t>
            </w:r>
            <w:r w:rsidR="001D6460">
              <w:rPr>
                <w:rFonts w:ascii="Verdana" w:hAnsi="Verdana"/>
                <w:sz w:val="18"/>
                <w:szCs w:val="18"/>
              </w:rPr>
              <w:t>,</w:t>
            </w:r>
            <w:r>
              <w:rPr>
                <w:rFonts w:ascii="Verdana" w:hAnsi="Verdana"/>
                <w:sz w:val="18"/>
                <w:szCs w:val="18"/>
              </w:rPr>
              <w:t xml:space="preserve"> person/holding, </w:t>
            </w:r>
            <w:r w:rsidRPr="00C34DE9">
              <w:rPr>
                <w:rFonts w:ascii="Verdana" w:hAnsi="Verdana"/>
                <w:sz w:val="18"/>
                <w:szCs w:val="18"/>
              </w:rPr>
              <w:t>AWU/holding</w:t>
            </w:r>
          </w:p>
        </w:tc>
      </w:tr>
      <w:tr w:rsidR="004F1363" w:rsidRPr="00C34DE9" w14:paraId="78C2CFC4"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4FB11D71"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8C35AE1" w14:textId="77777777" w:rsidR="004F1363" w:rsidRDefault="004F1363" w:rsidP="002C58BD">
            <w:pPr>
              <w:rPr>
                <w:rFonts w:ascii="Verdana" w:hAnsi="Verdana"/>
                <w:sz w:val="18"/>
                <w:szCs w:val="18"/>
              </w:rPr>
            </w:pPr>
            <w:r w:rsidRPr="00C34DE9">
              <w:rPr>
                <w:rFonts w:ascii="Verdana" w:hAnsi="Verdana"/>
                <w:sz w:val="18"/>
                <w:szCs w:val="18"/>
              </w:rPr>
              <w:t>Eurostat – Farm Structure Survey (FSS)</w:t>
            </w:r>
          </w:p>
          <w:p w14:paraId="598259FB" w14:textId="77777777" w:rsidR="00A476B4" w:rsidRPr="00C34DE9" w:rsidRDefault="00A476B4" w:rsidP="002C58BD">
            <w:pPr>
              <w:rPr>
                <w:rFonts w:ascii="Verdana" w:hAnsi="Verdana"/>
                <w:sz w:val="18"/>
                <w:szCs w:val="18"/>
              </w:rPr>
            </w:pPr>
            <w:r>
              <w:rPr>
                <w:rFonts w:ascii="Verdana" w:hAnsi="Verdana"/>
                <w:sz w:val="18"/>
                <w:szCs w:val="18"/>
              </w:rPr>
              <w:t>Eurostat – Integrated Farm Statistics (IFS)</w:t>
            </w:r>
          </w:p>
        </w:tc>
      </w:tr>
      <w:tr w:rsidR="004F1363" w:rsidRPr="00C34DE9" w14:paraId="769D5A0B"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64A98D62"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7A1DA1E" w14:textId="77777777" w:rsidR="004F1363" w:rsidRPr="00C34DE9" w:rsidRDefault="004F1363" w:rsidP="002C58BD">
            <w:pPr>
              <w:spacing w:after="60" w:line="240" w:lineRule="auto"/>
              <w:rPr>
                <w:rFonts w:ascii="Verdana" w:hAnsi="Verdana"/>
                <w:sz w:val="18"/>
                <w:szCs w:val="18"/>
              </w:rPr>
            </w:pPr>
            <w:r w:rsidRPr="00C34DE9">
              <w:rPr>
                <w:rFonts w:ascii="Verdana" w:hAnsi="Verdana"/>
                <w:sz w:val="18"/>
                <w:szCs w:val="18"/>
              </w:rPr>
              <w:t>For number of farms, for the physical size (ha of UAA) and for the economic size of farms (SO)</w:t>
            </w:r>
            <w:r w:rsidR="00200E48">
              <w:rPr>
                <w:rFonts w:ascii="Verdana" w:hAnsi="Verdana"/>
                <w:sz w:val="18"/>
                <w:szCs w:val="18"/>
              </w:rPr>
              <w:t xml:space="preserve"> (national and regional)</w:t>
            </w:r>
            <w:r w:rsidRPr="00C34DE9">
              <w:rPr>
                <w:rFonts w:ascii="Verdana" w:hAnsi="Verdana"/>
                <w:sz w:val="18"/>
                <w:szCs w:val="18"/>
              </w:rPr>
              <w:t xml:space="preserve">: </w:t>
            </w:r>
            <w:r w:rsidR="001E71E9">
              <w:rPr>
                <w:rFonts w:ascii="Verdana" w:hAnsi="Verdana"/>
                <w:sz w:val="18"/>
                <w:szCs w:val="18"/>
              </w:rPr>
              <w:t>table [</w:t>
            </w:r>
            <w:hyperlink r:id="rId70" w:history="1">
              <w:r w:rsidR="006323A6" w:rsidRPr="006323A6">
                <w:rPr>
                  <w:rStyle w:val="Hyperlink"/>
                  <w:rFonts w:ascii="Verdana" w:hAnsi="Verdana"/>
                  <w:sz w:val="18"/>
                  <w:szCs w:val="18"/>
                </w:rPr>
                <w:t>ef_m_farmleg</w:t>
              </w:r>
            </w:hyperlink>
            <w:r w:rsidR="001E71E9">
              <w:rPr>
                <w:lang w:val="pt-PT"/>
              </w:rPr>
              <w:t>]</w:t>
            </w:r>
          </w:p>
          <w:p w14:paraId="773991DA" w14:textId="77777777" w:rsidR="004F1363" w:rsidRPr="00605E91" w:rsidRDefault="004F1363" w:rsidP="00200E48">
            <w:pPr>
              <w:spacing w:after="60" w:line="240" w:lineRule="auto"/>
              <w:rPr>
                <w:rFonts w:ascii="Verdana" w:hAnsi="Verdana"/>
                <w:sz w:val="18"/>
                <w:szCs w:val="18"/>
                <w:lang w:val="en-US"/>
              </w:rPr>
            </w:pPr>
            <w:r w:rsidRPr="00C34DE9">
              <w:rPr>
                <w:rFonts w:ascii="Verdana" w:hAnsi="Verdana"/>
                <w:sz w:val="18"/>
                <w:szCs w:val="18"/>
              </w:rPr>
              <w:t>For the labour force size</w:t>
            </w:r>
            <w:r w:rsidR="00200E48">
              <w:rPr>
                <w:rFonts w:ascii="Verdana" w:hAnsi="Verdana"/>
                <w:sz w:val="18"/>
                <w:szCs w:val="18"/>
              </w:rPr>
              <w:t xml:space="preserve"> (national and regional)</w:t>
            </w:r>
            <w:r w:rsidRPr="00C34DE9">
              <w:rPr>
                <w:rFonts w:ascii="Verdana" w:hAnsi="Verdana"/>
                <w:sz w:val="18"/>
                <w:szCs w:val="18"/>
              </w:rPr>
              <w:t xml:space="preserve">: </w:t>
            </w:r>
            <w:r w:rsidR="001E71E9">
              <w:rPr>
                <w:rFonts w:ascii="Verdana" w:hAnsi="Verdana"/>
                <w:sz w:val="18"/>
                <w:szCs w:val="18"/>
              </w:rPr>
              <w:t>table [</w:t>
            </w:r>
            <w:hyperlink r:id="rId71" w:history="1">
              <w:r w:rsidRPr="00D913BC">
                <w:rPr>
                  <w:rStyle w:val="Hyperlink"/>
                  <w:rFonts w:ascii="Verdana" w:hAnsi="Verdana"/>
                  <w:sz w:val="18"/>
                  <w:szCs w:val="18"/>
                </w:rPr>
                <w:t>ef_</w:t>
              </w:r>
              <w:r w:rsidR="006B70B2" w:rsidRPr="00D913BC">
                <w:rPr>
                  <w:rStyle w:val="Hyperlink"/>
                  <w:rFonts w:ascii="Verdana" w:hAnsi="Verdana"/>
                  <w:sz w:val="18"/>
                  <w:szCs w:val="18"/>
                </w:rPr>
                <w:t>lf_size</w:t>
              </w:r>
            </w:hyperlink>
            <w:r w:rsidR="001E71E9">
              <w:rPr>
                <w:lang w:val="pt-PT"/>
              </w:rPr>
              <w:t>]</w:t>
            </w:r>
            <w:r w:rsidRPr="00C34DE9">
              <w:rPr>
                <w:rFonts w:ascii="Verdana" w:hAnsi="Verdana"/>
                <w:sz w:val="18"/>
                <w:szCs w:val="18"/>
              </w:rPr>
              <w:t xml:space="preserve"> </w:t>
            </w:r>
          </w:p>
        </w:tc>
      </w:tr>
      <w:tr w:rsidR="004F1363" w:rsidRPr="00C34DE9" w14:paraId="6F39D3D0"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0D944FF6"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 xml:space="preserve">Data collection </w:t>
            </w:r>
            <w:r w:rsidR="00EA5948" w:rsidRPr="5CB4B133">
              <w:rPr>
                <w:rFonts w:ascii="Verdana" w:hAnsi="Verdana"/>
                <w:b/>
                <w:bCs/>
                <w:sz w:val="18"/>
                <w:szCs w:val="18"/>
              </w:rPr>
              <w:t xml:space="preserve">/ dissemination </w:t>
            </w:r>
            <w:r w:rsidRPr="5CB4B133">
              <w:rPr>
                <w:rFonts w:ascii="Verdana" w:hAnsi="Verdana"/>
                <w:b/>
                <w:bCs/>
                <w:sz w:val="18"/>
                <w:szCs w:val="18"/>
              </w:rPr>
              <w:t>level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DCC3C81" w14:textId="77777777" w:rsidR="004F1363" w:rsidRPr="00C34DE9" w:rsidRDefault="004F1363" w:rsidP="002C58BD">
            <w:pPr>
              <w:spacing w:after="60" w:line="240" w:lineRule="auto"/>
              <w:rPr>
                <w:rFonts w:ascii="Verdana" w:hAnsi="Verdana"/>
                <w:sz w:val="18"/>
                <w:szCs w:val="18"/>
              </w:rPr>
            </w:pPr>
            <w:r w:rsidRPr="00C34DE9">
              <w:rPr>
                <w:rFonts w:ascii="Verdana" w:hAnsi="Verdana"/>
                <w:sz w:val="18"/>
                <w:szCs w:val="18"/>
              </w:rPr>
              <w:t xml:space="preserve">EU, </w:t>
            </w:r>
            <w:r w:rsidR="00D913BC">
              <w:rPr>
                <w:rFonts w:ascii="Verdana" w:hAnsi="Verdana"/>
                <w:sz w:val="18"/>
                <w:szCs w:val="18"/>
              </w:rPr>
              <w:t>N</w:t>
            </w:r>
            <w:r w:rsidRPr="00C34DE9">
              <w:rPr>
                <w:rFonts w:ascii="Verdana" w:hAnsi="Verdana"/>
                <w:sz w:val="18"/>
                <w:szCs w:val="18"/>
              </w:rPr>
              <w:t>ational (NUTS 0)</w:t>
            </w:r>
            <w:r w:rsidR="00D913BC">
              <w:rPr>
                <w:rFonts w:ascii="Verdana" w:hAnsi="Verdana"/>
                <w:sz w:val="18"/>
                <w:szCs w:val="18"/>
              </w:rPr>
              <w:t>, R</w:t>
            </w:r>
            <w:r w:rsidRPr="00C34DE9">
              <w:rPr>
                <w:rFonts w:ascii="Verdana" w:hAnsi="Verdana"/>
                <w:sz w:val="18"/>
                <w:szCs w:val="18"/>
              </w:rPr>
              <w:t>egional (NUTS 1 and 2)</w:t>
            </w:r>
          </w:p>
        </w:tc>
      </w:tr>
      <w:tr w:rsidR="004F1363" w:rsidRPr="00C34DE9" w14:paraId="30D407C0"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187FC02F"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7FC9B05" w14:textId="77777777" w:rsidR="004F1363" w:rsidRPr="00C34DE9" w:rsidRDefault="004F1363" w:rsidP="002C58BD">
            <w:pPr>
              <w:spacing w:after="60" w:line="240" w:lineRule="auto"/>
              <w:rPr>
                <w:rFonts w:ascii="Verdana" w:hAnsi="Verdana"/>
                <w:sz w:val="18"/>
                <w:szCs w:val="18"/>
              </w:rPr>
            </w:pPr>
            <w:r w:rsidRPr="00C34DE9">
              <w:rPr>
                <w:rFonts w:ascii="Verdana" w:hAnsi="Verdana"/>
                <w:sz w:val="18"/>
                <w:szCs w:val="18"/>
              </w:rPr>
              <w:t>FSS</w:t>
            </w:r>
            <w:r w:rsidR="00A476B4">
              <w:rPr>
                <w:rFonts w:ascii="Verdana" w:hAnsi="Verdana"/>
                <w:sz w:val="18"/>
                <w:szCs w:val="18"/>
              </w:rPr>
              <w:t>/IFS</w:t>
            </w:r>
            <w:r w:rsidRPr="00C34DE9">
              <w:rPr>
                <w:rFonts w:ascii="Verdana" w:hAnsi="Verdana"/>
                <w:sz w:val="18"/>
                <w:szCs w:val="18"/>
              </w:rPr>
              <w:t>: full census every 10 years, intermediate surveys 2 times in-between.</w:t>
            </w:r>
          </w:p>
        </w:tc>
      </w:tr>
      <w:tr w:rsidR="004F1363" w:rsidRPr="00C34DE9" w14:paraId="2FCEDED0"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513A312F" w14:textId="77777777" w:rsidR="004F1363" w:rsidRPr="00C34DE9" w:rsidRDefault="00EA5948"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07DA926" w14:textId="77777777" w:rsidR="004F1363" w:rsidRPr="00C34DE9" w:rsidRDefault="00A476B4" w:rsidP="00075B11">
            <w:pPr>
              <w:spacing w:after="60" w:line="240" w:lineRule="auto"/>
              <w:rPr>
                <w:rFonts w:ascii="Verdana" w:hAnsi="Verdana"/>
                <w:sz w:val="18"/>
                <w:szCs w:val="18"/>
              </w:rPr>
            </w:pPr>
            <w:r>
              <w:t xml:space="preserve">2 years </w:t>
            </w:r>
          </w:p>
        </w:tc>
      </w:tr>
      <w:tr w:rsidR="004F1363" w:rsidRPr="00C34DE9" w14:paraId="20B0EE96" w14:textId="77777777" w:rsidTr="7CF3AEC2">
        <w:tc>
          <w:tcPr>
            <w:tcW w:w="2518" w:type="dxa"/>
            <w:tcBorders>
              <w:top w:val="single" w:sz="4" w:space="0" w:color="auto"/>
              <w:left w:val="single" w:sz="4" w:space="0" w:color="auto"/>
              <w:bottom w:val="single" w:sz="4" w:space="0" w:color="auto"/>
              <w:right w:val="single" w:sz="4" w:space="0" w:color="auto"/>
            </w:tcBorders>
            <w:shd w:val="clear" w:color="auto" w:fill="auto"/>
          </w:tcPr>
          <w:p w14:paraId="2E469A65"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4454690" w14:textId="25444D52" w:rsidR="00A84515" w:rsidRPr="00C34DE9" w:rsidRDefault="00D24F34" w:rsidP="00B31071">
            <w:pPr>
              <w:spacing w:after="60" w:line="240" w:lineRule="auto"/>
              <w:rPr>
                <w:rFonts w:ascii="Verdana" w:hAnsi="Verdana"/>
                <w:sz w:val="18"/>
                <w:szCs w:val="18"/>
              </w:rPr>
            </w:pPr>
            <w:r>
              <w:rPr>
                <w:rFonts w:ascii="Verdana" w:hAnsi="Verdana"/>
                <w:sz w:val="18"/>
                <w:szCs w:val="18"/>
              </w:rPr>
              <w:t>IFS as of survey year 2020</w:t>
            </w:r>
          </w:p>
        </w:tc>
      </w:tr>
    </w:tbl>
    <w:p w14:paraId="3EBDB61A" w14:textId="77777777" w:rsidR="00841E23" w:rsidRPr="00C34DE9" w:rsidRDefault="00841E23" w:rsidP="00544872">
      <w:pPr>
        <w:spacing w:after="60" w:line="240" w:lineRule="auto"/>
        <w:rPr>
          <w:rFonts w:ascii="Verdana" w:hAnsi="Verdana"/>
          <w:b/>
          <w:sz w:val="18"/>
          <w:szCs w:val="18"/>
        </w:rPr>
      </w:pPr>
      <w:r w:rsidRPr="00C34DE9">
        <w:rPr>
          <w:rFonts w:ascii="Verdana" w:hAnsi="Verdana"/>
          <w:b/>
          <w:sz w:val="18"/>
          <w:szCs w:val="18"/>
        </w:rPr>
        <w:t xml:space="preserve">  </w:t>
      </w:r>
    </w:p>
    <w:p w14:paraId="0EFFD379" w14:textId="77777777" w:rsidR="00A84515" w:rsidRPr="00C34DE9" w:rsidRDefault="00A74418" w:rsidP="00544872">
      <w:pPr>
        <w:spacing w:after="60" w:line="240" w:lineRule="auto"/>
        <w:rPr>
          <w:rFonts w:ascii="Verdana" w:hAnsi="Verdana"/>
          <w:b/>
          <w:sz w:val="18"/>
          <w:szCs w:val="18"/>
        </w:rPr>
      </w:pPr>
      <w:r w:rsidRPr="00C34DE9">
        <w:rPr>
          <w:rFonts w:ascii="Verdana" w:hAnsi="Verdana"/>
          <w:b/>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4F1363" w:rsidRPr="00C34DE9" w14:paraId="252B8B77" w14:textId="77777777" w:rsidTr="7CF3AEC2">
        <w:trPr>
          <w:trHeight w:val="411"/>
        </w:trPr>
        <w:tc>
          <w:tcPr>
            <w:tcW w:w="2518" w:type="dxa"/>
            <w:shd w:val="clear" w:color="auto" w:fill="auto"/>
          </w:tcPr>
          <w:p w14:paraId="07607C23" w14:textId="77777777" w:rsidR="004F1363" w:rsidRPr="00C34DE9" w:rsidRDefault="00D913BC" w:rsidP="5CB4B133">
            <w:pPr>
              <w:spacing w:after="60" w:line="240" w:lineRule="auto"/>
              <w:rPr>
                <w:rFonts w:ascii="Verdana" w:hAnsi="Verdana"/>
                <w:b/>
                <w:bCs/>
                <w:sz w:val="18"/>
                <w:szCs w:val="18"/>
              </w:rPr>
            </w:pPr>
            <w:bookmarkStart w:id="16" w:name="C13"/>
            <w:r w:rsidRPr="5CB4B133">
              <w:rPr>
                <w:rFonts w:ascii="Verdana" w:hAnsi="Verdana"/>
                <w:b/>
                <w:bCs/>
                <w:smallCaps/>
                <w:sz w:val="18"/>
                <w:szCs w:val="18"/>
              </w:rPr>
              <w:lastRenderedPageBreak/>
              <w:t>Indicator</w:t>
            </w:r>
            <w:r w:rsidR="004F1363" w:rsidRPr="5CB4B133">
              <w:rPr>
                <w:rFonts w:ascii="Verdana" w:hAnsi="Verdana"/>
                <w:b/>
                <w:bCs/>
                <w:sz w:val="18"/>
                <w:szCs w:val="18"/>
              </w:rPr>
              <w:t xml:space="preserve"> </w:t>
            </w:r>
            <w:r w:rsidR="004F1363" w:rsidRPr="5CB4B133">
              <w:rPr>
                <w:rFonts w:ascii="Verdana" w:hAnsi="Verdana"/>
                <w:b/>
                <w:bCs/>
                <w:smallCaps/>
                <w:sz w:val="18"/>
                <w:szCs w:val="18"/>
              </w:rPr>
              <w:t>C.</w:t>
            </w:r>
            <w:r w:rsidR="004F1363" w:rsidRPr="5CB4B133">
              <w:rPr>
                <w:rFonts w:ascii="Verdana" w:hAnsi="Verdana"/>
                <w:b/>
                <w:bCs/>
                <w:sz w:val="18"/>
                <w:szCs w:val="18"/>
              </w:rPr>
              <w:t>13</w:t>
            </w:r>
            <w:bookmarkEnd w:id="16"/>
          </w:p>
        </w:tc>
        <w:tc>
          <w:tcPr>
            <w:tcW w:w="7513" w:type="dxa"/>
            <w:shd w:val="clear" w:color="auto" w:fill="auto"/>
          </w:tcPr>
          <w:p w14:paraId="1B870084" w14:textId="77777777" w:rsidR="004F1363" w:rsidRPr="00C34DE9" w:rsidRDefault="004F1363" w:rsidP="00C30187">
            <w:pPr>
              <w:spacing w:after="60"/>
              <w:rPr>
                <w:rFonts w:ascii="Verdana" w:hAnsi="Verdana"/>
                <w:caps/>
                <w:sz w:val="18"/>
                <w:szCs w:val="18"/>
              </w:rPr>
            </w:pPr>
          </w:p>
        </w:tc>
      </w:tr>
      <w:tr w:rsidR="004F1363" w:rsidRPr="00C34DE9" w14:paraId="2DE9A024" w14:textId="77777777" w:rsidTr="7CF3AEC2">
        <w:trPr>
          <w:trHeight w:val="492"/>
        </w:trPr>
        <w:tc>
          <w:tcPr>
            <w:tcW w:w="2518" w:type="dxa"/>
            <w:shd w:val="clear" w:color="auto" w:fill="auto"/>
          </w:tcPr>
          <w:p w14:paraId="129220F6"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0B0730D9" w14:textId="438B4879" w:rsidR="004F1363" w:rsidRPr="00C34DE9" w:rsidRDefault="004F1363" w:rsidP="5CB4B133">
            <w:pPr>
              <w:spacing w:after="60" w:line="240" w:lineRule="auto"/>
              <w:jc w:val="center"/>
              <w:rPr>
                <w:rFonts w:ascii="Verdana" w:hAnsi="Verdana"/>
                <w:b/>
                <w:bCs/>
                <w:sz w:val="18"/>
                <w:szCs w:val="18"/>
              </w:rPr>
            </w:pPr>
            <w:r w:rsidRPr="5CB4B133">
              <w:rPr>
                <w:rFonts w:ascii="Verdana" w:hAnsi="Verdana"/>
                <w:b/>
                <w:bCs/>
                <w:sz w:val="18"/>
                <w:szCs w:val="18"/>
              </w:rPr>
              <w:t>Farm labour force</w:t>
            </w:r>
          </w:p>
        </w:tc>
      </w:tr>
      <w:tr w:rsidR="004F1363" w:rsidRPr="00C34DE9" w14:paraId="591C8463" w14:textId="77777777" w:rsidTr="7CF3AEC2">
        <w:tc>
          <w:tcPr>
            <w:tcW w:w="2518" w:type="dxa"/>
            <w:shd w:val="clear" w:color="auto" w:fill="auto"/>
          </w:tcPr>
          <w:p w14:paraId="76B15E77"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0D81EFD3" w14:textId="73BD0350" w:rsidR="004F1363" w:rsidRPr="00C34DE9" w:rsidRDefault="004F1363" w:rsidP="005B5547">
            <w:pPr>
              <w:pStyle w:val="RD-Indicatortabletext"/>
              <w:spacing w:after="60"/>
              <w:jc w:val="both"/>
              <w:rPr>
                <w:rFonts w:cs="Times New Roman"/>
                <w:sz w:val="18"/>
                <w:szCs w:val="18"/>
              </w:rPr>
            </w:pPr>
            <w:r w:rsidRPr="00C34DE9">
              <w:rPr>
                <w:rFonts w:cs="Times New Roman"/>
                <w:sz w:val="18"/>
                <w:szCs w:val="18"/>
              </w:rPr>
              <w:t xml:space="preserve">The indicator shows the </w:t>
            </w:r>
            <w:r w:rsidRPr="3F4AE0BD">
              <w:rPr>
                <w:rFonts w:cs="Times New Roman"/>
                <w:b/>
                <w:bCs/>
                <w:sz w:val="18"/>
                <w:szCs w:val="18"/>
              </w:rPr>
              <w:t xml:space="preserve">labour force directly employed by the agricultural holding and working regularly, </w:t>
            </w:r>
            <w:r w:rsidR="00AE59DD" w:rsidRPr="3F4AE0BD">
              <w:rPr>
                <w:rFonts w:cs="Times New Roman"/>
                <w:b/>
                <w:bCs/>
                <w:sz w:val="18"/>
                <w:szCs w:val="18"/>
              </w:rPr>
              <w:t xml:space="preserve">and </w:t>
            </w:r>
            <w:r w:rsidR="00D80B87" w:rsidRPr="3F4AE0BD">
              <w:rPr>
                <w:rFonts w:cs="Times New Roman"/>
                <w:b/>
                <w:bCs/>
                <w:sz w:val="18"/>
                <w:szCs w:val="18"/>
              </w:rPr>
              <w:t xml:space="preserve">the </w:t>
            </w:r>
            <w:r w:rsidR="00AE59DD" w:rsidRPr="3F4AE0BD">
              <w:rPr>
                <w:rFonts w:cs="Times New Roman"/>
                <w:b/>
                <w:bCs/>
                <w:sz w:val="18"/>
                <w:szCs w:val="18"/>
              </w:rPr>
              <w:t xml:space="preserve">temporary labour force. </w:t>
            </w:r>
          </w:p>
          <w:p w14:paraId="4CDA170B" w14:textId="77777777" w:rsidR="004F1363" w:rsidRDefault="004F1363" w:rsidP="005B5547">
            <w:pPr>
              <w:pStyle w:val="RD-Indicatortabletext"/>
              <w:spacing w:after="60"/>
              <w:jc w:val="both"/>
              <w:rPr>
                <w:rFonts w:cs="Times New Roman"/>
                <w:sz w:val="18"/>
                <w:szCs w:val="18"/>
              </w:rPr>
            </w:pPr>
            <w:r w:rsidRPr="5CB4B133">
              <w:rPr>
                <w:rFonts w:cs="Times New Roman"/>
                <w:sz w:val="18"/>
                <w:szCs w:val="18"/>
              </w:rPr>
              <w:t>The farm labour force of the holding</w:t>
            </w:r>
            <w:r w:rsidRPr="00C34DE9">
              <w:rPr>
                <w:rFonts w:cs="Times New Roman"/>
                <w:sz w:val="18"/>
                <w:szCs w:val="18"/>
              </w:rPr>
              <w:t xml:space="preserve"> includes all persons having completed their compulsory education (having reached school-leaving age) who carried out farm work on the holding during the 12 months ending on the reference day of the survey. All persons of retirement age who continue to work on the holding are included in the farm labour force.</w:t>
            </w:r>
          </w:p>
          <w:p w14:paraId="65B2CCF9" w14:textId="77777777" w:rsidR="00AE59DD" w:rsidRPr="00C34DE9" w:rsidRDefault="00AE59DD" w:rsidP="005B5547">
            <w:pPr>
              <w:pStyle w:val="RD-Indicatortabletext"/>
              <w:spacing w:after="60"/>
              <w:jc w:val="both"/>
              <w:rPr>
                <w:rFonts w:cs="Times New Roman"/>
                <w:sz w:val="18"/>
                <w:szCs w:val="18"/>
              </w:rPr>
            </w:pPr>
            <w:r>
              <w:rPr>
                <w:rFonts w:cs="Times New Roman"/>
                <w:sz w:val="18"/>
                <w:szCs w:val="18"/>
              </w:rPr>
              <w:t xml:space="preserve">It consists of </w:t>
            </w:r>
            <w:r w:rsidR="007139E9">
              <w:rPr>
                <w:rFonts w:cs="Times New Roman"/>
                <w:sz w:val="18"/>
                <w:szCs w:val="18"/>
              </w:rPr>
              <w:t>2</w:t>
            </w:r>
            <w:r>
              <w:rPr>
                <w:rFonts w:cs="Times New Roman"/>
                <w:sz w:val="18"/>
                <w:szCs w:val="18"/>
              </w:rPr>
              <w:t xml:space="preserve"> </w:t>
            </w:r>
            <w:r w:rsidR="00DD478B">
              <w:rPr>
                <w:rFonts w:cs="Times New Roman"/>
                <w:sz w:val="18"/>
                <w:szCs w:val="18"/>
              </w:rPr>
              <w:t>specific indicators</w:t>
            </w:r>
            <w:r>
              <w:rPr>
                <w:rFonts w:cs="Times New Roman"/>
                <w:sz w:val="18"/>
                <w:szCs w:val="18"/>
              </w:rPr>
              <w:t>:</w:t>
            </w:r>
          </w:p>
          <w:p w14:paraId="7D99D71F" w14:textId="29AC4C07" w:rsidR="00421AD8" w:rsidRPr="00D80B87" w:rsidRDefault="00AE59DD" w:rsidP="00665997">
            <w:pPr>
              <w:pStyle w:val="ListParagraph"/>
              <w:numPr>
                <w:ilvl w:val="1"/>
                <w:numId w:val="96"/>
              </w:numPr>
              <w:spacing w:line="240" w:lineRule="auto"/>
              <w:ind w:left="641" w:hanging="357"/>
            </w:pPr>
            <w:r w:rsidRPr="3F4AE0BD">
              <w:rPr>
                <w:rFonts w:ascii="Verdana" w:hAnsi="Verdana"/>
                <w:b/>
                <w:bCs/>
                <w:sz w:val="18"/>
                <w:szCs w:val="18"/>
              </w:rPr>
              <w:t>t</w:t>
            </w:r>
            <w:r w:rsidR="004F1363" w:rsidRPr="3F4AE0BD">
              <w:rPr>
                <w:rFonts w:ascii="Verdana" w:hAnsi="Verdana"/>
                <w:b/>
                <w:bCs/>
                <w:sz w:val="18"/>
                <w:szCs w:val="18"/>
              </w:rPr>
              <w:t xml:space="preserve">otal </w:t>
            </w:r>
            <w:r w:rsidR="007139E9" w:rsidRPr="3F4AE0BD">
              <w:rPr>
                <w:rFonts w:ascii="Verdana" w:hAnsi="Verdana"/>
                <w:b/>
                <w:bCs/>
                <w:sz w:val="18"/>
                <w:szCs w:val="18"/>
              </w:rPr>
              <w:t xml:space="preserve">labour force </w:t>
            </w:r>
            <w:r w:rsidR="004F1363" w:rsidRPr="3F4AE0BD">
              <w:rPr>
                <w:rFonts w:ascii="Verdana" w:hAnsi="Verdana"/>
                <w:b/>
                <w:bCs/>
                <w:sz w:val="18"/>
                <w:szCs w:val="18"/>
              </w:rPr>
              <w:t xml:space="preserve">and </w:t>
            </w:r>
            <w:r w:rsidR="007139E9" w:rsidRPr="3F4AE0BD">
              <w:rPr>
                <w:rFonts w:ascii="Verdana" w:hAnsi="Verdana"/>
                <w:b/>
                <w:bCs/>
                <w:sz w:val="18"/>
                <w:szCs w:val="18"/>
              </w:rPr>
              <w:t xml:space="preserve">labour force </w:t>
            </w:r>
            <w:r w:rsidR="004F1363" w:rsidRPr="3F4AE0BD">
              <w:rPr>
                <w:rFonts w:ascii="Verdana" w:hAnsi="Verdana"/>
                <w:b/>
                <w:bCs/>
                <w:sz w:val="18"/>
                <w:szCs w:val="18"/>
              </w:rPr>
              <w:t>by</w:t>
            </w:r>
            <w:r w:rsidR="009B3824" w:rsidRPr="3F4AE0BD">
              <w:rPr>
                <w:rFonts w:ascii="Verdana" w:hAnsi="Verdana"/>
                <w:b/>
                <w:bCs/>
                <w:sz w:val="18"/>
                <w:szCs w:val="18"/>
              </w:rPr>
              <w:t xml:space="preserve"> sex</w:t>
            </w:r>
            <w:r w:rsidR="004F1363" w:rsidRPr="00137DBC">
              <w:rPr>
                <w:rFonts w:ascii="Verdana" w:hAnsi="Verdana"/>
                <w:sz w:val="18"/>
                <w:szCs w:val="18"/>
              </w:rPr>
              <w:t xml:space="preserve"> for the different categories of farm </w:t>
            </w:r>
            <w:r w:rsidRPr="00137DBC">
              <w:rPr>
                <w:rFonts w:ascii="Verdana" w:hAnsi="Verdana"/>
                <w:sz w:val="18"/>
                <w:szCs w:val="18"/>
              </w:rPr>
              <w:t xml:space="preserve">regular </w:t>
            </w:r>
            <w:r w:rsidR="004F1363" w:rsidRPr="00137DBC">
              <w:rPr>
                <w:rFonts w:ascii="Verdana" w:hAnsi="Verdana"/>
                <w:sz w:val="18"/>
                <w:szCs w:val="18"/>
              </w:rPr>
              <w:t>labour force:</w:t>
            </w:r>
            <w:r w:rsidR="00D80B87" w:rsidRPr="00C34DE9">
              <w:t xml:space="preserve"> sole holders working in the farm</w:t>
            </w:r>
            <w:r w:rsidR="00D80B87">
              <w:t>, m</w:t>
            </w:r>
            <w:r w:rsidR="00D80B87" w:rsidRPr="00D80B87">
              <w:t>embers of sole holders' family working on the farm</w:t>
            </w:r>
            <w:r w:rsidR="00D80B87" w:rsidRPr="5D021C1E">
              <w:t>,</w:t>
            </w:r>
            <w:r w:rsidR="00D80B87" w:rsidRPr="00C34DE9">
              <w:t xml:space="preserve"> family labour force (sole holders working in the farm + members of the sole holder’s family working in the farm)</w:t>
            </w:r>
            <w:r w:rsidR="00D80B87" w:rsidRPr="5D021C1E">
              <w:t xml:space="preserve">, </w:t>
            </w:r>
            <w:r w:rsidR="00D80B87" w:rsidRPr="00C34DE9">
              <w:t>non-family labour force</w:t>
            </w:r>
          </w:p>
          <w:p w14:paraId="218DD476" w14:textId="4D32DD71" w:rsidR="004F1363" w:rsidRPr="00AE59DD" w:rsidRDefault="0A8A2524" w:rsidP="00665997">
            <w:pPr>
              <w:pStyle w:val="ListParagraph"/>
              <w:numPr>
                <w:ilvl w:val="0"/>
                <w:numId w:val="96"/>
              </w:numPr>
              <w:autoSpaceDE w:val="0"/>
              <w:autoSpaceDN w:val="0"/>
              <w:adjustRightInd w:val="0"/>
              <w:spacing w:after="60" w:line="240" w:lineRule="auto"/>
              <w:jc w:val="both"/>
            </w:pPr>
            <w:r w:rsidRPr="7CF3AEC2">
              <w:rPr>
                <w:rFonts w:ascii="Verdana" w:hAnsi="Verdana"/>
                <w:b/>
                <w:bCs/>
                <w:sz w:val="18"/>
                <w:szCs w:val="18"/>
              </w:rPr>
              <w:t>non-regular labour force</w:t>
            </w:r>
            <w:r w:rsidRPr="7CF3AEC2">
              <w:rPr>
                <w:rFonts w:ascii="Verdana" w:hAnsi="Verdana"/>
                <w:sz w:val="18"/>
                <w:szCs w:val="18"/>
              </w:rPr>
              <w:t xml:space="preserve"> (only AWU)</w:t>
            </w:r>
            <w:r w:rsidR="37A7B949" w:rsidRPr="7CF3AEC2">
              <w:rPr>
                <w:rFonts w:ascii="Verdana" w:hAnsi="Verdana"/>
                <w:sz w:val="18"/>
                <w:szCs w:val="18"/>
              </w:rPr>
              <w:t>.</w:t>
            </w:r>
          </w:p>
        </w:tc>
      </w:tr>
      <w:tr w:rsidR="004F1363" w:rsidRPr="00C34DE9" w14:paraId="66A29F82" w14:textId="77777777" w:rsidTr="7CF3AEC2">
        <w:tc>
          <w:tcPr>
            <w:tcW w:w="2518" w:type="dxa"/>
            <w:shd w:val="clear" w:color="auto" w:fill="auto"/>
          </w:tcPr>
          <w:p w14:paraId="360FBBC8"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14A3BE20" w14:textId="77777777" w:rsidR="00AE59DD" w:rsidRDefault="00D80B87" w:rsidP="005B5547">
            <w:pPr>
              <w:spacing w:after="60" w:line="240" w:lineRule="auto"/>
              <w:jc w:val="both"/>
              <w:rPr>
                <w:rFonts w:ascii="Verdana" w:hAnsi="Verdana"/>
                <w:sz w:val="18"/>
                <w:szCs w:val="18"/>
              </w:rPr>
            </w:pPr>
            <w:r>
              <w:rPr>
                <w:rFonts w:ascii="Verdana" w:hAnsi="Verdana"/>
                <w:sz w:val="18"/>
                <w:szCs w:val="18"/>
              </w:rPr>
              <w:t xml:space="preserve">1: </w:t>
            </w:r>
            <w:r w:rsidR="004E7BEB">
              <w:rPr>
                <w:rFonts w:ascii="Verdana" w:eastAsia="Times New Roman" w:hAnsi="Verdana"/>
                <w:sz w:val="18"/>
                <w:szCs w:val="18"/>
              </w:rPr>
              <w:t xml:space="preserve">number of persons </w:t>
            </w:r>
            <w:r>
              <w:rPr>
                <w:rFonts w:ascii="Verdana" w:hAnsi="Verdana"/>
                <w:sz w:val="18"/>
                <w:szCs w:val="18"/>
              </w:rPr>
              <w:t>and AWU</w:t>
            </w:r>
            <w:r w:rsidR="000937F0">
              <w:rPr>
                <w:rFonts w:ascii="Verdana" w:hAnsi="Verdana"/>
                <w:sz w:val="18"/>
                <w:szCs w:val="18"/>
              </w:rPr>
              <w:t xml:space="preserve"> </w:t>
            </w:r>
            <w:r w:rsidR="000937F0">
              <w:rPr>
                <w:rFonts w:ascii="Verdana" w:eastAsia="Times New Roman" w:hAnsi="Verdana"/>
                <w:sz w:val="18"/>
                <w:szCs w:val="18"/>
              </w:rPr>
              <w:t>(in thousands)</w:t>
            </w:r>
          </w:p>
          <w:p w14:paraId="68C19CA0" w14:textId="7107E41F" w:rsidR="004F1363" w:rsidRPr="00C34DE9" w:rsidRDefault="00D80B87" w:rsidP="005B5547">
            <w:pPr>
              <w:spacing w:after="60" w:line="240" w:lineRule="auto"/>
              <w:jc w:val="both"/>
              <w:rPr>
                <w:rFonts w:ascii="Verdana" w:hAnsi="Verdana"/>
                <w:sz w:val="18"/>
                <w:szCs w:val="18"/>
              </w:rPr>
            </w:pPr>
            <w:r>
              <w:rPr>
                <w:rFonts w:ascii="Verdana" w:hAnsi="Verdana"/>
                <w:sz w:val="18"/>
                <w:szCs w:val="18"/>
              </w:rPr>
              <w:t xml:space="preserve">2: </w:t>
            </w:r>
            <w:r w:rsidR="000937F0">
              <w:rPr>
                <w:rFonts w:ascii="Verdana" w:hAnsi="Verdana"/>
                <w:sz w:val="18"/>
                <w:szCs w:val="18"/>
              </w:rPr>
              <w:t xml:space="preserve">number of </w:t>
            </w:r>
            <w:r w:rsidR="004F1363" w:rsidRPr="00C34DE9">
              <w:rPr>
                <w:rFonts w:ascii="Verdana" w:hAnsi="Verdana"/>
                <w:sz w:val="18"/>
                <w:szCs w:val="18"/>
              </w:rPr>
              <w:t>AWU</w:t>
            </w:r>
            <w:r w:rsidR="000937F0">
              <w:rPr>
                <w:rFonts w:ascii="Verdana" w:hAnsi="Verdana"/>
                <w:sz w:val="18"/>
                <w:szCs w:val="18"/>
              </w:rPr>
              <w:t xml:space="preserve"> (in thousands)</w:t>
            </w:r>
          </w:p>
        </w:tc>
      </w:tr>
      <w:tr w:rsidR="004F1363" w:rsidRPr="00C34DE9" w14:paraId="555D56B2" w14:textId="77777777" w:rsidTr="7CF3AEC2">
        <w:tc>
          <w:tcPr>
            <w:tcW w:w="2518" w:type="dxa"/>
            <w:shd w:val="clear" w:color="auto" w:fill="auto"/>
          </w:tcPr>
          <w:p w14:paraId="07CE21F6"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09F984C8" w14:textId="77777777" w:rsidR="004F1363" w:rsidRDefault="004F1363" w:rsidP="005B5547">
            <w:pPr>
              <w:spacing w:after="60"/>
              <w:rPr>
                <w:rFonts w:ascii="Verdana" w:hAnsi="Verdana"/>
                <w:sz w:val="18"/>
                <w:szCs w:val="18"/>
              </w:rPr>
            </w:pPr>
            <w:r w:rsidRPr="00C34DE9">
              <w:rPr>
                <w:rFonts w:ascii="Verdana" w:hAnsi="Verdana"/>
                <w:sz w:val="18"/>
                <w:szCs w:val="18"/>
              </w:rPr>
              <w:t>Eurostat – Farm Structure Survey (FSS)</w:t>
            </w:r>
          </w:p>
          <w:p w14:paraId="446798CA" w14:textId="77777777" w:rsidR="009B3824" w:rsidRPr="00C34DE9" w:rsidRDefault="009B3824" w:rsidP="005B5547">
            <w:pPr>
              <w:spacing w:after="60"/>
              <w:rPr>
                <w:rFonts w:ascii="Verdana" w:hAnsi="Verdana"/>
                <w:sz w:val="18"/>
                <w:szCs w:val="18"/>
              </w:rPr>
            </w:pPr>
            <w:r>
              <w:rPr>
                <w:rFonts w:ascii="Verdana" w:hAnsi="Verdana"/>
                <w:sz w:val="18"/>
                <w:szCs w:val="18"/>
              </w:rPr>
              <w:t>Eurostat – Integrated Farm Statistics (IFS)</w:t>
            </w:r>
          </w:p>
        </w:tc>
      </w:tr>
      <w:tr w:rsidR="004F1363" w:rsidRPr="00C34DE9" w14:paraId="66094671" w14:textId="77777777" w:rsidTr="7CF3AEC2">
        <w:tc>
          <w:tcPr>
            <w:tcW w:w="2518" w:type="dxa"/>
            <w:shd w:val="clear" w:color="auto" w:fill="auto"/>
          </w:tcPr>
          <w:p w14:paraId="78D3D848"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721D3864" w14:textId="77777777" w:rsidR="004F1363" w:rsidRPr="00C34DE9" w:rsidRDefault="004F1363" w:rsidP="00600E08">
            <w:pPr>
              <w:spacing w:after="60" w:line="240" w:lineRule="auto"/>
              <w:jc w:val="both"/>
              <w:rPr>
                <w:rFonts w:ascii="Verdana" w:hAnsi="Verdana"/>
                <w:sz w:val="18"/>
                <w:szCs w:val="18"/>
              </w:rPr>
            </w:pPr>
            <w:r w:rsidRPr="00C34DE9">
              <w:rPr>
                <w:rFonts w:ascii="Verdana" w:eastAsia="Times New Roman" w:hAnsi="Verdana"/>
                <w:sz w:val="18"/>
                <w:szCs w:val="18"/>
              </w:rPr>
              <w:t xml:space="preserve">For national </w:t>
            </w:r>
            <w:r w:rsidR="00600E08" w:rsidRPr="00C34DE9">
              <w:rPr>
                <w:rFonts w:ascii="Verdana" w:eastAsia="Times New Roman" w:hAnsi="Verdana"/>
                <w:sz w:val="18"/>
                <w:szCs w:val="18"/>
              </w:rPr>
              <w:t xml:space="preserve">and regional </w:t>
            </w:r>
            <w:r w:rsidRPr="00C34DE9">
              <w:rPr>
                <w:rFonts w:ascii="Verdana" w:eastAsia="Times New Roman" w:hAnsi="Verdana"/>
                <w:sz w:val="18"/>
                <w:szCs w:val="18"/>
              </w:rPr>
              <w:t>data</w:t>
            </w:r>
            <w:r w:rsidR="00600E08" w:rsidRPr="00C34DE9">
              <w:rPr>
                <w:rFonts w:ascii="Verdana" w:eastAsia="Times New Roman" w:hAnsi="Verdana"/>
                <w:sz w:val="18"/>
                <w:szCs w:val="18"/>
              </w:rPr>
              <w:t xml:space="preserve"> and labour </w:t>
            </w:r>
            <w:r w:rsidR="005A49BC" w:rsidRPr="00C34DE9">
              <w:rPr>
                <w:rFonts w:ascii="Verdana" w:eastAsia="Times New Roman" w:hAnsi="Verdana"/>
                <w:sz w:val="18"/>
                <w:szCs w:val="18"/>
              </w:rPr>
              <w:t>force</w:t>
            </w:r>
            <w:r w:rsidR="00600E08" w:rsidRPr="00C34DE9">
              <w:rPr>
                <w:rFonts w:ascii="Verdana" w:eastAsia="Times New Roman" w:hAnsi="Verdana"/>
                <w:sz w:val="18"/>
                <w:szCs w:val="18"/>
              </w:rPr>
              <w:t xml:space="preserve"> by</w:t>
            </w:r>
            <w:r w:rsidR="009B3824">
              <w:rPr>
                <w:rFonts w:ascii="Verdana" w:eastAsia="Times New Roman" w:hAnsi="Verdana"/>
                <w:sz w:val="18"/>
                <w:szCs w:val="18"/>
              </w:rPr>
              <w:t xml:space="preserve"> sex</w:t>
            </w:r>
            <w:r w:rsidR="006323A6">
              <w:rPr>
                <w:rFonts w:ascii="Verdana" w:eastAsia="Times New Roman" w:hAnsi="Verdana"/>
                <w:sz w:val="18"/>
                <w:szCs w:val="18"/>
              </w:rPr>
              <w:t xml:space="preserve"> and farm work</w:t>
            </w:r>
            <w:r w:rsidR="00600E08" w:rsidRPr="00C34DE9">
              <w:rPr>
                <w:rFonts w:ascii="Verdana" w:eastAsia="Times New Roman" w:hAnsi="Verdana"/>
                <w:sz w:val="18"/>
                <w:szCs w:val="18"/>
              </w:rPr>
              <w:t xml:space="preserve">: </w:t>
            </w:r>
            <w:r w:rsidR="001E71E9">
              <w:rPr>
                <w:rFonts w:ascii="Verdana" w:eastAsia="Times New Roman" w:hAnsi="Verdana"/>
                <w:sz w:val="18"/>
                <w:szCs w:val="18"/>
              </w:rPr>
              <w:t>table [</w:t>
            </w:r>
            <w:hyperlink r:id="rId72" w:history="1">
              <w:r w:rsidR="00DE120F" w:rsidRPr="00D913BC">
                <w:rPr>
                  <w:rStyle w:val="Hyperlink"/>
                </w:rPr>
                <w:t>ef_lf_size</w:t>
              </w:r>
            </w:hyperlink>
            <w:r w:rsidR="001E71E9">
              <w:rPr>
                <w:lang w:val="pt-PT"/>
              </w:rPr>
              <w:t>]</w:t>
            </w:r>
          </w:p>
        </w:tc>
      </w:tr>
      <w:tr w:rsidR="004F1363" w:rsidRPr="00C34DE9" w14:paraId="2CB9A607" w14:textId="77777777" w:rsidTr="7CF3AEC2">
        <w:tc>
          <w:tcPr>
            <w:tcW w:w="2518" w:type="dxa"/>
            <w:shd w:val="clear" w:color="auto" w:fill="auto"/>
          </w:tcPr>
          <w:p w14:paraId="0CE04F78"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 xml:space="preserve">Data collection </w:t>
            </w:r>
            <w:r w:rsidR="00600E08" w:rsidRPr="5CB4B133">
              <w:rPr>
                <w:rFonts w:ascii="Verdana" w:hAnsi="Verdana"/>
                <w:b/>
                <w:bCs/>
                <w:sz w:val="18"/>
                <w:szCs w:val="18"/>
              </w:rPr>
              <w:t xml:space="preserve">/ dissemination </w:t>
            </w:r>
            <w:r w:rsidRPr="5CB4B133">
              <w:rPr>
                <w:rFonts w:ascii="Verdana" w:hAnsi="Verdana"/>
                <w:b/>
                <w:bCs/>
                <w:sz w:val="18"/>
                <w:szCs w:val="18"/>
              </w:rPr>
              <w:t>level</w:t>
            </w:r>
          </w:p>
        </w:tc>
        <w:tc>
          <w:tcPr>
            <w:tcW w:w="7513" w:type="dxa"/>
            <w:shd w:val="clear" w:color="auto" w:fill="auto"/>
          </w:tcPr>
          <w:p w14:paraId="14557016"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 xml:space="preserve">EU, </w:t>
            </w:r>
            <w:r w:rsidR="001E71E9">
              <w:rPr>
                <w:rFonts w:ascii="Verdana" w:hAnsi="Verdana"/>
                <w:sz w:val="18"/>
                <w:szCs w:val="18"/>
              </w:rPr>
              <w:t>N</w:t>
            </w:r>
            <w:r w:rsidRPr="00C34DE9">
              <w:rPr>
                <w:rFonts w:ascii="Verdana" w:hAnsi="Verdana"/>
                <w:sz w:val="18"/>
                <w:szCs w:val="18"/>
              </w:rPr>
              <w:t>ational (NUTS 0)</w:t>
            </w:r>
            <w:r w:rsidR="001E71E9">
              <w:rPr>
                <w:rFonts w:ascii="Verdana" w:hAnsi="Verdana"/>
                <w:sz w:val="18"/>
                <w:szCs w:val="18"/>
              </w:rPr>
              <w:t>, R</w:t>
            </w:r>
            <w:r w:rsidRPr="00C34DE9">
              <w:rPr>
                <w:rFonts w:ascii="Verdana" w:hAnsi="Verdana"/>
                <w:sz w:val="18"/>
                <w:szCs w:val="18"/>
              </w:rPr>
              <w:t>egional (NUTS 1 and 2)</w:t>
            </w:r>
          </w:p>
        </w:tc>
      </w:tr>
      <w:tr w:rsidR="004F1363" w:rsidRPr="00C34DE9" w14:paraId="673BEF65" w14:textId="77777777" w:rsidTr="7CF3AEC2">
        <w:tc>
          <w:tcPr>
            <w:tcW w:w="2518" w:type="dxa"/>
            <w:shd w:val="clear" w:color="auto" w:fill="auto"/>
          </w:tcPr>
          <w:p w14:paraId="6923308F"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060ACBDF" w14:textId="77777777" w:rsidR="004F1363" w:rsidRPr="00C34DE9" w:rsidRDefault="004F1363"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FSS</w:t>
            </w:r>
            <w:r w:rsidR="00A50536">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4F1363" w:rsidRPr="00C34DE9" w14:paraId="1DA81782" w14:textId="77777777" w:rsidTr="7CF3AEC2">
        <w:trPr>
          <w:trHeight w:val="79"/>
        </w:trPr>
        <w:tc>
          <w:tcPr>
            <w:tcW w:w="2518" w:type="dxa"/>
            <w:shd w:val="clear" w:color="auto" w:fill="auto"/>
          </w:tcPr>
          <w:p w14:paraId="015BD72D" w14:textId="77777777" w:rsidR="004F1363" w:rsidRPr="00C34DE9" w:rsidRDefault="00600E08"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3B5A98E3"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2 years</w:t>
            </w:r>
          </w:p>
        </w:tc>
      </w:tr>
      <w:tr w:rsidR="004F1363" w:rsidRPr="00C34DE9" w14:paraId="1AF14B4F" w14:textId="77777777" w:rsidTr="7CF3AEC2">
        <w:tc>
          <w:tcPr>
            <w:tcW w:w="2518" w:type="dxa"/>
            <w:shd w:val="clear" w:color="auto" w:fill="auto"/>
          </w:tcPr>
          <w:p w14:paraId="549A8967"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47961094" w14:textId="77777777" w:rsidR="004F1363" w:rsidRDefault="004F1363" w:rsidP="005B5547">
            <w:pPr>
              <w:spacing w:after="60" w:line="240" w:lineRule="auto"/>
              <w:rPr>
                <w:rFonts w:ascii="Verdana" w:hAnsi="Verdana"/>
                <w:sz w:val="18"/>
                <w:szCs w:val="18"/>
              </w:rPr>
            </w:pPr>
            <w:r w:rsidRPr="00C34DE9">
              <w:rPr>
                <w:rFonts w:ascii="Verdana" w:hAnsi="Verdana"/>
                <w:sz w:val="18"/>
                <w:szCs w:val="18"/>
              </w:rPr>
              <w:t>Due to the high share of part-time work in agriculture, labour input can be better assessed in terms of AWU than in terms of persons.</w:t>
            </w:r>
          </w:p>
          <w:p w14:paraId="6306E7A3" w14:textId="77777777" w:rsidR="00E35B87" w:rsidRPr="00C34DE9" w:rsidRDefault="00D24F34" w:rsidP="005B5547">
            <w:pPr>
              <w:spacing w:after="60" w:line="240" w:lineRule="auto"/>
              <w:rPr>
                <w:rFonts w:ascii="Verdana" w:eastAsia="Times New Roman" w:hAnsi="Verdana"/>
                <w:sz w:val="18"/>
                <w:szCs w:val="18"/>
              </w:rPr>
            </w:pPr>
            <w:r>
              <w:rPr>
                <w:rFonts w:ascii="Verdana" w:eastAsia="Times New Roman" w:hAnsi="Verdana"/>
                <w:sz w:val="18"/>
                <w:szCs w:val="18"/>
              </w:rPr>
              <w:t>IFS as of survey year 2020</w:t>
            </w:r>
            <w:r w:rsidR="00E35B87">
              <w:rPr>
                <w:rFonts w:ascii="Verdana" w:eastAsia="Times New Roman" w:hAnsi="Verdana"/>
                <w:sz w:val="18"/>
                <w:szCs w:val="18"/>
              </w:rPr>
              <w:t>.</w:t>
            </w:r>
          </w:p>
        </w:tc>
      </w:tr>
    </w:tbl>
    <w:p w14:paraId="35E2C92D" w14:textId="77777777" w:rsidR="00841E23" w:rsidRPr="00C34DE9" w:rsidRDefault="00841E23" w:rsidP="00544872">
      <w:pPr>
        <w:spacing w:after="60" w:line="240" w:lineRule="auto"/>
        <w:rPr>
          <w:rFonts w:ascii="Verdana" w:hAnsi="Verdana"/>
          <w:b/>
          <w:sz w:val="18"/>
          <w:szCs w:val="18"/>
        </w:rPr>
      </w:pPr>
    </w:p>
    <w:p w14:paraId="584C9505" w14:textId="77777777" w:rsidR="00A74418" w:rsidRPr="00C34DE9" w:rsidRDefault="00A74418" w:rsidP="00544872">
      <w:pPr>
        <w:spacing w:after="60" w:line="240" w:lineRule="auto"/>
        <w:rPr>
          <w:rFonts w:ascii="Verdana" w:hAnsi="Verdana"/>
          <w:sz w:val="18"/>
          <w:szCs w:val="18"/>
        </w:rPr>
      </w:pPr>
      <w:r w:rsidRPr="00C34DE9">
        <w:rPr>
          <w:rFonts w:ascii="Verdana" w:hAnsi="Verdana"/>
          <w:b/>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4F1363" w:rsidRPr="00C34DE9" w14:paraId="518BA76F" w14:textId="77777777" w:rsidTr="7CF3AEC2">
        <w:trPr>
          <w:trHeight w:val="411"/>
        </w:trPr>
        <w:tc>
          <w:tcPr>
            <w:tcW w:w="2518" w:type="dxa"/>
            <w:shd w:val="clear" w:color="auto" w:fill="auto"/>
          </w:tcPr>
          <w:p w14:paraId="0CFDBA36" w14:textId="77777777" w:rsidR="004F1363" w:rsidRPr="00C34DE9" w:rsidRDefault="00D913BC" w:rsidP="5CB4B133">
            <w:pPr>
              <w:spacing w:after="60" w:line="240" w:lineRule="auto"/>
              <w:rPr>
                <w:rFonts w:ascii="Verdana" w:hAnsi="Verdana"/>
                <w:b/>
                <w:bCs/>
                <w:sz w:val="18"/>
                <w:szCs w:val="18"/>
              </w:rPr>
            </w:pPr>
            <w:bookmarkStart w:id="17" w:name="C14"/>
            <w:r w:rsidRPr="5CB4B133">
              <w:rPr>
                <w:rFonts w:ascii="Verdana" w:hAnsi="Verdana"/>
                <w:b/>
                <w:bCs/>
                <w:smallCaps/>
                <w:sz w:val="18"/>
                <w:szCs w:val="18"/>
              </w:rPr>
              <w:lastRenderedPageBreak/>
              <w:t>Indicator</w:t>
            </w:r>
            <w:r w:rsidR="004F1363" w:rsidRPr="5CB4B133">
              <w:rPr>
                <w:rFonts w:ascii="Verdana" w:hAnsi="Verdana"/>
                <w:b/>
                <w:bCs/>
                <w:sz w:val="18"/>
                <w:szCs w:val="18"/>
              </w:rPr>
              <w:t xml:space="preserve"> </w:t>
            </w:r>
            <w:r w:rsidR="004F1363" w:rsidRPr="5CB4B133">
              <w:rPr>
                <w:rFonts w:ascii="Verdana" w:hAnsi="Verdana"/>
                <w:b/>
                <w:bCs/>
                <w:smallCaps/>
                <w:sz w:val="18"/>
                <w:szCs w:val="18"/>
              </w:rPr>
              <w:t>C.</w:t>
            </w:r>
            <w:r w:rsidR="004F1363" w:rsidRPr="5CB4B133">
              <w:rPr>
                <w:rFonts w:ascii="Verdana" w:hAnsi="Verdana"/>
                <w:b/>
                <w:bCs/>
                <w:sz w:val="18"/>
                <w:szCs w:val="18"/>
              </w:rPr>
              <w:t>14</w:t>
            </w:r>
            <w:bookmarkEnd w:id="17"/>
          </w:p>
        </w:tc>
        <w:tc>
          <w:tcPr>
            <w:tcW w:w="7513" w:type="dxa"/>
            <w:shd w:val="clear" w:color="auto" w:fill="auto"/>
          </w:tcPr>
          <w:p w14:paraId="7CDD517A" w14:textId="77777777" w:rsidR="004F1363" w:rsidRPr="00C34DE9" w:rsidRDefault="004F1363" w:rsidP="00C30187">
            <w:pPr>
              <w:spacing w:after="60"/>
              <w:rPr>
                <w:rFonts w:ascii="Verdana" w:hAnsi="Verdana"/>
                <w:caps/>
                <w:sz w:val="18"/>
                <w:szCs w:val="18"/>
              </w:rPr>
            </w:pPr>
          </w:p>
        </w:tc>
      </w:tr>
      <w:tr w:rsidR="004F1363" w:rsidRPr="00C34DE9" w14:paraId="7B65FB22" w14:textId="77777777" w:rsidTr="7CF3AEC2">
        <w:trPr>
          <w:trHeight w:val="465"/>
        </w:trPr>
        <w:tc>
          <w:tcPr>
            <w:tcW w:w="2518" w:type="dxa"/>
            <w:shd w:val="clear" w:color="auto" w:fill="auto"/>
          </w:tcPr>
          <w:p w14:paraId="75A33FBD"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12D11D84" w14:textId="77777777" w:rsidR="004F1363" w:rsidRPr="00C34DE9" w:rsidRDefault="004F1363" w:rsidP="5CB4B133">
            <w:pPr>
              <w:spacing w:after="60" w:line="240" w:lineRule="auto"/>
              <w:jc w:val="center"/>
              <w:rPr>
                <w:rFonts w:ascii="Verdana" w:hAnsi="Verdana"/>
                <w:b/>
                <w:bCs/>
                <w:sz w:val="18"/>
                <w:szCs w:val="18"/>
              </w:rPr>
            </w:pPr>
            <w:r w:rsidRPr="5CB4B133">
              <w:rPr>
                <w:rFonts w:ascii="Verdana" w:hAnsi="Verdana"/>
                <w:b/>
                <w:bCs/>
                <w:sz w:val="18"/>
                <w:szCs w:val="18"/>
              </w:rPr>
              <w:t>Age structure of farm managers</w:t>
            </w:r>
          </w:p>
        </w:tc>
      </w:tr>
      <w:tr w:rsidR="004F1363" w:rsidRPr="00C34DE9" w14:paraId="7EE13FD9" w14:textId="77777777" w:rsidTr="7CF3AEC2">
        <w:tc>
          <w:tcPr>
            <w:tcW w:w="2518" w:type="dxa"/>
            <w:shd w:val="clear" w:color="auto" w:fill="auto"/>
          </w:tcPr>
          <w:p w14:paraId="126051AC"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1429F2F4" w14:textId="70383748" w:rsidR="00E72FB5" w:rsidRDefault="004F1363" w:rsidP="005B5547">
            <w:pPr>
              <w:pStyle w:val="RD-Indicatortabletext"/>
              <w:spacing w:after="60"/>
              <w:jc w:val="both"/>
              <w:rPr>
                <w:rFonts w:cs="Times New Roman"/>
                <w:sz w:val="18"/>
                <w:szCs w:val="18"/>
              </w:rPr>
            </w:pPr>
            <w:r w:rsidRPr="00C34DE9">
              <w:rPr>
                <w:rFonts w:cs="Times New Roman"/>
                <w:sz w:val="18"/>
                <w:szCs w:val="18"/>
              </w:rPr>
              <w:t>The indicator shows</w:t>
            </w:r>
            <w:r w:rsidR="00AE59DD">
              <w:rPr>
                <w:rFonts w:cs="Times New Roman"/>
                <w:sz w:val="18"/>
                <w:szCs w:val="18"/>
              </w:rPr>
              <w:t xml:space="preserve"> the distribution of the farm manag</w:t>
            </w:r>
            <w:r w:rsidR="007139E9">
              <w:rPr>
                <w:rFonts w:cs="Times New Roman"/>
                <w:sz w:val="18"/>
                <w:szCs w:val="18"/>
              </w:rPr>
              <w:t>ers by age</w:t>
            </w:r>
            <w:r w:rsidR="000A24A9">
              <w:rPr>
                <w:rFonts w:cs="Times New Roman"/>
                <w:sz w:val="18"/>
                <w:szCs w:val="18"/>
              </w:rPr>
              <w:t xml:space="preserve"> groups</w:t>
            </w:r>
            <w:r w:rsidR="007139E9">
              <w:rPr>
                <w:rFonts w:cs="Times New Roman"/>
                <w:sz w:val="18"/>
                <w:szCs w:val="18"/>
              </w:rPr>
              <w:t>. It consists of 3</w:t>
            </w:r>
            <w:r w:rsidR="00AE59DD">
              <w:rPr>
                <w:rFonts w:cs="Times New Roman"/>
                <w:sz w:val="18"/>
                <w:szCs w:val="18"/>
              </w:rPr>
              <w:t xml:space="preserve"> </w:t>
            </w:r>
            <w:r w:rsidR="00DD478B">
              <w:rPr>
                <w:rFonts w:cs="Times New Roman"/>
                <w:sz w:val="18"/>
                <w:szCs w:val="18"/>
              </w:rPr>
              <w:t>specific indicators</w:t>
            </w:r>
            <w:r w:rsidR="00E72FB5">
              <w:rPr>
                <w:rFonts w:cs="Times New Roman"/>
                <w:sz w:val="18"/>
                <w:szCs w:val="18"/>
              </w:rPr>
              <w:t>:</w:t>
            </w:r>
          </w:p>
          <w:p w14:paraId="285A2859" w14:textId="3421AE04" w:rsidR="009B3639" w:rsidRPr="007D3E04" w:rsidRDefault="009B3639" w:rsidP="00665997">
            <w:pPr>
              <w:pStyle w:val="RD-Indicatortabletext"/>
              <w:numPr>
                <w:ilvl w:val="0"/>
                <w:numId w:val="80"/>
              </w:numPr>
              <w:spacing w:after="60"/>
              <w:jc w:val="both"/>
              <w:rPr>
                <w:rFonts w:cs="Times New Roman"/>
                <w:b/>
                <w:bCs/>
                <w:sz w:val="18"/>
                <w:szCs w:val="18"/>
              </w:rPr>
            </w:pPr>
            <w:r w:rsidRPr="3F4AE0BD">
              <w:rPr>
                <w:rFonts w:cs="Times New Roman"/>
                <w:b/>
                <w:bCs/>
                <w:sz w:val="18"/>
                <w:szCs w:val="18"/>
              </w:rPr>
              <w:t>total number of farm managers</w:t>
            </w:r>
            <w:r w:rsidR="00BB317F">
              <w:rPr>
                <w:rFonts w:cs="Times New Roman"/>
                <w:b/>
                <w:bCs/>
                <w:sz w:val="18"/>
                <w:szCs w:val="18"/>
              </w:rPr>
              <w:t>, including a breakdown by sex</w:t>
            </w:r>
          </w:p>
          <w:p w14:paraId="25CAB088" w14:textId="55B830DB" w:rsidR="00E72FB5" w:rsidRPr="001C195E" w:rsidRDefault="004F1363" w:rsidP="00665997">
            <w:pPr>
              <w:pStyle w:val="RD-Indicatortabletext"/>
              <w:numPr>
                <w:ilvl w:val="0"/>
                <w:numId w:val="80"/>
              </w:numPr>
              <w:spacing w:after="60"/>
              <w:jc w:val="both"/>
              <w:rPr>
                <w:rFonts w:cs="Times New Roman"/>
                <w:sz w:val="18"/>
                <w:szCs w:val="18"/>
              </w:rPr>
            </w:pPr>
            <w:r w:rsidRPr="3F4AE0BD">
              <w:rPr>
                <w:rFonts w:cs="Times New Roman"/>
                <w:b/>
                <w:bCs/>
                <w:sz w:val="18"/>
                <w:szCs w:val="18"/>
              </w:rPr>
              <w:t xml:space="preserve">number </w:t>
            </w:r>
            <w:r w:rsidR="000F15A4" w:rsidRPr="3F4AE0BD">
              <w:rPr>
                <w:rFonts w:cs="Times New Roman"/>
                <w:b/>
                <w:bCs/>
                <w:sz w:val="18"/>
                <w:szCs w:val="18"/>
              </w:rPr>
              <w:t xml:space="preserve">and share </w:t>
            </w:r>
            <w:r w:rsidRPr="3F4AE0BD">
              <w:rPr>
                <w:rFonts w:cs="Times New Roman"/>
                <w:b/>
                <w:bCs/>
                <w:sz w:val="18"/>
                <w:szCs w:val="18"/>
              </w:rPr>
              <w:t xml:space="preserve">of </w:t>
            </w:r>
            <w:r w:rsidR="008118D1" w:rsidRPr="3F4AE0BD">
              <w:rPr>
                <w:rFonts w:cs="Times New Roman"/>
                <w:b/>
                <w:bCs/>
                <w:sz w:val="18"/>
                <w:szCs w:val="18"/>
              </w:rPr>
              <w:t xml:space="preserve">farm </w:t>
            </w:r>
            <w:r w:rsidRPr="3F4AE0BD">
              <w:rPr>
                <w:rFonts w:cs="Times New Roman"/>
                <w:b/>
                <w:bCs/>
                <w:sz w:val="18"/>
                <w:szCs w:val="18"/>
              </w:rPr>
              <w:t xml:space="preserve">managers </w:t>
            </w:r>
            <w:r w:rsidR="00AE59DD" w:rsidRPr="3F4AE0BD">
              <w:rPr>
                <w:rFonts w:cs="Times New Roman"/>
                <w:b/>
                <w:bCs/>
                <w:sz w:val="18"/>
                <w:szCs w:val="18"/>
              </w:rPr>
              <w:t xml:space="preserve">by </w:t>
            </w:r>
            <w:r w:rsidRPr="3F4AE0BD">
              <w:rPr>
                <w:rFonts w:cs="Times New Roman"/>
                <w:b/>
                <w:bCs/>
                <w:sz w:val="18"/>
                <w:szCs w:val="18"/>
              </w:rPr>
              <w:t xml:space="preserve">age </w:t>
            </w:r>
            <w:r w:rsidR="000A24A9" w:rsidRPr="3F4AE0BD">
              <w:rPr>
                <w:rFonts w:cs="Times New Roman"/>
                <w:b/>
                <w:bCs/>
                <w:sz w:val="18"/>
                <w:szCs w:val="18"/>
              </w:rPr>
              <w:t>group</w:t>
            </w:r>
          </w:p>
          <w:p w14:paraId="6BE30ED8" w14:textId="16373686" w:rsidR="004F1363" w:rsidRPr="001C195E" w:rsidRDefault="004F1363" w:rsidP="00665997">
            <w:pPr>
              <w:pStyle w:val="RD-Indicatortabletext"/>
              <w:numPr>
                <w:ilvl w:val="0"/>
                <w:numId w:val="80"/>
              </w:numPr>
              <w:spacing w:after="60"/>
              <w:jc w:val="both"/>
              <w:rPr>
                <w:rFonts w:cs="Times New Roman"/>
                <w:sz w:val="18"/>
                <w:szCs w:val="18"/>
              </w:rPr>
            </w:pPr>
            <w:r w:rsidRPr="5CB4B133">
              <w:rPr>
                <w:rFonts w:cs="Times New Roman"/>
                <w:b/>
                <w:bCs/>
                <w:sz w:val="18"/>
                <w:szCs w:val="18"/>
              </w:rPr>
              <w:t>ratio between young farm managers</w:t>
            </w:r>
            <w:r w:rsidRPr="001C195E">
              <w:rPr>
                <w:rFonts w:cs="Times New Roman"/>
                <w:sz w:val="18"/>
                <w:szCs w:val="18"/>
              </w:rPr>
              <w:t xml:space="preserve"> (less than </w:t>
            </w:r>
            <w:r w:rsidR="007833A7" w:rsidRPr="001C195E">
              <w:rPr>
                <w:rFonts w:cs="Times New Roman"/>
                <w:sz w:val="18"/>
                <w:szCs w:val="18"/>
              </w:rPr>
              <w:t>40</w:t>
            </w:r>
            <w:r w:rsidRPr="001C195E">
              <w:rPr>
                <w:rFonts w:cs="Times New Roman"/>
                <w:sz w:val="18"/>
                <w:szCs w:val="18"/>
              </w:rPr>
              <w:t xml:space="preserve"> years) </w:t>
            </w:r>
            <w:r w:rsidRPr="5CB4B133">
              <w:rPr>
                <w:rFonts w:cs="Times New Roman"/>
                <w:b/>
                <w:bCs/>
                <w:sz w:val="18"/>
                <w:szCs w:val="18"/>
              </w:rPr>
              <w:t>and farm</w:t>
            </w:r>
            <w:r w:rsidR="009D51B4" w:rsidRPr="5CB4B133">
              <w:rPr>
                <w:rFonts w:cs="Times New Roman"/>
                <w:b/>
                <w:bCs/>
                <w:sz w:val="18"/>
                <w:szCs w:val="18"/>
              </w:rPr>
              <w:t xml:space="preserve"> managers</w:t>
            </w:r>
            <w:r w:rsidRPr="5CB4B133">
              <w:rPr>
                <w:rFonts w:cs="Times New Roman"/>
                <w:b/>
                <w:bCs/>
                <w:sz w:val="18"/>
                <w:szCs w:val="18"/>
              </w:rPr>
              <w:t xml:space="preserve"> of 55 years or older</w:t>
            </w:r>
            <w:r w:rsidRPr="001C195E">
              <w:rPr>
                <w:rFonts w:cs="Times New Roman"/>
                <w:sz w:val="18"/>
                <w:szCs w:val="18"/>
              </w:rPr>
              <w:t xml:space="preserve">. </w:t>
            </w:r>
          </w:p>
          <w:p w14:paraId="00BD7294" w14:textId="77777777" w:rsidR="004F1363" w:rsidRPr="00C34DE9" w:rsidRDefault="004F1363" w:rsidP="005B5547">
            <w:pPr>
              <w:pStyle w:val="RD-Indicatortabletext"/>
              <w:spacing w:after="60"/>
              <w:jc w:val="both"/>
              <w:rPr>
                <w:rFonts w:cs="Times New Roman"/>
                <w:sz w:val="18"/>
                <w:szCs w:val="18"/>
              </w:rPr>
            </w:pPr>
            <w:r w:rsidRPr="00C34DE9">
              <w:rPr>
                <w:rFonts w:cs="Times New Roman"/>
                <w:sz w:val="18"/>
                <w:szCs w:val="18"/>
              </w:rPr>
              <w:t>The manager of the holding is the natural person responsible for the normal daily financial and production routines of running the holding concerned. The holder is the natural person, group of natural persons or legal person on whose account and in whose name the holding is operated and who is legally and economically responsible for the holding, i.e. who takes the economic risks of the holding. The manager and the holder can be the same person.</w:t>
            </w:r>
          </w:p>
        </w:tc>
      </w:tr>
      <w:tr w:rsidR="004F1363" w:rsidRPr="00C34DE9" w14:paraId="2884AADA" w14:textId="77777777" w:rsidTr="7CF3AEC2">
        <w:tc>
          <w:tcPr>
            <w:tcW w:w="2518" w:type="dxa"/>
            <w:shd w:val="clear" w:color="auto" w:fill="auto"/>
          </w:tcPr>
          <w:p w14:paraId="225B6EDB"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28B892B7" w14:textId="5F337AE9" w:rsidR="00AE59DD" w:rsidRDefault="771DD26D" w:rsidP="005B5547">
            <w:pPr>
              <w:spacing w:after="60" w:line="240" w:lineRule="auto"/>
              <w:jc w:val="both"/>
              <w:rPr>
                <w:rFonts w:ascii="Verdana" w:hAnsi="Verdana"/>
                <w:sz w:val="18"/>
                <w:szCs w:val="18"/>
              </w:rPr>
            </w:pPr>
            <w:r w:rsidRPr="7CF3AEC2">
              <w:rPr>
                <w:rFonts w:ascii="Verdana" w:hAnsi="Verdana"/>
                <w:sz w:val="18"/>
                <w:szCs w:val="18"/>
              </w:rPr>
              <w:t xml:space="preserve">1: </w:t>
            </w:r>
            <w:r w:rsidR="138B0482" w:rsidRPr="7CF3AEC2">
              <w:rPr>
                <w:rFonts w:ascii="Verdana" w:hAnsi="Verdana"/>
                <w:sz w:val="18"/>
                <w:szCs w:val="18"/>
              </w:rPr>
              <w:t>n</w:t>
            </w:r>
            <w:r w:rsidR="0A8A2524" w:rsidRPr="7CF3AEC2">
              <w:rPr>
                <w:rFonts w:ascii="Verdana" w:hAnsi="Verdana"/>
                <w:sz w:val="18"/>
                <w:szCs w:val="18"/>
              </w:rPr>
              <w:t xml:space="preserve">umber of </w:t>
            </w:r>
            <w:r w:rsidR="5BBD06EF" w:rsidRPr="7CF3AEC2">
              <w:rPr>
                <w:rFonts w:ascii="Verdana" w:hAnsi="Verdana"/>
                <w:sz w:val="18"/>
                <w:szCs w:val="18"/>
              </w:rPr>
              <w:t xml:space="preserve">farm </w:t>
            </w:r>
            <w:r w:rsidR="0A8A2524" w:rsidRPr="7CF3AEC2">
              <w:rPr>
                <w:rFonts w:ascii="Verdana" w:hAnsi="Verdana"/>
                <w:sz w:val="18"/>
                <w:szCs w:val="18"/>
              </w:rPr>
              <w:t>managers</w:t>
            </w:r>
            <w:r w:rsidR="1FB74564" w:rsidRPr="7CF3AEC2">
              <w:rPr>
                <w:rFonts w:ascii="Verdana" w:hAnsi="Verdana"/>
                <w:sz w:val="18"/>
                <w:szCs w:val="18"/>
              </w:rPr>
              <w:t xml:space="preserve"> (in thousands)</w:t>
            </w:r>
          </w:p>
          <w:p w14:paraId="4BE13113" w14:textId="4C6DD691" w:rsidR="00AE59DD" w:rsidRDefault="000A24A9" w:rsidP="005B5547">
            <w:pPr>
              <w:spacing w:after="60" w:line="240" w:lineRule="auto"/>
              <w:jc w:val="both"/>
              <w:rPr>
                <w:rFonts w:ascii="Verdana" w:hAnsi="Verdana"/>
                <w:sz w:val="18"/>
                <w:szCs w:val="18"/>
              </w:rPr>
            </w:pPr>
            <w:r>
              <w:rPr>
                <w:rFonts w:ascii="Verdana" w:hAnsi="Verdana"/>
                <w:sz w:val="18"/>
                <w:szCs w:val="18"/>
              </w:rPr>
              <w:t xml:space="preserve">2: </w:t>
            </w:r>
            <w:r w:rsidR="002F3D8B">
              <w:rPr>
                <w:rFonts w:ascii="Verdana" w:hAnsi="Verdana"/>
                <w:sz w:val="18"/>
                <w:szCs w:val="18"/>
              </w:rPr>
              <w:t xml:space="preserve">number </w:t>
            </w:r>
            <w:r w:rsidR="00022F45">
              <w:rPr>
                <w:rFonts w:ascii="Verdana" w:hAnsi="Verdana"/>
                <w:sz w:val="18"/>
                <w:szCs w:val="18"/>
              </w:rPr>
              <w:t xml:space="preserve">(in thousands) </w:t>
            </w:r>
            <w:r w:rsidR="002F3D8B">
              <w:rPr>
                <w:rFonts w:ascii="Verdana" w:hAnsi="Verdana"/>
                <w:sz w:val="18"/>
                <w:szCs w:val="18"/>
              </w:rPr>
              <w:t xml:space="preserve">and </w:t>
            </w:r>
            <w:r w:rsidR="00022F45">
              <w:rPr>
                <w:rFonts w:ascii="Verdana" w:hAnsi="Verdana"/>
                <w:sz w:val="18"/>
                <w:szCs w:val="18"/>
              </w:rPr>
              <w:t>%</w:t>
            </w:r>
          </w:p>
          <w:p w14:paraId="19248164" w14:textId="656B35E5" w:rsidR="004F1363" w:rsidRPr="00C34DE9" w:rsidRDefault="000A24A9" w:rsidP="00022F45">
            <w:pPr>
              <w:spacing w:after="60" w:line="240" w:lineRule="auto"/>
              <w:jc w:val="both"/>
              <w:rPr>
                <w:rFonts w:ascii="Verdana" w:hAnsi="Verdana"/>
                <w:sz w:val="18"/>
                <w:szCs w:val="18"/>
              </w:rPr>
            </w:pPr>
            <w:r>
              <w:rPr>
                <w:rFonts w:ascii="Verdana" w:hAnsi="Verdana"/>
                <w:sz w:val="18"/>
                <w:szCs w:val="18"/>
              </w:rPr>
              <w:t>3:</w:t>
            </w:r>
            <w:r w:rsidR="00137DBC">
              <w:rPr>
                <w:rFonts w:ascii="Verdana" w:hAnsi="Verdana"/>
                <w:sz w:val="18"/>
                <w:szCs w:val="18"/>
              </w:rPr>
              <w:t xml:space="preserve"> </w:t>
            </w:r>
            <w:r w:rsidR="004F1363" w:rsidRPr="00C34DE9">
              <w:rPr>
                <w:rFonts w:ascii="Verdana" w:hAnsi="Verdana"/>
                <w:sz w:val="18"/>
                <w:szCs w:val="18"/>
              </w:rPr>
              <w:t xml:space="preserve">ratio </w:t>
            </w:r>
          </w:p>
        </w:tc>
      </w:tr>
      <w:tr w:rsidR="004F1363" w:rsidRPr="00C34DE9" w14:paraId="3BE37FD8" w14:textId="77777777" w:rsidTr="7CF3AEC2">
        <w:tc>
          <w:tcPr>
            <w:tcW w:w="2518" w:type="dxa"/>
            <w:shd w:val="clear" w:color="auto" w:fill="auto"/>
          </w:tcPr>
          <w:p w14:paraId="049B38A7"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1D90EC5" w14:textId="77777777" w:rsidR="004F1363" w:rsidRDefault="004F1363" w:rsidP="005B5547">
            <w:pPr>
              <w:spacing w:after="60" w:line="240" w:lineRule="auto"/>
              <w:rPr>
                <w:rFonts w:ascii="Verdana" w:hAnsi="Verdana"/>
                <w:sz w:val="18"/>
                <w:szCs w:val="18"/>
              </w:rPr>
            </w:pPr>
            <w:r w:rsidRPr="00C34DE9">
              <w:rPr>
                <w:rFonts w:ascii="Verdana" w:hAnsi="Verdana"/>
                <w:sz w:val="18"/>
                <w:szCs w:val="18"/>
              </w:rPr>
              <w:t>Eurostat – Farm Structure Survey (FSS)</w:t>
            </w:r>
          </w:p>
          <w:p w14:paraId="0F188CF0" w14:textId="77777777" w:rsidR="00086114" w:rsidRPr="00C34DE9" w:rsidRDefault="00086114" w:rsidP="005B5547">
            <w:pPr>
              <w:spacing w:after="60" w:line="240" w:lineRule="auto"/>
              <w:rPr>
                <w:rFonts w:ascii="Verdana" w:hAnsi="Verdana"/>
                <w:sz w:val="18"/>
                <w:szCs w:val="18"/>
              </w:rPr>
            </w:pPr>
            <w:r>
              <w:rPr>
                <w:rFonts w:ascii="Verdana" w:hAnsi="Verdana"/>
                <w:sz w:val="18"/>
                <w:szCs w:val="18"/>
              </w:rPr>
              <w:t>Eurostat – Integrated Farm Statistics (IFS)</w:t>
            </w:r>
          </w:p>
        </w:tc>
      </w:tr>
      <w:tr w:rsidR="004F1363" w:rsidRPr="00C34DE9" w14:paraId="0CD12A79" w14:textId="77777777" w:rsidTr="7CF3AEC2">
        <w:tc>
          <w:tcPr>
            <w:tcW w:w="2518" w:type="dxa"/>
            <w:shd w:val="clear" w:color="auto" w:fill="auto"/>
          </w:tcPr>
          <w:p w14:paraId="21AC6533"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6DB3264C" w14:textId="77777777" w:rsidR="004F1363" w:rsidRPr="00C34DE9" w:rsidRDefault="004F1363" w:rsidP="00600E08">
            <w:pPr>
              <w:spacing w:after="60" w:line="240" w:lineRule="auto"/>
              <w:jc w:val="both"/>
              <w:rPr>
                <w:rFonts w:ascii="Verdana" w:hAnsi="Verdana"/>
                <w:sz w:val="18"/>
                <w:szCs w:val="18"/>
              </w:rPr>
            </w:pPr>
            <w:r w:rsidRPr="00C34DE9">
              <w:rPr>
                <w:rFonts w:ascii="Verdana" w:hAnsi="Verdana"/>
                <w:sz w:val="18"/>
                <w:szCs w:val="18"/>
              </w:rPr>
              <w:t xml:space="preserve">National </w:t>
            </w:r>
            <w:r w:rsidR="00600E08" w:rsidRPr="00C34DE9">
              <w:rPr>
                <w:rFonts w:ascii="Verdana" w:hAnsi="Verdana"/>
                <w:sz w:val="18"/>
                <w:szCs w:val="18"/>
              </w:rPr>
              <w:t xml:space="preserve">and regional </w:t>
            </w:r>
            <w:r w:rsidRPr="00C34DE9">
              <w:rPr>
                <w:rFonts w:ascii="Verdana" w:hAnsi="Verdana"/>
                <w:sz w:val="18"/>
                <w:szCs w:val="18"/>
              </w:rPr>
              <w:t xml:space="preserve">data: </w:t>
            </w:r>
            <w:r w:rsidR="001E71E9">
              <w:rPr>
                <w:rFonts w:ascii="Verdana" w:hAnsi="Verdana"/>
                <w:sz w:val="18"/>
                <w:szCs w:val="18"/>
              </w:rPr>
              <w:t>table [</w:t>
            </w:r>
            <w:hyperlink r:id="rId73" w:history="1">
              <w:r w:rsidR="00600E08" w:rsidRPr="00D913BC">
                <w:rPr>
                  <w:rStyle w:val="Hyperlink"/>
                </w:rPr>
                <w:t>ef_m_farmang</w:t>
              </w:r>
            </w:hyperlink>
            <w:r w:rsidR="001E71E9">
              <w:rPr>
                <w:lang w:val="pt-PT"/>
              </w:rPr>
              <w:t>]</w:t>
            </w:r>
          </w:p>
        </w:tc>
      </w:tr>
      <w:tr w:rsidR="004F1363" w:rsidRPr="00C34DE9" w14:paraId="7EAD6AAE" w14:textId="77777777" w:rsidTr="7CF3AEC2">
        <w:tc>
          <w:tcPr>
            <w:tcW w:w="2518" w:type="dxa"/>
            <w:shd w:val="clear" w:color="auto" w:fill="auto"/>
          </w:tcPr>
          <w:p w14:paraId="4F5716FC"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 xml:space="preserve">Data collection </w:t>
            </w:r>
            <w:r w:rsidR="00600E08" w:rsidRPr="5CB4B133">
              <w:rPr>
                <w:rFonts w:ascii="Verdana" w:hAnsi="Verdana"/>
                <w:b/>
                <w:bCs/>
                <w:sz w:val="18"/>
                <w:szCs w:val="18"/>
              </w:rPr>
              <w:t xml:space="preserve">/ dissemination </w:t>
            </w:r>
            <w:r w:rsidRPr="5CB4B133">
              <w:rPr>
                <w:rFonts w:ascii="Verdana" w:hAnsi="Verdana"/>
                <w:b/>
                <w:bCs/>
                <w:sz w:val="18"/>
                <w:szCs w:val="18"/>
              </w:rPr>
              <w:t>level</w:t>
            </w:r>
          </w:p>
        </w:tc>
        <w:tc>
          <w:tcPr>
            <w:tcW w:w="7513" w:type="dxa"/>
            <w:shd w:val="clear" w:color="auto" w:fill="auto"/>
          </w:tcPr>
          <w:p w14:paraId="5B198FC5"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 xml:space="preserve">EU, </w:t>
            </w:r>
            <w:r w:rsidR="00D913BC">
              <w:rPr>
                <w:rFonts w:ascii="Verdana" w:hAnsi="Verdana"/>
                <w:sz w:val="18"/>
                <w:szCs w:val="18"/>
              </w:rPr>
              <w:t>N</w:t>
            </w:r>
            <w:r w:rsidRPr="00C34DE9">
              <w:rPr>
                <w:rFonts w:ascii="Verdana" w:hAnsi="Verdana"/>
                <w:sz w:val="18"/>
                <w:szCs w:val="18"/>
              </w:rPr>
              <w:t>ational (NUTS 0)</w:t>
            </w:r>
            <w:r w:rsidR="00D913BC">
              <w:rPr>
                <w:rFonts w:ascii="Verdana" w:hAnsi="Verdana"/>
                <w:sz w:val="18"/>
                <w:szCs w:val="18"/>
              </w:rPr>
              <w:t>, R</w:t>
            </w:r>
            <w:r w:rsidRPr="00C34DE9">
              <w:rPr>
                <w:rFonts w:ascii="Verdana" w:hAnsi="Verdana"/>
                <w:sz w:val="18"/>
                <w:szCs w:val="18"/>
              </w:rPr>
              <w:t>egional (NUTS 1 and 2)</w:t>
            </w:r>
          </w:p>
        </w:tc>
      </w:tr>
      <w:tr w:rsidR="004F1363" w:rsidRPr="00C34DE9" w14:paraId="30445912" w14:textId="77777777" w:rsidTr="7CF3AEC2">
        <w:tc>
          <w:tcPr>
            <w:tcW w:w="2518" w:type="dxa"/>
            <w:shd w:val="clear" w:color="auto" w:fill="auto"/>
          </w:tcPr>
          <w:p w14:paraId="5DE2878D"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56770D41" w14:textId="77777777" w:rsidR="004F1363" w:rsidRPr="00C34DE9" w:rsidRDefault="004F1363"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FSS</w:t>
            </w:r>
            <w:r w:rsidR="00086114">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4F1363" w:rsidRPr="00C34DE9" w14:paraId="6141752F" w14:textId="77777777" w:rsidTr="7CF3AEC2">
        <w:tc>
          <w:tcPr>
            <w:tcW w:w="2518" w:type="dxa"/>
            <w:shd w:val="clear" w:color="auto" w:fill="auto"/>
          </w:tcPr>
          <w:p w14:paraId="4919D4F1" w14:textId="77777777" w:rsidR="004F1363" w:rsidRPr="00C34DE9" w:rsidRDefault="00600E08"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7F0AED60" w14:textId="77777777" w:rsidR="004F1363" w:rsidRPr="00C34DE9" w:rsidRDefault="004F1363" w:rsidP="005B5547">
            <w:pPr>
              <w:spacing w:after="60" w:line="240" w:lineRule="auto"/>
              <w:jc w:val="both"/>
              <w:rPr>
                <w:rFonts w:ascii="Verdana" w:hAnsi="Verdana"/>
                <w:sz w:val="18"/>
                <w:szCs w:val="18"/>
              </w:rPr>
            </w:pPr>
            <w:r w:rsidRPr="00C34DE9">
              <w:rPr>
                <w:rFonts w:ascii="Verdana" w:hAnsi="Verdana"/>
                <w:sz w:val="18"/>
                <w:szCs w:val="18"/>
              </w:rPr>
              <w:t>2 years</w:t>
            </w:r>
          </w:p>
        </w:tc>
      </w:tr>
      <w:tr w:rsidR="004F1363" w:rsidRPr="00C34DE9" w14:paraId="490F0225" w14:textId="77777777" w:rsidTr="7CF3AEC2">
        <w:tc>
          <w:tcPr>
            <w:tcW w:w="2518" w:type="dxa"/>
            <w:shd w:val="clear" w:color="auto" w:fill="auto"/>
          </w:tcPr>
          <w:p w14:paraId="273968EA" w14:textId="77777777" w:rsidR="004F1363" w:rsidRPr="00C34DE9" w:rsidRDefault="004F136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607A8E81" w14:textId="77777777" w:rsidR="00086114" w:rsidRDefault="00086114" w:rsidP="00086114">
            <w:pPr>
              <w:spacing w:after="60" w:line="240" w:lineRule="auto"/>
              <w:rPr>
                <w:rFonts w:ascii="Verdana" w:hAnsi="Verdana"/>
                <w:sz w:val="18"/>
                <w:szCs w:val="18"/>
              </w:rPr>
            </w:pPr>
            <w:r>
              <w:rPr>
                <w:rFonts w:ascii="Verdana" w:hAnsi="Verdana"/>
                <w:sz w:val="18"/>
                <w:szCs w:val="18"/>
              </w:rPr>
              <w:t>Age classes in different data collections:</w:t>
            </w:r>
          </w:p>
          <w:p w14:paraId="58B9DF3A" w14:textId="77777777" w:rsidR="00086114" w:rsidRPr="00CE27E0" w:rsidRDefault="00086114" w:rsidP="00086114">
            <w:pPr>
              <w:spacing w:after="60" w:line="240" w:lineRule="auto"/>
            </w:pPr>
            <w:r>
              <w:rPr>
                <w:rFonts w:ascii="Verdana" w:hAnsi="Verdana"/>
                <w:sz w:val="18"/>
                <w:szCs w:val="18"/>
              </w:rPr>
              <w:t xml:space="preserve">FSS until 2000: </w:t>
            </w:r>
            <w:r w:rsidRPr="00CE27E0">
              <w:t>&lt;25</w:t>
            </w:r>
            <w:r w:rsidR="00D913BC" w:rsidRPr="00CE27E0">
              <w:t xml:space="preserve"> years</w:t>
            </w:r>
            <w:r w:rsidRPr="00CE27E0">
              <w:t>, 25-29, 30-34, 35-39, 40-44, 45-49, 50-54, 55-59, 60-64, &gt;65</w:t>
            </w:r>
          </w:p>
          <w:p w14:paraId="6DB59147" w14:textId="77777777" w:rsidR="00086114" w:rsidRPr="00CE27E0" w:rsidRDefault="00086114" w:rsidP="00086114">
            <w:pPr>
              <w:spacing w:after="60" w:line="240" w:lineRule="auto"/>
            </w:pPr>
            <w:r w:rsidRPr="00D913BC">
              <w:rPr>
                <w:rFonts w:ascii="Verdana" w:hAnsi="Verdana"/>
                <w:sz w:val="18"/>
                <w:szCs w:val="18"/>
              </w:rPr>
              <w:t>FSS 2003 until 2013:</w:t>
            </w:r>
            <w:r w:rsidRPr="00CE27E0">
              <w:t xml:space="preserve"> &lt;25 years, 25-34, 35-44, 45-54, 55-64, 65 and over.</w:t>
            </w:r>
          </w:p>
          <w:p w14:paraId="69934F7F" w14:textId="77777777" w:rsidR="00086114" w:rsidRDefault="00086114" w:rsidP="00086114">
            <w:pPr>
              <w:spacing w:after="60" w:line="240" w:lineRule="auto"/>
              <w:rPr>
                <w:rFonts w:ascii="Verdana" w:hAnsi="Verdana"/>
                <w:sz w:val="18"/>
                <w:szCs w:val="18"/>
              </w:rPr>
            </w:pPr>
            <w:r w:rsidRPr="00D913BC">
              <w:rPr>
                <w:rFonts w:ascii="Verdana" w:hAnsi="Verdana"/>
                <w:sz w:val="18"/>
                <w:szCs w:val="18"/>
              </w:rPr>
              <w:t>FSS 2016:</w:t>
            </w:r>
            <w:r w:rsidRPr="00CE27E0">
              <w:t xml:space="preserve"> -24 years, 25-34, 35-39, 40-44, 45-54, 55-64, 65 and over</w:t>
            </w:r>
          </w:p>
          <w:p w14:paraId="535D9AF8" w14:textId="77777777" w:rsidR="004F1363" w:rsidRPr="00C34DE9" w:rsidRDefault="00D24F34" w:rsidP="00086114">
            <w:pPr>
              <w:spacing w:after="60" w:line="240" w:lineRule="auto"/>
              <w:jc w:val="both"/>
              <w:rPr>
                <w:rFonts w:ascii="Verdana" w:eastAsia="Times New Roman" w:hAnsi="Verdana"/>
                <w:sz w:val="18"/>
                <w:szCs w:val="18"/>
              </w:rPr>
            </w:pPr>
            <w:r>
              <w:rPr>
                <w:rFonts w:ascii="Verdana" w:hAnsi="Verdana"/>
                <w:sz w:val="18"/>
                <w:szCs w:val="18"/>
              </w:rPr>
              <w:t>IFS as of survey year 2020</w:t>
            </w:r>
            <w:r w:rsidR="00086114">
              <w:rPr>
                <w:rFonts w:ascii="Verdana" w:hAnsi="Verdana"/>
                <w:sz w:val="18"/>
                <w:szCs w:val="18"/>
              </w:rPr>
              <w:t xml:space="preserve">: </w:t>
            </w:r>
            <w:r w:rsidR="00086114" w:rsidRPr="002A2BE6">
              <w:rPr>
                <w:rFonts w:ascii="Verdana" w:hAnsi="Verdana"/>
                <w:sz w:val="18"/>
                <w:szCs w:val="18"/>
              </w:rPr>
              <w:t>The year of birth of the manager of the agricultural holding</w:t>
            </w:r>
          </w:p>
        </w:tc>
      </w:tr>
    </w:tbl>
    <w:p w14:paraId="5FD22E6A" w14:textId="77777777" w:rsidR="00841E23" w:rsidRPr="00C34DE9" w:rsidRDefault="00841E23" w:rsidP="00544872">
      <w:pPr>
        <w:spacing w:after="60" w:line="240" w:lineRule="auto"/>
        <w:rPr>
          <w:rFonts w:ascii="Verdana" w:hAnsi="Verdana"/>
          <w:b/>
          <w:sz w:val="18"/>
          <w:szCs w:val="18"/>
        </w:rPr>
      </w:pPr>
    </w:p>
    <w:p w14:paraId="1D4B84B5" w14:textId="77777777" w:rsidR="00A74418" w:rsidRPr="00C34DE9" w:rsidRDefault="00A74418" w:rsidP="00544872">
      <w:pPr>
        <w:spacing w:after="60" w:line="240" w:lineRule="auto"/>
        <w:rPr>
          <w:rFonts w:ascii="Verdana" w:hAnsi="Verdana"/>
          <w:b/>
          <w:sz w:val="18"/>
          <w:szCs w:val="18"/>
        </w:rPr>
      </w:pPr>
      <w:r w:rsidRPr="00C34DE9">
        <w:rPr>
          <w:rFonts w:ascii="Verdana" w:hAnsi="Verdana"/>
          <w:b/>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07671D" w:rsidRPr="00C34DE9" w14:paraId="6D5FC12A" w14:textId="77777777" w:rsidTr="790C88FB">
        <w:trPr>
          <w:trHeight w:val="411"/>
        </w:trPr>
        <w:tc>
          <w:tcPr>
            <w:tcW w:w="2518" w:type="dxa"/>
            <w:shd w:val="clear" w:color="auto" w:fill="auto"/>
          </w:tcPr>
          <w:p w14:paraId="752ED251" w14:textId="77777777" w:rsidR="0007671D" w:rsidRPr="00C34DE9" w:rsidRDefault="00D913BC" w:rsidP="5CB4B133">
            <w:pPr>
              <w:spacing w:after="60" w:line="240" w:lineRule="auto"/>
              <w:rPr>
                <w:rFonts w:ascii="Verdana" w:hAnsi="Verdana"/>
                <w:b/>
                <w:bCs/>
                <w:sz w:val="18"/>
                <w:szCs w:val="18"/>
              </w:rPr>
            </w:pPr>
            <w:bookmarkStart w:id="18" w:name="C15"/>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C.15</w:t>
            </w:r>
            <w:bookmarkEnd w:id="18"/>
          </w:p>
        </w:tc>
        <w:tc>
          <w:tcPr>
            <w:tcW w:w="7513" w:type="dxa"/>
            <w:shd w:val="clear" w:color="auto" w:fill="auto"/>
          </w:tcPr>
          <w:p w14:paraId="204760F8" w14:textId="77777777" w:rsidR="0007671D" w:rsidRPr="00C34DE9" w:rsidRDefault="0007671D" w:rsidP="00C30187">
            <w:pPr>
              <w:spacing w:after="60"/>
              <w:rPr>
                <w:rFonts w:ascii="Verdana" w:hAnsi="Verdana"/>
                <w:caps/>
                <w:sz w:val="18"/>
                <w:szCs w:val="18"/>
              </w:rPr>
            </w:pPr>
          </w:p>
        </w:tc>
      </w:tr>
      <w:tr w:rsidR="0007671D" w:rsidRPr="00C34DE9" w14:paraId="7AD0C8EC" w14:textId="77777777" w:rsidTr="790C88FB">
        <w:trPr>
          <w:trHeight w:val="556"/>
        </w:trPr>
        <w:tc>
          <w:tcPr>
            <w:tcW w:w="2518" w:type="dxa"/>
            <w:shd w:val="clear" w:color="auto" w:fill="auto"/>
          </w:tcPr>
          <w:p w14:paraId="0D82558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5C170968"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Agricultural training of farm managers</w:t>
            </w:r>
          </w:p>
        </w:tc>
      </w:tr>
      <w:tr w:rsidR="0007671D" w:rsidRPr="00C34DE9" w14:paraId="73171012" w14:textId="77777777" w:rsidTr="790C88FB">
        <w:tc>
          <w:tcPr>
            <w:tcW w:w="2518" w:type="dxa"/>
            <w:shd w:val="clear" w:color="auto" w:fill="auto"/>
          </w:tcPr>
          <w:p w14:paraId="36B9066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7336D928" w14:textId="77777777" w:rsidR="00E72FB5" w:rsidRDefault="0007671D" w:rsidP="005B5547">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The indicator provides information on</w:t>
            </w:r>
            <w:r w:rsidR="00AE59DD">
              <w:rPr>
                <w:rFonts w:ascii="Verdana" w:hAnsi="Verdana"/>
                <w:sz w:val="18"/>
                <w:szCs w:val="18"/>
              </w:rPr>
              <w:t xml:space="preserve"> the level of </w:t>
            </w:r>
            <w:r w:rsidR="00AE59DD" w:rsidRPr="00AE59DD">
              <w:rPr>
                <w:rFonts w:ascii="Verdana" w:hAnsi="Verdana"/>
                <w:sz w:val="18"/>
                <w:szCs w:val="18"/>
              </w:rPr>
              <w:t>agricultural training: basic training, practical experience only, full agricultural training</w:t>
            </w:r>
            <w:r w:rsidR="00E24DCF">
              <w:rPr>
                <w:rFonts w:ascii="Verdana" w:hAnsi="Verdana"/>
                <w:sz w:val="18"/>
                <w:szCs w:val="18"/>
              </w:rPr>
              <w:t>. It consists of 2</w:t>
            </w:r>
            <w:r w:rsidR="00AE59DD">
              <w:rPr>
                <w:rFonts w:ascii="Verdana" w:hAnsi="Verdana"/>
                <w:sz w:val="18"/>
                <w:szCs w:val="18"/>
              </w:rPr>
              <w:t xml:space="preserve"> </w:t>
            </w:r>
            <w:r w:rsidR="00DD478B">
              <w:rPr>
                <w:rFonts w:ascii="Verdana" w:hAnsi="Verdana"/>
                <w:sz w:val="18"/>
                <w:szCs w:val="18"/>
              </w:rPr>
              <w:t>specific indicators</w:t>
            </w:r>
            <w:r w:rsidR="00E72FB5">
              <w:rPr>
                <w:rFonts w:ascii="Verdana" w:hAnsi="Verdana"/>
                <w:sz w:val="18"/>
                <w:szCs w:val="18"/>
              </w:rPr>
              <w:t>:</w:t>
            </w:r>
          </w:p>
          <w:p w14:paraId="1A35C187" w14:textId="164F2F50" w:rsidR="00AE59DD" w:rsidRPr="001C195E" w:rsidRDefault="00E72FB5" w:rsidP="00665997">
            <w:pPr>
              <w:pStyle w:val="ListParagraph"/>
              <w:numPr>
                <w:ilvl w:val="0"/>
                <w:numId w:val="81"/>
              </w:numPr>
              <w:autoSpaceDE w:val="0"/>
              <w:autoSpaceDN w:val="0"/>
              <w:adjustRightInd w:val="0"/>
              <w:spacing w:after="60" w:line="240" w:lineRule="auto"/>
              <w:jc w:val="both"/>
              <w:rPr>
                <w:rFonts w:ascii="Verdana" w:hAnsi="Verdana"/>
                <w:sz w:val="18"/>
                <w:szCs w:val="18"/>
              </w:rPr>
            </w:pPr>
            <w:r w:rsidRPr="3F4AE0BD">
              <w:rPr>
                <w:rFonts w:ascii="Verdana" w:hAnsi="Verdana"/>
                <w:b/>
                <w:bCs/>
                <w:sz w:val="18"/>
                <w:szCs w:val="18"/>
              </w:rPr>
              <w:t>number</w:t>
            </w:r>
            <w:r w:rsidR="0010121D" w:rsidRPr="3F4AE0BD">
              <w:rPr>
                <w:rFonts w:ascii="Verdana" w:hAnsi="Verdana"/>
                <w:b/>
                <w:bCs/>
                <w:sz w:val="18"/>
                <w:szCs w:val="18"/>
              </w:rPr>
              <w:t xml:space="preserve"> </w:t>
            </w:r>
            <w:r w:rsidR="000F15A4" w:rsidRPr="3F4AE0BD">
              <w:rPr>
                <w:rFonts w:ascii="Verdana" w:hAnsi="Verdana"/>
                <w:b/>
                <w:bCs/>
                <w:sz w:val="18"/>
                <w:szCs w:val="18"/>
              </w:rPr>
              <w:t xml:space="preserve">and share </w:t>
            </w:r>
            <w:r w:rsidR="0007671D" w:rsidRPr="3F4AE0BD">
              <w:rPr>
                <w:rFonts w:ascii="Verdana" w:hAnsi="Verdana"/>
                <w:b/>
                <w:bCs/>
                <w:sz w:val="18"/>
                <w:szCs w:val="18"/>
              </w:rPr>
              <w:t xml:space="preserve">of farm managers </w:t>
            </w:r>
            <w:r w:rsidR="00AE59DD" w:rsidRPr="3F4AE0BD">
              <w:rPr>
                <w:rFonts w:ascii="Verdana" w:hAnsi="Verdana"/>
                <w:b/>
                <w:bCs/>
                <w:sz w:val="18"/>
                <w:szCs w:val="18"/>
              </w:rPr>
              <w:t>by level of agricultural training</w:t>
            </w:r>
            <w:r w:rsidR="00AE59DD" w:rsidRPr="001C195E">
              <w:rPr>
                <w:rFonts w:ascii="Verdana" w:hAnsi="Verdana"/>
                <w:sz w:val="18"/>
                <w:szCs w:val="18"/>
              </w:rPr>
              <w:t xml:space="preserve"> </w:t>
            </w:r>
          </w:p>
          <w:p w14:paraId="1B4E2466" w14:textId="794B09DD" w:rsidR="0007671D" w:rsidRPr="001D6460" w:rsidRDefault="00AE59DD" w:rsidP="00665997">
            <w:pPr>
              <w:pStyle w:val="ListParagraph"/>
              <w:numPr>
                <w:ilvl w:val="0"/>
                <w:numId w:val="81"/>
              </w:numPr>
              <w:autoSpaceDE w:val="0"/>
              <w:autoSpaceDN w:val="0"/>
              <w:adjustRightInd w:val="0"/>
              <w:spacing w:after="60" w:line="240" w:lineRule="auto"/>
              <w:jc w:val="both"/>
              <w:rPr>
                <w:rFonts w:ascii="Verdana" w:hAnsi="Verdana"/>
                <w:sz w:val="18"/>
                <w:szCs w:val="18"/>
              </w:rPr>
            </w:pPr>
            <w:r w:rsidRPr="3F4AE0BD">
              <w:rPr>
                <w:rFonts w:ascii="Verdana" w:hAnsi="Verdana"/>
                <w:b/>
                <w:bCs/>
                <w:sz w:val="18"/>
                <w:szCs w:val="18"/>
              </w:rPr>
              <w:t xml:space="preserve">number </w:t>
            </w:r>
            <w:r w:rsidR="000F15A4" w:rsidRPr="3F4AE0BD">
              <w:rPr>
                <w:rFonts w:ascii="Verdana" w:hAnsi="Verdana"/>
                <w:b/>
                <w:bCs/>
                <w:sz w:val="18"/>
                <w:szCs w:val="18"/>
              </w:rPr>
              <w:t xml:space="preserve">and share </w:t>
            </w:r>
            <w:r w:rsidRPr="3F4AE0BD">
              <w:rPr>
                <w:rFonts w:ascii="Verdana" w:hAnsi="Verdana"/>
                <w:b/>
                <w:bCs/>
                <w:sz w:val="18"/>
                <w:szCs w:val="18"/>
              </w:rPr>
              <w:t xml:space="preserve">of farm managers by age </w:t>
            </w:r>
            <w:r w:rsidR="003676B2" w:rsidRPr="3F4AE0BD">
              <w:rPr>
                <w:rFonts w:ascii="Verdana" w:hAnsi="Verdana"/>
                <w:b/>
                <w:bCs/>
                <w:sz w:val="18"/>
                <w:szCs w:val="18"/>
              </w:rPr>
              <w:t xml:space="preserve">group </w:t>
            </w:r>
            <w:r w:rsidRPr="3F4AE0BD">
              <w:rPr>
                <w:rFonts w:ascii="Verdana" w:hAnsi="Verdana"/>
                <w:b/>
                <w:bCs/>
                <w:sz w:val="18"/>
                <w:szCs w:val="18"/>
              </w:rPr>
              <w:t>and by level of agricultural training</w:t>
            </w:r>
            <w:r w:rsidR="001C195E">
              <w:rPr>
                <w:rFonts w:ascii="Verdana" w:hAnsi="Verdana"/>
                <w:sz w:val="18"/>
                <w:szCs w:val="18"/>
              </w:rPr>
              <w:t>.</w:t>
            </w:r>
          </w:p>
          <w:p w14:paraId="1FD7140E" w14:textId="77777777" w:rsidR="0007671D" w:rsidRPr="00C34DE9" w:rsidRDefault="0007671D" w:rsidP="005B5547">
            <w:pPr>
              <w:pStyle w:val="RD-Indicatortabletext"/>
              <w:spacing w:after="60"/>
              <w:jc w:val="both"/>
              <w:rPr>
                <w:rFonts w:cs="Times New Roman"/>
                <w:sz w:val="18"/>
                <w:szCs w:val="18"/>
              </w:rPr>
            </w:pPr>
            <w:r w:rsidRPr="00C34DE9">
              <w:rPr>
                <w:rFonts w:cs="Times New Roman"/>
                <w:sz w:val="18"/>
                <w:szCs w:val="18"/>
              </w:rPr>
              <w:t xml:space="preserve">The different categories of agricultural training are defined as follows: </w:t>
            </w:r>
          </w:p>
          <w:p w14:paraId="19291D01" w14:textId="77777777" w:rsidR="0007671D" w:rsidRPr="00C34DE9" w:rsidRDefault="0007671D" w:rsidP="00A85A9D">
            <w:pPr>
              <w:pStyle w:val="RD-Indicatortabletext"/>
              <w:numPr>
                <w:ilvl w:val="0"/>
                <w:numId w:val="23"/>
              </w:numPr>
              <w:spacing w:after="60"/>
              <w:jc w:val="both"/>
              <w:rPr>
                <w:rFonts w:cs="Times New Roman"/>
                <w:sz w:val="18"/>
                <w:szCs w:val="18"/>
              </w:rPr>
            </w:pPr>
            <w:r w:rsidRPr="5CB4B133">
              <w:rPr>
                <w:rStyle w:val="annexBChar"/>
                <w:rFonts w:ascii="Verdana" w:hAnsi="Verdana"/>
                <w:u w:val="single"/>
              </w:rPr>
              <w:t>Only practical agricultural experience</w:t>
            </w:r>
            <w:r w:rsidRPr="00C34DE9">
              <w:rPr>
                <w:rFonts w:cs="Times New Roman"/>
                <w:sz w:val="18"/>
                <w:szCs w:val="18"/>
              </w:rPr>
              <w:t>: experience acquired through practical work on an agricultural holding.</w:t>
            </w:r>
          </w:p>
          <w:p w14:paraId="594A6084" w14:textId="77777777" w:rsidR="0007671D" w:rsidRPr="00C34DE9" w:rsidRDefault="0007671D" w:rsidP="00A85A9D">
            <w:pPr>
              <w:pStyle w:val="RD-Indicatortabletext"/>
              <w:numPr>
                <w:ilvl w:val="0"/>
                <w:numId w:val="23"/>
              </w:numPr>
              <w:spacing w:after="60"/>
              <w:jc w:val="both"/>
              <w:rPr>
                <w:rFonts w:cs="Times New Roman"/>
                <w:sz w:val="18"/>
                <w:szCs w:val="18"/>
              </w:rPr>
            </w:pPr>
            <w:r w:rsidRPr="5CB4B133">
              <w:rPr>
                <w:rStyle w:val="annexBChar"/>
                <w:rFonts w:ascii="Verdana" w:hAnsi="Verdana"/>
                <w:u w:val="single"/>
              </w:rPr>
              <w:t>Basic agricultural training</w:t>
            </w:r>
            <w:r w:rsidRPr="00C34DE9">
              <w:rPr>
                <w:rFonts w:cs="Times New Roman"/>
                <w:sz w:val="18"/>
                <w:szCs w:val="18"/>
              </w:rPr>
              <w:t>: any training courses completed at a general agricultural college and/or an institution specialising in certain subjects (including horticulture, vitic</w:t>
            </w:r>
            <w:r w:rsidR="00B840B2">
              <w:rPr>
                <w:rFonts w:cs="Times New Roman"/>
                <w:sz w:val="18"/>
                <w:szCs w:val="18"/>
              </w:rPr>
              <w:t>ulture, si</w:t>
            </w:r>
            <w:r w:rsidRPr="00C34DE9">
              <w:rPr>
                <w:rFonts w:cs="Times New Roman"/>
                <w:sz w:val="18"/>
                <w:szCs w:val="18"/>
              </w:rPr>
              <w:t>lviculture, pisciculture, veterinary science, agricultural technology and associated subjects). A completed agricultural apprenticeship is regarded as basic training.</w:t>
            </w:r>
          </w:p>
          <w:p w14:paraId="156587CA" w14:textId="77777777" w:rsidR="0007671D" w:rsidRPr="001C195E" w:rsidRDefault="0007671D" w:rsidP="00A85A9D">
            <w:pPr>
              <w:pStyle w:val="RD-Indicatortabletext"/>
              <w:numPr>
                <w:ilvl w:val="0"/>
                <w:numId w:val="23"/>
              </w:numPr>
              <w:spacing w:after="120"/>
              <w:ind w:left="714" w:hanging="357"/>
              <w:jc w:val="both"/>
              <w:rPr>
                <w:rFonts w:cs="Times New Roman"/>
                <w:sz w:val="18"/>
                <w:szCs w:val="18"/>
              </w:rPr>
            </w:pPr>
            <w:r w:rsidRPr="5CB4B133">
              <w:rPr>
                <w:rStyle w:val="annexBChar"/>
                <w:rFonts w:ascii="Verdana" w:hAnsi="Verdana"/>
                <w:u w:val="single"/>
              </w:rPr>
              <w:t>Full agricultural training</w:t>
            </w:r>
            <w:r w:rsidRPr="00C34DE9">
              <w:rPr>
                <w:rFonts w:cs="Times New Roman"/>
                <w:sz w:val="18"/>
                <w:szCs w:val="18"/>
              </w:rPr>
              <w:t>: any training course continuing for the equivalent of at least two years full time training after the end of compulsory education and completed at an agricultural college, university or other institute of higher education in agricultur</w:t>
            </w:r>
            <w:r w:rsidR="00B840B2">
              <w:rPr>
                <w:rFonts w:cs="Times New Roman"/>
                <w:sz w:val="18"/>
                <w:szCs w:val="18"/>
              </w:rPr>
              <w:t>e, horticulture, viticulture, si</w:t>
            </w:r>
            <w:r w:rsidRPr="00C34DE9">
              <w:rPr>
                <w:rFonts w:cs="Times New Roman"/>
                <w:sz w:val="18"/>
                <w:szCs w:val="18"/>
              </w:rPr>
              <w:t>lviculture, pisciculture, veterinary science, agricultural technology or an associated subject.</w:t>
            </w:r>
          </w:p>
        </w:tc>
      </w:tr>
      <w:tr w:rsidR="0007671D" w:rsidRPr="00C34DE9" w14:paraId="08DB8459" w14:textId="77777777" w:rsidTr="790C88FB">
        <w:tc>
          <w:tcPr>
            <w:tcW w:w="2518" w:type="dxa"/>
            <w:shd w:val="clear" w:color="auto" w:fill="auto"/>
          </w:tcPr>
          <w:p w14:paraId="56D06B8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28921FD2" w14:textId="16E8C862" w:rsidR="0007671D" w:rsidRPr="00C34DE9" w:rsidRDefault="001C195E" w:rsidP="005B5547">
            <w:pPr>
              <w:spacing w:after="60" w:line="240" w:lineRule="auto"/>
              <w:jc w:val="both"/>
              <w:rPr>
                <w:rFonts w:ascii="Verdana" w:hAnsi="Verdana"/>
                <w:sz w:val="18"/>
                <w:szCs w:val="18"/>
              </w:rPr>
            </w:pPr>
            <w:r>
              <w:t xml:space="preserve">1 and </w:t>
            </w:r>
            <w:r w:rsidR="002F3D8B">
              <w:t>2</w:t>
            </w:r>
            <w:r w:rsidR="00E24DCF" w:rsidRPr="5D021C1E">
              <w:t xml:space="preserve">: </w:t>
            </w:r>
            <w:r w:rsidR="001E4908">
              <w:t>n</w:t>
            </w:r>
            <w:r w:rsidR="0007671D" w:rsidRPr="002F3D8B">
              <w:t xml:space="preserve">umber of </w:t>
            </w:r>
            <w:r w:rsidR="009D51B4" w:rsidRPr="002F3D8B">
              <w:t xml:space="preserve">farm </w:t>
            </w:r>
            <w:r w:rsidR="0007671D" w:rsidRPr="002F3D8B">
              <w:t>managers</w:t>
            </w:r>
            <w:r w:rsidR="000F15A4" w:rsidRPr="5D021C1E">
              <w:t xml:space="preserve"> </w:t>
            </w:r>
            <w:r w:rsidR="002F3D8B">
              <w:t xml:space="preserve">and </w:t>
            </w:r>
            <w:r w:rsidR="000F15A4" w:rsidRPr="5D021C1E">
              <w:t>%</w:t>
            </w:r>
            <w:r w:rsidR="002F3D8B" w:rsidRPr="5D021C1E">
              <w:t xml:space="preserve"> </w:t>
            </w:r>
          </w:p>
        </w:tc>
      </w:tr>
      <w:tr w:rsidR="0007671D" w:rsidRPr="00C34DE9" w14:paraId="347CE2FC" w14:textId="77777777" w:rsidTr="790C88FB">
        <w:tc>
          <w:tcPr>
            <w:tcW w:w="2518" w:type="dxa"/>
            <w:shd w:val="clear" w:color="auto" w:fill="auto"/>
          </w:tcPr>
          <w:p w14:paraId="687101A1"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2585946" w14:textId="77777777" w:rsidR="0007671D"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Eurostat – Farm Structure Survey </w:t>
            </w:r>
          </w:p>
          <w:p w14:paraId="2265BFD4" w14:textId="77777777" w:rsidR="00E35B87" w:rsidRPr="00C34DE9" w:rsidRDefault="00E35B87" w:rsidP="005B5547">
            <w:pPr>
              <w:spacing w:after="60" w:line="240" w:lineRule="auto"/>
              <w:jc w:val="both"/>
              <w:rPr>
                <w:rFonts w:ascii="Verdana" w:hAnsi="Verdana"/>
                <w:sz w:val="18"/>
                <w:szCs w:val="18"/>
              </w:rPr>
            </w:pPr>
            <w:r>
              <w:rPr>
                <w:rFonts w:ascii="Verdana" w:hAnsi="Verdana"/>
                <w:sz w:val="18"/>
                <w:szCs w:val="18"/>
              </w:rPr>
              <w:t>Eurostat – Integrated Farm Statistics (IFS)</w:t>
            </w:r>
          </w:p>
        </w:tc>
      </w:tr>
      <w:tr w:rsidR="0007671D" w:rsidRPr="00C34DE9" w14:paraId="4C275377" w14:textId="77777777" w:rsidTr="790C88FB">
        <w:tc>
          <w:tcPr>
            <w:tcW w:w="2518" w:type="dxa"/>
            <w:shd w:val="clear" w:color="auto" w:fill="auto"/>
          </w:tcPr>
          <w:p w14:paraId="361CB58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066C45E0" w14:textId="61DAB4CE"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National data</w:t>
            </w:r>
            <w:r w:rsidR="00935859">
              <w:rPr>
                <w:rFonts w:ascii="Verdana" w:hAnsi="Verdana"/>
                <w:sz w:val="18"/>
                <w:szCs w:val="18"/>
              </w:rPr>
              <w:t xml:space="preserve"> until 2013</w:t>
            </w:r>
            <w:r w:rsidRPr="00C34DE9">
              <w:rPr>
                <w:rFonts w:ascii="Verdana" w:hAnsi="Verdana"/>
                <w:sz w:val="18"/>
                <w:szCs w:val="18"/>
              </w:rPr>
              <w:t xml:space="preserve">: </w:t>
            </w:r>
            <w:r w:rsidR="001E71E9">
              <w:rPr>
                <w:rFonts w:ascii="Verdana" w:hAnsi="Verdana"/>
                <w:sz w:val="18"/>
                <w:szCs w:val="18"/>
              </w:rPr>
              <w:t>table [</w:t>
            </w:r>
            <w:hyperlink r:id="rId74" w:history="1">
              <w:r w:rsidRPr="001E71E9">
                <w:rPr>
                  <w:rStyle w:val="Hyperlink"/>
                  <w:rFonts w:ascii="Verdana" w:hAnsi="Verdana"/>
                  <w:sz w:val="18"/>
                  <w:szCs w:val="18"/>
                </w:rPr>
                <w:t>ef_mptrainman</w:t>
              </w:r>
            </w:hyperlink>
            <w:r w:rsidR="001E71E9">
              <w:rPr>
                <w:lang w:val="pt-PT"/>
              </w:rPr>
              <w:t>]</w:t>
            </w:r>
            <w:r w:rsidR="00935859">
              <w:rPr>
                <w:rFonts w:ascii="Verdana" w:hAnsi="Verdana"/>
                <w:sz w:val="18"/>
                <w:szCs w:val="18"/>
              </w:rPr>
              <w:t xml:space="preserve">, </w:t>
            </w:r>
            <w:r w:rsidR="009F08C9">
              <w:rPr>
                <w:rFonts w:ascii="Verdana" w:hAnsi="Verdana"/>
                <w:sz w:val="18"/>
                <w:szCs w:val="18"/>
              </w:rPr>
              <w:t>table [</w:t>
            </w:r>
            <w:hyperlink r:id="rId75" w:history="1">
              <w:r w:rsidR="003978D9">
                <w:rPr>
                  <w:rStyle w:val="Hyperlink"/>
                </w:rPr>
                <w:t>e</w:t>
              </w:r>
              <w:r w:rsidR="009F08C9">
                <w:rPr>
                  <w:rStyle w:val="Hyperlink"/>
                </w:rPr>
                <w:t>f_mp_training</w:t>
              </w:r>
            </w:hyperlink>
            <w:r w:rsidR="009F08C9">
              <w:rPr>
                <w:rFonts w:ascii="Verdana" w:hAnsi="Verdana"/>
                <w:sz w:val="18"/>
                <w:szCs w:val="18"/>
              </w:rPr>
              <w:t xml:space="preserve">] for </w:t>
            </w:r>
            <w:r w:rsidR="00935859">
              <w:rPr>
                <w:rFonts w:ascii="Verdana" w:hAnsi="Verdana"/>
                <w:sz w:val="18"/>
                <w:szCs w:val="18"/>
              </w:rPr>
              <w:t xml:space="preserve">2016 </w:t>
            </w:r>
            <w:r w:rsidR="009F08C9">
              <w:rPr>
                <w:rFonts w:ascii="Verdana" w:hAnsi="Verdana"/>
                <w:sz w:val="18"/>
                <w:szCs w:val="18"/>
              </w:rPr>
              <w:t>data</w:t>
            </w:r>
          </w:p>
          <w:p w14:paraId="02C14957"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Regional data: on special request to Eurostat</w:t>
            </w:r>
          </w:p>
        </w:tc>
      </w:tr>
      <w:tr w:rsidR="0007671D" w:rsidRPr="00C34DE9" w14:paraId="727C1559" w14:textId="77777777" w:rsidTr="790C88FB">
        <w:tc>
          <w:tcPr>
            <w:tcW w:w="2518" w:type="dxa"/>
            <w:shd w:val="clear" w:color="auto" w:fill="auto"/>
          </w:tcPr>
          <w:p w14:paraId="1BB9D34D"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42EBFE00"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1E71E9">
              <w:rPr>
                <w:rFonts w:ascii="Verdana" w:hAnsi="Verdana"/>
                <w:sz w:val="18"/>
                <w:szCs w:val="18"/>
              </w:rPr>
              <w:t>N</w:t>
            </w:r>
            <w:r w:rsidRPr="00C34DE9">
              <w:rPr>
                <w:rFonts w:ascii="Verdana" w:hAnsi="Verdana"/>
                <w:sz w:val="18"/>
                <w:szCs w:val="18"/>
              </w:rPr>
              <w:t>ational (NUTS 0)</w:t>
            </w:r>
            <w:r w:rsidR="001E71E9">
              <w:rPr>
                <w:rFonts w:ascii="Verdana" w:hAnsi="Verdana"/>
                <w:sz w:val="18"/>
                <w:szCs w:val="18"/>
              </w:rPr>
              <w:t>, R</w:t>
            </w:r>
            <w:r w:rsidRPr="00C34DE9">
              <w:rPr>
                <w:rFonts w:ascii="Verdana" w:hAnsi="Verdana"/>
                <w:sz w:val="18"/>
                <w:szCs w:val="18"/>
              </w:rPr>
              <w:t>egional (NUTS 1 and 2)</w:t>
            </w:r>
          </w:p>
        </w:tc>
      </w:tr>
      <w:tr w:rsidR="0007671D" w:rsidRPr="00C34DE9" w14:paraId="0FF8B628" w14:textId="77777777" w:rsidTr="790C88FB">
        <w:tc>
          <w:tcPr>
            <w:tcW w:w="2518" w:type="dxa"/>
            <w:shd w:val="clear" w:color="auto" w:fill="auto"/>
          </w:tcPr>
          <w:p w14:paraId="1D4BDEE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02B25F25" w14:textId="77777777" w:rsidR="0007671D" w:rsidRPr="00C34DE9" w:rsidRDefault="0007671D" w:rsidP="005B5547">
            <w:pPr>
              <w:spacing w:before="30" w:after="60" w:line="240" w:lineRule="auto"/>
              <w:jc w:val="both"/>
              <w:rPr>
                <w:rFonts w:ascii="Verdana" w:eastAsia="Times New Roman" w:hAnsi="Verdana"/>
                <w:sz w:val="18"/>
                <w:szCs w:val="18"/>
              </w:rPr>
            </w:pPr>
            <w:r w:rsidRPr="00C34DE9">
              <w:rPr>
                <w:rFonts w:ascii="Verdana" w:eastAsia="Times New Roman" w:hAnsi="Verdana"/>
                <w:sz w:val="18"/>
                <w:szCs w:val="18"/>
              </w:rPr>
              <w:t>FSS</w:t>
            </w:r>
            <w:r w:rsidR="00E35B87">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07671D" w:rsidRPr="00C34DE9" w14:paraId="53DEE5A7" w14:textId="77777777" w:rsidTr="790C88FB">
        <w:tc>
          <w:tcPr>
            <w:tcW w:w="2518" w:type="dxa"/>
            <w:shd w:val="clear" w:color="auto" w:fill="auto"/>
          </w:tcPr>
          <w:p w14:paraId="5370DA59"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2B75738E"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2 years</w:t>
            </w:r>
          </w:p>
        </w:tc>
      </w:tr>
      <w:tr w:rsidR="0007671D" w:rsidRPr="00C34DE9" w14:paraId="3CCEB275" w14:textId="77777777" w:rsidTr="790C88FB">
        <w:tc>
          <w:tcPr>
            <w:tcW w:w="2518" w:type="dxa"/>
            <w:shd w:val="clear" w:color="auto" w:fill="auto"/>
          </w:tcPr>
          <w:p w14:paraId="291D140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5B973580" w14:textId="77777777" w:rsidR="0007671D" w:rsidRDefault="00D24F34" w:rsidP="005B5547">
            <w:pPr>
              <w:spacing w:after="60" w:line="240" w:lineRule="auto"/>
              <w:jc w:val="both"/>
              <w:rPr>
                <w:rFonts w:ascii="Verdana" w:eastAsia="Times New Roman" w:hAnsi="Verdana"/>
                <w:sz w:val="18"/>
                <w:szCs w:val="18"/>
              </w:rPr>
            </w:pPr>
            <w:r>
              <w:rPr>
                <w:rFonts w:ascii="Verdana" w:eastAsia="Times New Roman" w:hAnsi="Verdana"/>
                <w:sz w:val="18"/>
                <w:szCs w:val="18"/>
              </w:rPr>
              <w:t>IFS as of survey year 2020</w:t>
            </w:r>
            <w:r w:rsidR="00E35B87">
              <w:rPr>
                <w:rFonts w:ascii="Verdana" w:eastAsia="Times New Roman" w:hAnsi="Verdana"/>
                <w:sz w:val="18"/>
                <w:szCs w:val="18"/>
              </w:rPr>
              <w:t>.</w:t>
            </w:r>
          </w:p>
          <w:p w14:paraId="52EC563A" w14:textId="77777777" w:rsidR="00263438" w:rsidRPr="00C34DE9" w:rsidRDefault="00263438" w:rsidP="00263438">
            <w:pPr>
              <w:spacing w:after="60"/>
              <w:jc w:val="both"/>
              <w:rPr>
                <w:rFonts w:ascii="Verdana" w:hAnsi="Verdana"/>
                <w:sz w:val="18"/>
                <w:szCs w:val="18"/>
              </w:rPr>
            </w:pPr>
            <w:r w:rsidRPr="00C34DE9">
              <w:rPr>
                <w:rFonts w:ascii="Verdana" w:hAnsi="Verdana"/>
                <w:sz w:val="18"/>
                <w:szCs w:val="18"/>
              </w:rPr>
              <w:t>In the case of Italy, the definition of "training in agriculture" does not correspond to the content described above. It refers rather to the general education level of the farmer. According to the Italian definition:</w:t>
            </w:r>
          </w:p>
          <w:p w14:paraId="4FB4CA08" w14:textId="77777777" w:rsidR="00263438" w:rsidRPr="00C34DE9" w:rsidRDefault="00263438" w:rsidP="00A85A9D">
            <w:pPr>
              <w:pStyle w:val="PlainText"/>
              <w:numPr>
                <w:ilvl w:val="0"/>
                <w:numId w:val="22"/>
              </w:numPr>
              <w:spacing w:after="60"/>
              <w:rPr>
                <w:rFonts w:ascii="Verdana" w:hAnsi="Verdana"/>
                <w:sz w:val="18"/>
                <w:szCs w:val="18"/>
              </w:rPr>
            </w:pPr>
            <w:r w:rsidRPr="00C34DE9">
              <w:rPr>
                <w:rFonts w:ascii="Verdana" w:hAnsi="Verdana"/>
                <w:sz w:val="18"/>
                <w:szCs w:val="18"/>
              </w:rPr>
              <w:t xml:space="preserve">practical experience means: the farmer has completed no type of education (primary school, secondary education, higher education); </w:t>
            </w:r>
          </w:p>
          <w:p w14:paraId="4C11852D" w14:textId="1760B613" w:rsidR="00D01A3A" w:rsidRPr="00C34DE9" w:rsidRDefault="00263438" w:rsidP="00A85A9D">
            <w:pPr>
              <w:pStyle w:val="PlainText"/>
              <w:numPr>
                <w:ilvl w:val="0"/>
                <w:numId w:val="22"/>
              </w:numPr>
              <w:spacing w:after="60"/>
              <w:rPr>
                <w:rFonts w:ascii="Verdana" w:hAnsi="Verdana"/>
                <w:sz w:val="18"/>
                <w:szCs w:val="18"/>
              </w:rPr>
            </w:pPr>
            <w:r w:rsidRPr="00C34DE9">
              <w:rPr>
                <w:rFonts w:ascii="Verdana" w:hAnsi="Verdana"/>
                <w:sz w:val="18"/>
                <w:szCs w:val="18"/>
              </w:rPr>
              <w:t xml:space="preserve">basic training </w:t>
            </w:r>
            <w:r w:rsidRPr="00C34DE9">
              <w:rPr>
                <w:rFonts w:ascii="Verdana" w:hAnsi="Verdana"/>
                <w:sz w:val="18"/>
                <w:szCs w:val="18"/>
                <w:lang w:val="en-GB"/>
              </w:rPr>
              <w:t xml:space="preserve">means: the </w:t>
            </w:r>
            <w:r w:rsidRPr="00C34DE9">
              <w:rPr>
                <w:rFonts w:ascii="Verdana" w:hAnsi="Verdana"/>
                <w:sz w:val="18"/>
                <w:szCs w:val="18"/>
              </w:rPr>
              <w:t>farmer completed at least primary education, but did not complete agricultural higher education</w:t>
            </w:r>
            <w:r w:rsidRPr="00C34DE9">
              <w:rPr>
                <w:rFonts w:ascii="Verdana" w:hAnsi="Verdana"/>
                <w:sz w:val="18"/>
                <w:szCs w:val="18"/>
                <w:lang w:val="en-GB"/>
              </w:rPr>
              <w:t>;</w:t>
            </w:r>
          </w:p>
          <w:p w14:paraId="572EE331" w14:textId="77777777" w:rsidR="00263438" w:rsidRPr="00D01A3A" w:rsidRDefault="00263438" w:rsidP="00A85A9D">
            <w:pPr>
              <w:pStyle w:val="PlainText"/>
              <w:numPr>
                <w:ilvl w:val="0"/>
                <w:numId w:val="22"/>
              </w:numPr>
              <w:spacing w:after="60"/>
              <w:rPr>
                <w:rFonts w:ascii="Verdana" w:hAnsi="Verdana"/>
                <w:sz w:val="18"/>
                <w:szCs w:val="18"/>
              </w:rPr>
            </w:pPr>
            <w:r w:rsidRPr="00D01A3A">
              <w:rPr>
                <w:rFonts w:ascii="Verdana" w:hAnsi="Verdana"/>
                <w:sz w:val="18"/>
                <w:szCs w:val="18"/>
              </w:rPr>
              <w:t>full training means: the farmer has completed higher or tertiary education at an agricultural college/university/college-level institute/vocational school.</w:t>
            </w:r>
          </w:p>
        </w:tc>
      </w:tr>
    </w:tbl>
    <w:p w14:paraId="60A0FC4E" w14:textId="77777777" w:rsidR="00AE2B9E" w:rsidRPr="00C34DE9" w:rsidRDefault="00AE2B9E" w:rsidP="00544872">
      <w:pPr>
        <w:spacing w:after="60" w:line="240" w:lineRule="auto"/>
        <w:rPr>
          <w:rFonts w:ascii="Verdana" w:hAnsi="Verdana"/>
          <w:b/>
          <w:sz w:val="18"/>
          <w:szCs w:val="18"/>
        </w:rPr>
      </w:pPr>
    </w:p>
    <w:p w14:paraId="1AFC3952" w14:textId="77777777" w:rsidR="00A74418" w:rsidRPr="00C34DE9" w:rsidRDefault="00AE2B9E" w:rsidP="00AE2B9E">
      <w:r w:rsidRPr="00C34DE9">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tblGrid>
      <w:tr w:rsidR="0087328F" w:rsidRPr="00C34DE9" w14:paraId="4DD9147F" w14:textId="77777777" w:rsidTr="7CF3AEC2">
        <w:trPr>
          <w:trHeight w:val="411"/>
        </w:trPr>
        <w:tc>
          <w:tcPr>
            <w:tcW w:w="2518" w:type="dxa"/>
            <w:shd w:val="clear" w:color="auto" w:fill="00B0F0"/>
          </w:tcPr>
          <w:p w14:paraId="592FB15D" w14:textId="77777777" w:rsidR="0087328F" w:rsidRPr="00C34DE9" w:rsidRDefault="001E71E9" w:rsidP="5CB4B133">
            <w:pPr>
              <w:spacing w:after="60" w:line="240" w:lineRule="auto"/>
              <w:rPr>
                <w:rFonts w:ascii="Verdana" w:hAnsi="Verdana"/>
                <w:b/>
                <w:bCs/>
                <w:sz w:val="18"/>
                <w:szCs w:val="18"/>
              </w:rPr>
            </w:pPr>
            <w:bookmarkStart w:id="19" w:name="C16"/>
            <w:r w:rsidRPr="5CB4B133">
              <w:rPr>
                <w:rFonts w:ascii="Verdana" w:hAnsi="Verdana"/>
                <w:b/>
                <w:bCs/>
                <w:smallCaps/>
                <w:sz w:val="18"/>
                <w:szCs w:val="18"/>
              </w:rPr>
              <w:lastRenderedPageBreak/>
              <w:t>Indicator</w:t>
            </w:r>
            <w:r w:rsidR="0087328F" w:rsidRPr="5CB4B133">
              <w:rPr>
                <w:rFonts w:ascii="Verdana" w:hAnsi="Verdana"/>
                <w:b/>
                <w:bCs/>
                <w:sz w:val="18"/>
                <w:szCs w:val="18"/>
              </w:rPr>
              <w:t xml:space="preserve"> </w:t>
            </w:r>
            <w:r w:rsidR="0087328F" w:rsidRPr="5CB4B133">
              <w:rPr>
                <w:rFonts w:ascii="Verdana" w:hAnsi="Verdana"/>
                <w:b/>
                <w:bCs/>
                <w:smallCaps/>
                <w:sz w:val="18"/>
                <w:szCs w:val="18"/>
              </w:rPr>
              <w:t>C.16</w:t>
            </w:r>
            <w:bookmarkEnd w:id="19"/>
          </w:p>
        </w:tc>
        <w:tc>
          <w:tcPr>
            <w:tcW w:w="7513" w:type="dxa"/>
            <w:shd w:val="clear" w:color="auto" w:fill="00B0F0"/>
          </w:tcPr>
          <w:p w14:paraId="15B42DEE" w14:textId="3040F6D5" w:rsidR="00240261" w:rsidRPr="00240261" w:rsidRDefault="00240261" w:rsidP="5CB4B133">
            <w:pPr>
              <w:spacing w:after="60" w:line="240" w:lineRule="auto"/>
              <w:rPr>
                <w:rFonts w:ascii="Verdana" w:hAnsi="Verdana"/>
                <w:b/>
                <w:bCs/>
                <w:caps/>
                <w:sz w:val="18"/>
                <w:szCs w:val="18"/>
              </w:rPr>
            </w:pPr>
            <w:bookmarkStart w:id="20" w:name="I21"/>
            <w:r w:rsidRPr="5CB4B133">
              <w:rPr>
                <w:rFonts w:ascii="Verdana" w:hAnsi="Verdana"/>
                <w:b/>
                <w:bCs/>
                <w:sz w:val="18"/>
                <w:szCs w:val="18"/>
              </w:rPr>
              <w:t xml:space="preserve">Indicator </w:t>
            </w:r>
            <w:r w:rsidRPr="5CB4B133">
              <w:rPr>
                <w:rFonts w:ascii="Verdana" w:hAnsi="Verdana"/>
                <w:b/>
                <w:bCs/>
                <w:caps/>
                <w:sz w:val="18"/>
                <w:szCs w:val="18"/>
              </w:rPr>
              <w:t>I.2</w:t>
            </w:r>
            <w:r w:rsidR="00235122">
              <w:rPr>
                <w:rFonts w:ascii="Verdana" w:hAnsi="Verdana"/>
                <w:b/>
                <w:bCs/>
                <w:caps/>
                <w:sz w:val="18"/>
                <w:szCs w:val="18"/>
              </w:rPr>
              <w:t>3</w:t>
            </w:r>
            <w:bookmarkEnd w:id="20"/>
            <w:r w:rsidRPr="5CB4B133">
              <w:rPr>
                <w:rFonts w:ascii="Verdana" w:hAnsi="Verdana"/>
                <w:b/>
                <w:bCs/>
                <w:caps/>
                <w:sz w:val="18"/>
                <w:szCs w:val="18"/>
              </w:rPr>
              <w:t xml:space="preserve"> </w:t>
            </w:r>
            <w:r w:rsidRPr="5CB4B133">
              <w:rPr>
                <w:rFonts w:ascii="Verdana" w:hAnsi="Verdana"/>
                <w:b/>
                <w:bCs/>
                <w:sz w:val="18"/>
                <w:szCs w:val="18"/>
              </w:rPr>
              <w:t>Attracting young farmers:</w:t>
            </w:r>
          </w:p>
          <w:p w14:paraId="3C52C194" w14:textId="045BD67B" w:rsidR="0087328F" w:rsidRPr="000732A9" w:rsidRDefault="00240261" w:rsidP="00240261">
            <w:pPr>
              <w:spacing w:after="60"/>
              <w:rPr>
                <w:rFonts w:ascii="Verdana" w:hAnsi="Verdana"/>
                <w:caps/>
                <w:sz w:val="18"/>
                <w:szCs w:val="18"/>
              </w:rPr>
            </w:pPr>
            <w:r w:rsidRPr="000732A9">
              <w:rPr>
                <w:rFonts w:ascii="Verdana" w:hAnsi="Verdana"/>
                <w:sz w:val="18"/>
                <w:szCs w:val="18"/>
              </w:rPr>
              <w:t>Evolution of number of new farm</w:t>
            </w:r>
            <w:r w:rsidR="006179F2">
              <w:rPr>
                <w:rFonts w:ascii="Verdana" w:hAnsi="Verdana"/>
                <w:sz w:val="18"/>
                <w:szCs w:val="18"/>
              </w:rPr>
              <w:t xml:space="preserve"> manag</w:t>
            </w:r>
            <w:r w:rsidRPr="000732A9">
              <w:rPr>
                <w:rFonts w:ascii="Verdana" w:hAnsi="Verdana"/>
                <w:sz w:val="18"/>
                <w:szCs w:val="18"/>
              </w:rPr>
              <w:t xml:space="preserve">ers </w:t>
            </w:r>
            <w:r w:rsidR="006179F2">
              <w:rPr>
                <w:rFonts w:ascii="Verdana" w:hAnsi="Verdana"/>
                <w:sz w:val="18"/>
                <w:szCs w:val="18"/>
              </w:rPr>
              <w:t>and the number of new young farm managers, including a gender breakdown</w:t>
            </w:r>
          </w:p>
        </w:tc>
      </w:tr>
      <w:tr w:rsidR="0087328F" w:rsidRPr="00C34DE9" w14:paraId="58AE18DB" w14:textId="77777777" w:rsidTr="7CF3AEC2">
        <w:trPr>
          <w:trHeight w:val="556"/>
        </w:trPr>
        <w:tc>
          <w:tcPr>
            <w:tcW w:w="2518" w:type="dxa"/>
            <w:shd w:val="clear" w:color="auto" w:fill="auto"/>
          </w:tcPr>
          <w:p w14:paraId="54BF5B7C"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4C259410" w14:textId="2BAC765E" w:rsidR="0087328F" w:rsidRPr="00240261" w:rsidRDefault="0087328F" w:rsidP="3F4AE0BD">
            <w:pPr>
              <w:spacing w:after="60" w:line="240" w:lineRule="auto"/>
              <w:jc w:val="center"/>
              <w:rPr>
                <w:rFonts w:ascii="Verdana" w:hAnsi="Verdana"/>
                <w:b/>
                <w:bCs/>
                <w:sz w:val="18"/>
                <w:szCs w:val="18"/>
              </w:rPr>
            </w:pPr>
            <w:r w:rsidRPr="3F4AE0BD">
              <w:rPr>
                <w:rFonts w:ascii="Verdana" w:hAnsi="Verdana"/>
                <w:b/>
                <w:bCs/>
                <w:sz w:val="18"/>
                <w:szCs w:val="18"/>
              </w:rPr>
              <w:t>New farm</w:t>
            </w:r>
            <w:r w:rsidR="00EC026F" w:rsidRPr="3F4AE0BD">
              <w:rPr>
                <w:rFonts w:ascii="Verdana" w:hAnsi="Verdana"/>
                <w:b/>
                <w:bCs/>
                <w:sz w:val="18"/>
                <w:szCs w:val="18"/>
              </w:rPr>
              <w:t xml:space="preserve"> manag</w:t>
            </w:r>
            <w:r w:rsidRPr="3F4AE0BD">
              <w:rPr>
                <w:rFonts w:ascii="Verdana" w:hAnsi="Verdana"/>
                <w:b/>
                <w:bCs/>
                <w:sz w:val="18"/>
                <w:szCs w:val="18"/>
              </w:rPr>
              <w:t>ers</w:t>
            </w:r>
            <w:r w:rsidR="00E11F80">
              <w:rPr>
                <w:rFonts w:ascii="Verdana" w:hAnsi="Verdana"/>
                <w:b/>
                <w:bCs/>
                <w:sz w:val="18"/>
                <w:szCs w:val="18"/>
              </w:rPr>
              <w:t xml:space="preserve"> and new young farm managers</w:t>
            </w:r>
          </w:p>
        </w:tc>
      </w:tr>
      <w:tr w:rsidR="0087328F" w:rsidRPr="00C34DE9" w14:paraId="4E0B9077" w14:textId="77777777" w:rsidTr="7CF3AEC2">
        <w:tc>
          <w:tcPr>
            <w:tcW w:w="2518" w:type="dxa"/>
            <w:shd w:val="clear" w:color="auto" w:fill="auto"/>
          </w:tcPr>
          <w:p w14:paraId="29FC6ABE"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5397C50D" w14:textId="77777777" w:rsidR="0087328F" w:rsidRDefault="00E33A59" w:rsidP="0087328F">
            <w:pPr>
              <w:pStyle w:val="PlainText"/>
              <w:spacing w:after="60"/>
              <w:rPr>
                <w:rFonts w:ascii="Verdana" w:hAnsi="Verdana"/>
                <w:sz w:val="18"/>
                <w:szCs w:val="18"/>
                <w:lang w:val="en-GB"/>
              </w:rPr>
            </w:pPr>
            <w:r w:rsidRPr="00E33A59">
              <w:rPr>
                <w:rFonts w:ascii="Verdana" w:hAnsi="Verdana"/>
                <w:sz w:val="18"/>
                <w:szCs w:val="18"/>
                <w:lang w:val="en-GB"/>
              </w:rPr>
              <w:t xml:space="preserve">The indicator shows </w:t>
            </w:r>
            <w:r w:rsidR="0087328F" w:rsidRPr="00C34DE9">
              <w:rPr>
                <w:rFonts w:ascii="Verdana" w:hAnsi="Verdana"/>
                <w:sz w:val="18"/>
                <w:szCs w:val="18"/>
              </w:rPr>
              <w:t>the evolution of number of new farm</w:t>
            </w:r>
            <w:r w:rsidRPr="00E33A59">
              <w:rPr>
                <w:rFonts w:ascii="Verdana" w:hAnsi="Verdana"/>
                <w:sz w:val="18"/>
                <w:szCs w:val="18"/>
                <w:lang w:val="en-GB"/>
              </w:rPr>
              <w:t xml:space="preserve"> managers</w:t>
            </w:r>
            <w:r w:rsidR="007833A7" w:rsidRPr="00C34DE9">
              <w:rPr>
                <w:rFonts w:ascii="Verdana" w:hAnsi="Verdana"/>
                <w:sz w:val="18"/>
                <w:szCs w:val="18"/>
                <w:lang w:val="en-GB"/>
              </w:rPr>
              <w:t xml:space="preserve"> including new young farm</w:t>
            </w:r>
            <w:r>
              <w:rPr>
                <w:rFonts w:ascii="Verdana" w:hAnsi="Verdana"/>
                <w:sz w:val="18"/>
                <w:szCs w:val="18"/>
                <w:lang w:val="en-GB"/>
              </w:rPr>
              <w:t xml:space="preserve"> managers</w:t>
            </w:r>
            <w:r w:rsidR="0087328F" w:rsidRPr="00C34DE9">
              <w:rPr>
                <w:rFonts w:ascii="Verdana" w:hAnsi="Verdana"/>
                <w:sz w:val="18"/>
                <w:szCs w:val="18"/>
              </w:rPr>
              <w:t>.</w:t>
            </w:r>
            <w:r w:rsidR="0087328F" w:rsidRPr="00C34DE9">
              <w:rPr>
                <w:rFonts w:ascii="Verdana" w:hAnsi="Verdana"/>
                <w:sz w:val="18"/>
                <w:szCs w:val="18"/>
                <w:lang w:val="en-GB"/>
              </w:rPr>
              <w:t xml:space="preserve"> </w:t>
            </w:r>
          </w:p>
          <w:p w14:paraId="006F6F40" w14:textId="77777777" w:rsidR="002259A5" w:rsidRPr="00C34DE9" w:rsidRDefault="002259A5" w:rsidP="0087328F">
            <w:pPr>
              <w:pStyle w:val="PlainText"/>
              <w:spacing w:after="60"/>
              <w:rPr>
                <w:rFonts w:ascii="Verdana" w:hAnsi="Verdana"/>
                <w:sz w:val="18"/>
                <w:szCs w:val="18"/>
                <w:lang w:val="en-GB"/>
              </w:rPr>
            </w:pPr>
            <w:r>
              <w:rPr>
                <w:rFonts w:ascii="Verdana" w:hAnsi="Verdana"/>
                <w:sz w:val="18"/>
                <w:szCs w:val="18"/>
                <w:lang w:val="en-GB"/>
              </w:rPr>
              <w:t>For the definition of new farmer it will be adopted the one proposed by Eurostat.</w:t>
            </w:r>
          </w:p>
        </w:tc>
      </w:tr>
      <w:tr w:rsidR="0087328F" w:rsidRPr="00C34DE9" w14:paraId="5B664A82" w14:textId="77777777" w:rsidTr="7CF3AEC2">
        <w:tc>
          <w:tcPr>
            <w:tcW w:w="2518" w:type="dxa"/>
            <w:shd w:val="clear" w:color="auto" w:fill="auto"/>
          </w:tcPr>
          <w:p w14:paraId="2CB1F123"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417C8ABB" w14:textId="287187EF" w:rsidR="001D6460" w:rsidRDefault="002F3D8B" w:rsidP="000D33DB">
            <w:pPr>
              <w:spacing w:after="60" w:line="240" w:lineRule="auto"/>
              <w:jc w:val="both"/>
              <w:rPr>
                <w:rFonts w:ascii="Verdana" w:hAnsi="Verdana"/>
                <w:sz w:val="18"/>
                <w:szCs w:val="18"/>
              </w:rPr>
            </w:pPr>
            <w:r>
              <w:rPr>
                <w:rFonts w:ascii="Verdana" w:hAnsi="Verdana"/>
                <w:sz w:val="18"/>
                <w:szCs w:val="18"/>
              </w:rPr>
              <w:t>1</w:t>
            </w:r>
            <w:r w:rsidR="001C195E">
              <w:rPr>
                <w:rFonts w:ascii="Verdana" w:hAnsi="Verdana"/>
                <w:sz w:val="18"/>
                <w:szCs w:val="18"/>
              </w:rPr>
              <w:t>:</w:t>
            </w:r>
            <w:r>
              <w:rPr>
                <w:rFonts w:ascii="Verdana" w:hAnsi="Verdana"/>
                <w:sz w:val="18"/>
                <w:szCs w:val="18"/>
              </w:rPr>
              <w:t xml:space="preserve"> </w:t>
            </w:r>
            <w:r w:rsidR="001E4908">
              <w:rPr>
                <w:rFonts w:ascii="Verdana" w:hAnsi="Verdana"/>
                <w:sz w:val="18"/>
                <w:szCs w:val="18"/>
              </w:rPr>
              <w:t>n</w:t>
            </w:r>
            <w:r w:rsidR="0087328F" w:rsidRPr="00C34DE9">
              <w:rPr>
                <w:rFonts w:ascii="Verdana" w:hAnsi="Verdana"/>
                <w:sz w:val="18"/>
                <w:szCs w:val="18"/>
              </w:rPr>
              <w:t>umber of new farm</w:t>
            </w:r>
            <w:r w:rsidR="00E33A59">
              <w:rPr>
                <w:rFonts w:ascii="Verdana" w:hAnsi="Verdana"/>
                <w:sz w:val="18"/>
                <w:szCs w:val="18"/>
              </w:rPr>
              <w:t xml:space="preserve"> managers</w:t>
            </w:r>
            <w:r w:rsidR="00E822F3">
              <w:rPr>
                <w:rFonts w:ascii="Verdana" w:hAnsi="Verdana"/>
                <w:sz w:val="18"/>
                <w:szCs w:val="18"/>
              </w:rPr>
              <w:t xml:space="preserve"> by sex</w:t>
            </w:r>
          </w:p>
          <w:p w14:paraId="61E2F88E" w14:textId="7ED3EDF2" w:rsidR="007833A7" w:rsidRPr="00C34DE9" w:rsidRDefault="002F3D8B" w:rsidP="000D33DB">
            <w:pPr>
              <w:spacing w:after="60" w:line="240" w:lineRule="auto"/>
              <w:jc w:val="both"/>
              <w:rPr>
                <w:rFonts w:ascii="Verdana" w:hAnsi="Verdana"/>
                <w:sz w:val="18"/>
                <w:szCs w:val="18"/>
              </w:rPr>
            </w:pPr>
            <w:r>
              <w:rPr>
                <w:rFonts w:ascii="Verdana" w:hAnsi="Verdana"/>
                <w:sz w:val="18"/>
                <w:szCs w:val="18"/>
              </w:rPr>
              <w:t>2</w:t>
            </w:r>
            <w:r w:rsidR="001C195E">
              <w:rPr>
                <w:rFonts w:ascii="Verdana" w:hAnsi="Verdana"/>
                <w:sz w:val="18"/>
                <w:szCs w:val="18"/>
              </w:rPr>
              <w:t>:</w:t>
            </w:r>
            <w:r>
              <w:rPr>
                <w:rFonts w:ascii="Verdana" w:hAnsi="Verdana"/>
                <w:sz w:val="18"/>
                <w:szCs w:val="18"/>
              </w:rPr>
              <w:t xml:space="preserve"> </w:t>
            </w:r>
            <w:r w:rsidR="001E4908">
              <w:rPr>
                <w:rFonts w:ascii="Verdana" w:hAnsi="Verdana"/>
                <w:sz w:val="18"/>
                <w:szCs w:val="18"/>
              </w:rPr>
              <w:t>n</w:t>
            </w:r>
            <w:r w:rsidR="007833A7" w:rsidRPr="00C34DE9">
              <w:rPr>
                <w:rFonts w:ascii="Verdana" w:hAnsi="Verdana"/>
                <w:sz w:val="18"/>
                <w:szCs w:val="18"/>
              </w:rPr>
              <w:t>umber of new young farm</w:t>
            </w:r>
            <w:r w:rsidR="00E33A59">
              <w:rPr>
                <w:rFonts w:ascii="Verdana" w:hAnsi="Verdana"/>
                <w:sz w:val="18"/>
                <w:szCs w:val="18"/>
              </w:rPr>
              <w:t xml:space="preserve"> managers</w:t>
            </w:r>
            <w:r w:rsidR="00E822F3">
              <w:rPr>
                <w:rFonts w:ascii="Verdana" w:hAnsi="Verdana"/>
                <w:sz w:val="18"/>
                <w:szCs w:val="18"/>
              </w:rPr>
              <w:t xml:space="preserve"> by sex</w:t>
            </w:r>
            <w:r w:rsidR="000F15A4">
              <w:rPr>
                <w:rFonts w:ascii="Verdana" w:hAnsi="Verdana"/>
                <w:sz w:val="18"/>
                <w:szCs w:val="18"/>
              </w:rPr>
              <w:t xml:space="preserve"> </w:t>
            </w:r>
          </w:p>
        </w:tc>
      </w:tr>
      <w:tr w:rsidR="0087328F" w:rsidRPr="00C34DE9" w14:paraId="5CD7F109" w14:textId="77777777" w:rsidTr="7CF3AEC2">
        <w:tc>
          <w:tcPr>
            <w:tcW w:w="2518" w:type="dxa"/>
            <w:shd w:val="clear" w:color="auto" w:fill="auto"/>
          </w:tcPr>
          <w:p w14:paraId="7E453EC8"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41866B87" w14:textId="77777777" w:rsidR="0087328F" w:rsidRPr="00C34DE9" w:rsidRDefault="0087328F" w:rsidP="0087328F">
            <w:pPr>
              <w:spacing w:after="60" w:line="240" w:lineRule="auto"/>
              <w:jc w:val="both"/>
              <w:rPr>
                <w:rFonts w:ascii="Verdana" w:hAnsi="Verdana"/>
                <w:sz w:val="18"/>
                <w:szCs w:val="18"/>
              </w:rPr>
            </w:pPr>
            <w:r w:rsidRPr="00C34DE9">
              <w:rPr>
                <w:rFonts w:ascii="Verdana" w:hAnsi="Verdana"/>
                <w:sz w:val="18"/>
                <w:szCs w:val="18"/>
              </w:rPr>
              <w:t xml:space="preserve">Eurostat </w:t>
            </w:r>
            <w:r w:rsidR="00E33A59">
              <w:rPr>
                <w:rFonts w:ascii="Verdana" w:hAnsi="Verdana"/>
                <w:sz w:val="18"/>
                <w:szCs w:val="18"/>
              </w:rPr>
              <w:t>Integrated Farm statistics (IFS)</w:t>
            </w:r>
          </w:p>
        </w:tc>
      </w:tr>
      <w:tr w:rsidR="0087328F" w:rsidRPr="00C34DE9" w14:paraId="3A69D365" w14:textId="77777777" w:rsidTr="7CF3AEC2">
        <w:tc>
          <w:tcPr>
            <w:tcW w:w="2518" w:type="dxa"/>
            <w:shd w:val="clear" w:color="auto" w:fill="auto"/>
          </w:tcPr>
          <w:p w14:paraId="6346BBB0"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2B9B2B7A" w14:textId="77777777" w:rsidR="00BB5AD3" w:rsidRPr="00C34DE9" w:rsidRDefault="00BB5AD3" w:rsidP="00BB5AD3">
            <w:pPr>
              <w:spacing w:after="60"/>
              <w:ind w:left="31"/>
              <w:rPr>
                <w:rFonts w:ascii="Verdana" w:hAnsi="Verdana"/>
                <w:sz w:val="18"/>
                <w:szCs w:val="18"/>
              </w:rPr>
            </w:pPr>
            <w:r w:rsidRPr="00C34DE9">
              <w:rPr>
                <w:rFonts w:ascii="Verdana" w:hAnsi="Verdana"/>
                <w:sz w:val="18"/>
                <w:szCs w:val="18"/>
              </w:rPr>
              <w:t>The Integrated Farm Statistics Regulation (EU) 1091/2018 will provide data for the following variables:</w:t>
            </w:r>
          </w:p>
          <w:p w14:paraId="7ADFA74E" w14:textId="403FBA92" w:rsidR="00BB5AD3" w:rsidRPr="00C34DE9" w:rsidRDefault="44A9B911" w:rsidP="00665997">
            <w:pPr>
              <w:numPr>
                <w:ilvl w:val="0"/>
                <w:numId w:val="47"/>
              </w:numPr>
              <w:spacing w:after="60"/>
              <w:jc w:val="both"/>
              <w:rPr>
                <w:rFonts w:ascii="Verdana" w:hAnsi="Verdana"/>
                <w:sz w:val="18"/>
                <w:szCs w:val="18"/>
              </w:rPr>
            </w:pPr>
            <w:r w:rsidRPr="7CF3AEC2">
              <w:rPr>
                <w:rFonts w:ascii="Verdana" w:hAnsi="Verdana"/>
                <w:sz w:val="18"/>
                <w:szCs w:val="18"/>
              </w:rPr>
              <w:t>The</w:t>
            </w:r>
            <w:r w:rsidR="6ADB0332" w:rsidRPr="7CF3AEC2">
              <w:rPr>
                <w:rFonts w:ascii="Verdana" w:hAnsi="Verdana"/>
                <w:sz w:val="18"/>
                <w:szCs w:val="18"/>
              </w:rPr>
              <w:t xml:space="preserve"> number of new entrant (including young) </w:t>
            </w:r>
            <w:r w:rsidR="04831526" w:rsidRPr="7CF3AEC2">
              <w:rPr>
                <w:rFonts w:ascii="Verdana" w:hAnsi="Verdana"/>
                <w:sz w:val="18"/>
                <w:szCs w:val="18"/>
              </w:rPr>
              <w:t xml:space="preserve">farmers </w:t>
            </w:r>
            <w:r w:rsidR="27AF1B7F" w:rsidRPr="7CF3AEC2">
              <w:rPr>
                <w:rFonts w:ascii="Verdana" w:hAnsi="Verdana"/>
                <w:sz w:val="18"/>
                <w:szCs w:val="18"/>
              </w:rPr>
              <w:t>in the previous 3 years</w:t>
            </w:r>
          </w:p>
          <w:p w14:paraId="7122602E" w14:textId="77777777" w:rsidR="00BB5AD3" w:rsidRPr="00C34DE9" w:rsidRDefault="00BB5AD3" w:rsidP="00665997">
            <w:pPr>
              <w:numPr>
                <w:ilvl w:val="0"/>
                <w:numId w:val="47"/>
              </w:numPr>
              <w:spacing w:after="60"/>
              <w:jc w:val="both"/>
              <w:rPr>
                <w:rFonts w:ascii="Verdana" w:hAnsi="Verdana"/>
                <w:sz w:val="18"/>
                <w:szCs w:val="18"/>
              </w:rPr>
            </w:pPr>
            <w:r w:rsidRPr="00C34DE9">
              <w:rPr>
                <w:rFonts w:ascii="Verdana" w:hAnsi="Verdana"/>
                <w:sz w:val="18"/>
                <w:szCs w:val="18"/>
              </w:rPr>
              <w:t>The year in which the manager of the agricultural holding took up this role</w:t>
            </w:r>
          </w:p>
          <w:p w14:paraId="4ED0C6DC" w14:textId="77777777" w:rsidR="0087328F" w:rsidRPr="00C34DE9" w:rsidRDefault="00BB5AD3" w:rsidP="00665997">
            <w:pPr>
              <w:numPr>
                <w:ilvl w:val="0"/>
                <w:numId w:val="47"/>
              </w:numPr>
              <w:spacing w:after="60"/>
              <w:jc w:val="both"/>
              <w:rPr>
                <w:rFonts w:ascii="Verdana" w:hAnsi="Verdana"/>
                <w:sz w:val="18"/>
                <w:szCs w:val="18"/>
              </w:rPr>
            </w:pPr>
            <w:r w:rsidRPr="00C34DE9">
              <w:rPr>
                <w:rFonts w:ascii="Verdana" w:hAnsi="Verdana"/>
                <w:sz w:val="18"/>
                <w:szCs w:val="18"/>
              </w:rPr>
              <w:t>The year of birth of the manager of the agricultural holding</w:t>
            </w:r>
          </w:p>
        </w:tc>
      </w:tr>
      <w:tr w:rsidR="0087328F" w:rsidRPr="00C34DE9" w14:paraId="29E16789" w14:textId="77777777" w:rsidTr="7CF3AEC2">
        <w:tc>
          <w:tcPr>
            <w:tcW w:w="2518" w:type="dxa"/>
            <w:shd w:val="clear" w:color="auto" w:fill="auto"/>
          </w:tcPr>
          <w:p w14:paraId="08DF8BA2"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02FC7356" w14:textId="1E571AA7" w:rsidR="0087328F" w:rsidRPr="00C34DE9" w:rsidRDefault="00E33A59" w:rsidP="0094628E">
            <w:pPr>
              <w:spacing w:after="60" w:line="240" w:lineRule="auto"/>
              <w:jc w:val="both"/>
              <w:rPr>
                <w:rFonts w:ascii="Verdana" w:hAnsi="Verdana"/>
                <w:sz w:val="18"/>
                <w:szCs w:val="18"/>
              </w:rPr>
            </w:pPr>
            <w:r w:rsidRPr="00ED2A3A">
              <w:rPr>
                <w:rFonts w:ascii="Verdana" w:hAnsi="Verdana"/>
                <w:sz w:val="18"/>
                <w:szCs w:val="18"/>
              </w:rPr>
              <w:t>EU, national (NUTS 0) and regional (NUTS 1 and 2)</w:t>
            </w:r>
          </w:p>
        </w:tc>
      </w:tr>
      <w:tr w:rsidR="0087328F" w:rsidRPr="00C34DE9" w14:paraId="4AF3530E" w14:textId="77777777" w:rsidTr="7CF3AEC2">
        <w:tc>
          <w:tcPr>
            <w:tcW w:w="2518" w:type="dxa"/>
            <w:shd w:val="clear" w:color="auto" w:fill="auto"/>
          </w:tcPr>
          <w:p w14:paraId="474DBC93"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0C484107" w14:textId="77777777" w:rsidR="0087328F" w:rsidRPr="00C34DE9" w:rsidRDefault="00E33A59" w:rsidP="0094628E">
            <w:pPr>
              <w:spacing w:before="30" w:after="60" w:line="240" w:lineRule="auto"/>
              <w:jc w:val="both"/>
              <w:rPr>
                <w:rFonts w:ascii="Verdana" w:eastAsia="Times New Roman" w:hAnsi="Verdana"/>
                <w:sz w:val="18"/>
                <w:szCs w:val="18"/>
              </w:rPr>
            </w:pPr>
            <w:r>
              <w:rPr>
                <w:rFonts w:ascii="Verdana" w:eastAsia="Times New Roman" w:hAnsi="Verdana"/>
                <w:sz w:val="18"/>
                <w:szCs w:val="18"/>
              </w:rPr>
              <w:t>IFS</w:t>
            </w:r>
            <w:r w:rsidRPr="00ED2A3A">
              <w:rPr>
                <w:rFonts w:ascii="Verdana" w:eastAsia="Times New Roman" w:hAnsi="Verdana"/>
                <w:sz w:val="18"/>
                <w:szCs w:val="18"/>
              </w:rPr>
              <w:t>: full census every 10 years, intermediate surveys 2 times in-between.</w:t>
            </w:r>
          </w:p>
        </w:tc>
      </w:tr>
      <w:tr w:rsidR="0087328F" w:rsidRPr="00C34DE9" w14:paraId="1E1349BB" w14:textId="77777777" w:rsidTr="7CF3AEC2">
        <w:tc>
          <w:tcPr>
            <w:tcW w:w="2518" w:type="dxa"/>
            <w:shd w:val="clear" w:color="auto" w:fill="auto"/>
          </w:tcPr>
          <w:p w14:paraId="73C60BB0"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0FBB4358" w14:textId="77777777" w:rsidR="0087328F" w:rsidRPr="00C34DE9" w:rsidRDefault="0087328F" w:rsidP="0094628E">
            <w:pPr>
              <w:spacing w:after="60" w:line="240" w:lineRule="auto"/>
              <w:jc w:val="both"/>
              <w:rPr>
                <w:rFonts w:ascii="Verdana" w:hAnsi="Verdana"/>
                <w:sz w:val="18"/>
                <w:szCs w:val="18"/>
              </w:rPr>
            </w:pPr>
            <w:r w:rsidRPr="00C34DE9">
              <w:rPr>
                <w:rFonts w:ascii="Verdana" w:hAnsi="Verdana"/>
                <w:sz w:val="18"/>
                <w:szCs w:val="18"/>
              </w:rPr>
              <w:t>2 years</w:t>
            </w:r>
          </w:p>
        </w:tc>
      </w:tr>
      <w:tr w:rsidR="0087328F" w:rsidRPr="00C34DE9" w14:paraId="16FC5932" w14:textId="77777777" w:rsidTr="7CF3AEC2">
        <w:tc>
          <w:tcPr>
            <w:tcW w:w="2518" w:type="dxa"/>
            <w:shd w:val="clear" w:color="auto" w:fill="auto"/>
          </w:tcPr>
          <w:p w14:paraId="65005EB4" w14:textId="77777777" w:rsidR="0087328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5A3DFC13" w14:textId="77777777" w:rsidR="0087328F" w:rsidRPr="00C34DE9" w:rsidRDefault="00E33A59" w:rsidP="0094628E">
            <w:pPr>
              <w:spacing w:after="60" w:line="240" w:lineRule="auto"/>
              <w:jc w:val="both"/>
              <w:rPr>
                <w:rFonts w:ascii="Verdana" w:eastAsia="Times New Roman" w:hAnsi="Verdana"/>
                <w:sz w:val="18"/>
                <w:szCs w:val="18"/>
              </w:rPr>
            </w:pPr>
            <w:r>
              <w:rPr>
                <w:rFonts w:ascii="Verdana" w:hAnsi="Verdana"/>
                <w:sz w:val="18"/>
                <w:szCs w:val="18"/>
                <w:lang w:val="en-US"/>
              </w:rPr>
              <w:t>First data on new farm managers will be available towards end of year 2022 (for reference year 2020)</w:t>
            </w:r>
          </w:p>
        </w:tc>
      </w:tr>
    </w:tbl>
    <w:p w14:paraId="69F6830A" w14:textId="77777777" w:rsidR="00A74418" w:rsidRPr="00C34DE9" w:rsidRDefault="00A74418">
      <w:pPr>
        <w:rPr>
          <w:rFonts w:ascii="Verdana" w:hAnsi="Verdana"/>
          <w:sz w:val="18"/>
          <w:szCs w:val="18"/>
        </w:rPr>
      </w:pPr>
    </w:p>
    <w:p w14:paraId="310E1975" w14:textId="77777777" w:rsidR="00A74418" w:rsidRPr="00C34DE9" w:rsidRDefault="00BB5AD3">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07671D" w:rsidRPr="00C34DE9" w14:paraId="1B1BD4E1" w14:textId="77777777" w:rsidTr="790C88FB">
        <w:trPr>
          <w:trHeight w:val="411"/>
        </w:trPr>
        <w:tc>
          <w:tcPr>
            <w:tcW w:w="2518" w:type="dxa"/>
            <w:shd w:val="clear" w:color="auto" w:fill="auto"/>
          </w:tcPr>
          <w:p w14:paraId="04F37CE4" w14:textId="77777777" w:rsidR="0007671D" w:rsidRPr="00C34DE9" w:rsidRDefault="001E71E9" w:rsidP="5CB4B133">
            <w:pPr>
              <w:spacing w:after="60" w:line="240" w:lineRule="auto"/>
              <w:rPr>
                <w:rFonts w:ascii="Verdana" w:hAnsi="Verdana"/>
                <w:b/>
                <w:bCs/>
                <w:sz w:val="18"/>
                <w:szCs w:val="18"/>
              </w:rPr>
            </w:pPr>
            <w:bookmarkStart w:id="21" w:name="C17"/>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17</w:t>
            </w:r>
            <w:bookmarkEnd w:id="21"/>
          </w:p>
        </w:tc>
        <w:tc>
          <w:tcPr>
            <w:tcW w:w="7513" w:type="dxa"/>
            <w:shd w:val="clear" w:color="auto" w:fill="auto"/>
          </w:tcPr>
          <w:p w14:paraId="0C0AF313" w14:textId="77777777" w:rsidR="0007671D" w:rsidRPr="00C34DE9" w:rsidRDefault="0007671D" w:rsidP="00C30187">
            <w:pPr>
              <w:spacing w:after="60"/>
              <w:rPr>
                <w:rFonts w:ascii="Verdana" w:hAnsi="Verdana"/>
                <w:caps/>
                <w:sz w:val="18"/>
                <w:szCs w:val="18"/>
              </w:rPr>
            </w:pPr>
          </w:p>
        </w:tc>
      </w:tr>
      <w:tr w:rsidR="0007671D" w:rsidRPr="00C34DE9" w14:paraId="21C5688D" w14:textId="77777777" w:rsidTr="790C88FB">
        <w:trPr>
          <w:trHeight w:val="556"/>
        </w:trPr>
        <w:tc>
          <w:tcPr>
            <w:tcW w:w="2518" w:type="dxa"/>
            <w:shd w:val="clear" w:color="auto" w:fill="auto"/>
          </w:tcPr>
          <w:p w14:paraId="15C27F5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619B66D8" w14:textId="4BADA22D" w:rsidR="0007671D" w:rsidRPr="00C34DE9" w:rsidRDefault="00C74FB1" w:rsidP="00C74FB1">
            <w:pPr>
              <w:spacing w:after="60" w:line="240" w:lineRule="auto"/>
              <w:jc w:val="center"/>
              <w:rPr>
                <w:rFonts w:ascii="Verdana" w:hAnsi="Verdana"/>
                <w:b/>
                <w:bCs/>
                <w:sz w:val="18"/>
                <w:szCs w:val="18"/>
              </w:rPr>
            </w:pPr>
            <w:r w:rsidRPr="3B80D187">
              <w:rPr>
                <w:rFonts w:ascii="Verdana" w:hAnsi="Verdana"/>
                <w:b/>
                <w:bCs/>
                <w:sz w:val="18"/>
                <w:szCs w:val="18"/>
              </w:rPr>
              <w:t xml:space="preserve">Utilised </w:t>
            </w:r>
            <w:r>
              <w:rPr>
                <w:rFonts w:ascii="Verdana" w:hAnsi="Verdana"/>
                <w:b/>
                <w:bCs/>
                <w:sz w:val="18"/>
                <w:szCs w:val="18"/>
              </w:rPr>
              <w:t>a</w:t>
            </w:r>
            <w:r w:rsidR="0007671D" w:rsidRPr="3B80D187">
              <w:rPr>
                <w:rFonts w:ascii="Verdana" w:hAnsi="Verdana"/>
                <w:b/>
                <w:bCs/>
                <w:sz w:val="18"/>
                <w:szCs w:val="18"/>
              </w:rPr>
              <w:t>gricultural area</w:t>
            </w:r>
          </w:p>
        </w:tc>
      </w:tr>
      <w:tr w:rsidR="0007671D" w:rsidRPr="00C34DE9" w14:paraId="28387663" w14:textId="77777777" w:rsidTr="790C88FB">
        <w:tc>
          <w:tcPr>
            <w:tcW w:w="2518" w:type="dxa"/>
            <w:shd w:val="clear" w:color="auto" w:fill="auto"/>
          </w:tcPr>
          <w:p w14:paraId="2D48BB4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5A451BEF" w14:textId="1D0B9EA9" w:rsidR="005F7044" w:rsidRDefault="0007671D" w:rsidP="005B5547">
            <w:pPr>
              <w:pStyle w:val="RD-Indicatortabletext"/>
              <w:spacing w:after="60"/>
              <w:jc w:val="both"/>
              <w:rPr>
                <w:rFonts w:cs="Times New Roman"/>
                <w:sz w:val="18"/>
                <w:szCs w:val="18"/>
              </w:rPr>
            </w:pPr>
            <w:r w:rsidRPr="00C34DE9">
              <w:rPr>
                <w:rFonts w:cs="Times New Roman"/>
                <w:sz w:val="18"/>
                <w:szCs w:val="18"/>
              </w:rPr>
              <w:t xml:space="preserve">The indicator is </w:t>
            </w:r>
            <w:r w:rsidR="00AE59DD">
              <w:rPr>
                <w:rFonts w:cs="Times New Roman"/>
                <w:sz w:val="18"/>
                <w:szCs w:val="18"/>
              </w:rPr>
              <w:t>ex</w:t>
            </w:r>
            <w:r w:rsidR="00AE59DD" w:rsidRPr="00AE59DD">
              <w:rPr>
                <w:rFonts w:cs="Times New Roman"/>
                <w:sz w:val="18"/>
                <w:szCs w:val="18"/>
              </w:rPr>
              <w:t xml:space="preserve">pressed as the total utilised agricultural area (UAA) in absolute terms (ha) and as the share of UAA in different categories of land use. </w:t>
            </w:r>
            <w:r w:rsidR="00AE59DD">
              <w:rPr>
                <w:rFonts w:cs="Times New Roman"/>
                <w:sz w:val="18"/>
                <w:szCs w:val="18"/>
              </w:rPr>
              <w:t xml:space="preserve">It consists of two </w:t>
            </w:r>
            <w:r w:rsidR="00DD478B">
              <w:rPr>
                <w:rFonts w:cs="Times New Roman"/>
                <w:sz w:val="18"/>
                <w:szCs w:val="18"/>
              </w:rPr>
              <w:t>specific indicators</w:t>
            </w:r>
            <w:r w:rsidR="00AE59DD">
              <w:rPr>
                <w:rFonts w:cs="Times New Roman"/>
                <w:sz w:val="18"/>
                <w:szCs w:val="18"/>
              </w:rPr>
              <w:t>:</w:t>
            </w:r>
          </w:p>
          <w:p w14:paraId="284D7FCF" w14:textId="4438FE9C" w:rsidR="005F7044" w:rsidRPr="001C195E" w:rsidRDefault="0007671D" w:rsidP="00665997">
            <w:pPr>
              <w:pStyle w:val="RD-Indicatortabletext"/>
              <w:numPr>
                <w:ilvl w:val="0"/>
                <w:numId w:val="82"/>
              </w:numPr>
              <w:spacing w:after="60"/>
              <w:jc w:val="both"/>
              <w:rPr>
                <w:rFonts w:cs="Times New Roman"/>
                <w:sz w:val="18"/>
                <w:szCs w:val="18"/>
              </w:rPr>
            </w:pPr>
            <w:r w:rsidRPr="5CB4B133">
              <w:rPr>
                <w:rFonts w:cs="Times New Roman"/>
                <w:b/>
                <w:bCs/>
                <w:sz w:val="18"/>
                <w:szCs w:val="18"/>
              </w:rPr>
              <w:t>total utilised agricultural area</w:t>
            </w:r>
            <w:r w:rsidRPr="001C195E">
              <w:rPr>
                <w:rFonts w:cs="Times New Roman"/>
                <w:sz w:val="18"/>
                <w:szCs w:val="18"/>
              </w:rPr>
              <w:t xml:space="preserve"> (UAA)</w:t>
            </w:r>
          </w:p>
          <w:p w14:paraId="402CF5D3" w14:textId="598C80E2" w:rsidR="0007671D" w:rsidRPr="001C195E" w:rsidRDefault="00AE59DD" w:rsidP="00665997">
            <w:pPr>
              <w:pStyle w:val="RD-Indicatortabletext"/>
              <w:numPr>
                <w:ilvl w:val="0"/>
                <w:numId w:val="82"/>
              </w:numPr>
              <w:spacing w:after="60"/>
              <w:jc w:val="both"/>
              <w:rPr>
                <w:rFonts w:cs="Times New Roman"/>
                <w:sz w:val="18"/>
                <w:szCs w:val="18"/>
              </w:rPr>
            </w:pPr>
            <w:r w:rsidRPr="3F4AE0BD">
              <w:rPr>
                <w:rFonts w:cs="Times New Roman"/>
                <w:b/>
                <w:bCs/>
                <w:sz w:val="18"/>
                <w:szCs w:val="18"/>
              </w:rPr>
              <w:t xml:space="preserve">total and </w:t>
            </w:r>
            <w:r w:rsidR="0007671D" w:rsidRPr="3F4AE0BD">
              <w:rPr>
                <w:rFonts w:cs="Times New Roman"/>
                <w:b/>
                <w:bCs/>
                <w:sz w:val="18"/>
                <w:szCs w:val="18"/>
              </w:rPr>
              <w:t xml:space="preserve">share of UAA </w:t>
            </w:r>
            <w:r w:rsidRPr="3F4AE0BD">
              <w:rPr>
                <w:rFonts w:cs="Times New Roman"/>
                <w:b/>
                <w:bCs/>
                <w:sz w:val="18"/>
                <w:szCs w:val="18"/>
              </w:rPr>
              <w:t xml:space="preserve">by </w:t>
            </w:r>
            <w:r w:rsidR="0007671D" w:rsidRPr="3F4AE0BD">
              <w:rPr>
                <w:rFonts w:cs="Times New Roman"/>
                <w:b/>
                <w:bCs/>
                <w:sz w:val="18"/>
                <w:szCs w:val="18"/>
              </w:rPr>
              <w:t xml:space="preserve">categories of land </w:t>
            </w:r>
            <w:r w:rsidR="00263438" w:rsidRPr="3F4AE0BD">
              <w:rPr>
                <w:rFonts w:cs="Times New Roman"/>
                <w:b/>
                <w:bCs/>
                <w:sz w:val="18"/>
                <w:szCs w:val="18"/>
              </w:rPr>
              <w:t>cover</w:t>
            </w:r>
            <w:r w:rsidR="0007671D" w:rsidRPr="001C195E">
              <w:rPr>
                <w:rFonts w:cs="Times New Roman"/>
                <w:sz w:val="18"/>
                <w:szCs w:val="18"/>
              </w:rPr>
              <w:t xml:space="preserve">. According to the definition applied in the Eurostat database, </w:t>
            </w:r>
            <w:r w:rsidR="001C195E">
              <w:rPr>
                <w:rFonts w:cs="Times New Roman"/>
                <w:sz w:val="18"/>
                <w:szCs w:val="18"/>
              </w:rPr>
              <w:t>the</w:t>
            </w:r>
            <w:r w:rsidR="0007671D" w:rsidRPr="001C195E">
              <w:rPr>
                <w:rFonts w:cs="Times New Roman"/>
                <w:sz w:val="18"/>
                <w:szCs w:val="18"/>
              </w:rPr>
              <w:t xml:space="preserve"> categories of land use are as follows:</w:t>
            </w:r>
          </w:p>
          <w:p w14:paraId="17DF8063"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 xml:space="preserve">Arable land </w:t>
            </w:r>
          </w:p>
          <w:p w14:paraId="744D1C8B"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Permanent grassland</w:t>
            </w:r>
          </w:p>
          <w:p w14:paraId="4D4D04BE"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Permanent crops</w:t>
            </w:r>
          </w:p>
          <w:p w14:paraId="1EBBDDCB" w14:textId="77777777" w:rsidR="0007671D" w:rsidRPr="00C34DE9" w:rsidRDefault="00E71FEF" w:rsidP="00665997">
            <w:pPr>
              <w:pStyle w:val="RD-Indicatortabletext"/>
              <w:numPr>
                <w:ilvl w:val="0"/>
                <w:numId w:val="83"/>
              </w:numPr>
              <w:spacing w:after="60"/>
              <w:jc w:val="both"/>
              <w:rPr>
                <w:rFonts w:cs="Times New Roman"/>
                <w:sz w:val="18"/>
                <w:szCs w:val="18"/>
              </w:rPr>
            </w:pPr>
            <w:r w:rsidRPr="001C195E">
              <w:rPr>
                <w:rFonts w:cs="Times New Roman"/>
                <w:sz w:val="18"/>
                <w:szCs w:val="18"/>
              </w:rPr>
              <w:t>others</w:t>
            </w:r>
          </w:p>
        </w:tc>
      </w:tr>
      <w:tr w:rsidR="0007671D" w:rsidRPr="00C34DE9" w14:paraId="08AF54FA" w14:textId="77777777" w:rsidTr="790C88FB">
        <w:tc>
          <w:tcPr>
            <w:tcW w:w="2518" w:type="dxa"/>
            <w:shd w:val="clear" w:color="auto" w:fill="auto"/>
          </w:tcPr>
          <w:p w14:paraId="19226BF0"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5893A3F6" w14:textId="7AC8A752" w:rsidR="0007671D" w:rsidRPr="00C34DE9" w:rsidRDefault="00E24DCF" w:rsidP="00E24DCF">
            <w:pPr>
              <w:spacing w:after="60" w:line="240" w:lineRule="auto"/>
              <w:jc w:val="both"/>
            </w:pPr>
            <w:r>
              <w:t>1: n</w:t>
            </w:r>
            <w:r w:rsidR="0007671D" w:rsidRPr="00CE27E0">
              <w:t>umber of ha</w:t>
            </w:r>
            <w:r w:rsidR="000B6543">
              <w:t>(in thousands)</w:t>
            </w:r>
          </w:p>
          <w:p w14:paraId="3306030A" w14:textId="174EB00E" w:rsidR="0007671D" w:rsidRPr="00CE27E0" w:rsidRDefault="00E24DCF" w:rsidP="00E24DCF">
            <w:pPr>
              <w:spacing w:after="60" w:line="240" w:lineRule="auto"/>
              <w:jc w:val="both"/>
            </w:pPr>
            <w:r>
              <w:t>2: h</w:t>
            </w:r>
            <w:r w:rsidR="007139E9">
              <w:t xml:space="preserve">a </w:t>
            </w:r>
            <w:r w:rsidR="000B6543">
              <w:t xml:space="preserve">(in thousands) </w:t>
            </w:r>
            <w:r w:rsidR="007139E9">
              <w:t xml:space="preserve">and </w:t>
            </w:r>
            <w:r w:rsidR="000F15A4">
              <w:t>%</w:t>
            </w:r>
          </w:p>
        </w:tc>
      </w:tr>
      <w:tr w:rsidR="0007671D" w:rsidRPr="00C712AA" w14:paraId="36CCFB8D" w14:textId="77777777" w:rsidTr="790C88FB">
        <w:tc>
          <w:tcPr>
            <w:tcW w:w="2518" w:type="dxa"/>
            <w:shd w:val="clear" w:color="auto" w:fill="auto"/>
          </w:tcPr>
          <w:p w14:paraId="495BB317"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DF26301" w14:textId="77777777" w:rsidR="0007671D" w:rsidRPr="00C34DE9" w:rsidRDefault="0007671D" w:rsidP="005B5547">
            <w:pPr>
              <w:pStyle w:val="RD-Indicatortabletext"/>
              <w:spacing w:after="60"/>
              <w:rPr>
                <w:rFonts w:cs="Times New Roman"/>
                <w:sz w:val="18"/>
                <w:szCs w:val="18"/>
                <w:lang w:val="fr-BE"/>
              </w:rPr>
            </w:pPr>
            <w:r w:rsidRPr="00C34DE9">
              <w:rPr>
                <w:rFonts w:cs="Times New Roman"/>
                <w:sz w:val="18"/>
                <w:szCs w:val="18"/>
                <w:lang w:val="fr-BE"/>
              </w:rPr>
              <w:t>Eurostat – Agricultural production –</w:t>
            </w:r>
            <w:r w:rsidRPr="006A37E0">
              <w:rPr>
                <w:rFonts w:cs="Times New Roman"/>
                <w:sz w:val="18"/>
                <w:szCs w:val="18"/>
                <w:lang w:val="fr-BE"/>
              </w:rPr>
              <w:t xml:space="preserve"> Crop</w:t>
            </w:r>
            <w:r w:rsidRPr="00C34DE9">
              <w:rPr>
                <w:rFonts w:cs="Times New Roman"/>
                <w:sz w:val="18"/>
                <w:szCs w:val="18"/>
                <w:lang w:val="fr-BE"/>
              </w:rPr>
              <w:t xml:space="preserve"> production</w:t>
            </w:r>
          </w:p>
        </w:tc>
      </w:tr>
      <w:tr w:rsidR="0007671D" w:rsidRPr="00C34DE9" w14:paraId="7874DB73" w14:textId="77777777" w:rsidTr="790C88FB">
        <w:tc>
          <w:tcPr>
            <w:tcW w:w="2518" w:type="dxa"/>
            <w:shd w:val="clear" w:color="auto" w:fill="auto"/>
          </w:tcPr>
          <w:p w14:paraId="70DB100F"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1F04065D"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National and regional data:</w:t>
            </w:r>
            <w:r w:rsidR="001E71E9">
              <w:rPr>
                <w:rFonts w:ascii="Verdana" w:hAnsi="Verdana"/>
                <w:sz w:val="18"/>
                <w:szCs w:val="18"/>
              </w:rPr>
              <w:t>[</w:t>
            </w:r>
            <w:hyperlink r:id="rId76" w:history="1">
              <w:r w:rsidRPr="001E71E9">
                <w:rPr>
                  <w:rStyle w:val="Hyperlink"/>
                  <w:rFonts w:ascii="Verdana" w:hAnsi="Verdana"/>
                  <w:sz w:val="18"/>
                  <w:szCs w:val="18"/>
                </w:rPr>
                <w:t>apro_cpsh1</w:t>
              </w:r>
            </w:hyperlink>
            <w:r w:rsidR="001E71E9">
              <w:rPr>
                <w:rFonts w:ascii="Verdana" w:hAnsi="Verdana"/>
                <w:sz w:val="18"/>
                <w:szCs w:val="18"/>
              </w:rPr>
              <w:t>]</w:t>
            </w:r>
            <w:r w:rsidRPr="00C34DE9">
              <w:rPr>
                <w:rFonts w:ascii="Verdana" w:hAnsi="Verdana"/>
                <w:sz w:val="18"/>
                <w:szCs w:val="18"/>
              </w:rPr>
              <w:t xml:space="preserve">; </w:t>
            </w:r>
            <w:r w:rsidR="001E71E9">
              <w:rPr>
                <w:rFonts w:ascii="Verdana" w:hAnsi="Verdana"/>
                <w:sz w:val="18"/>
                <w:szCs w:val="18"/>
              </w:rPr>
              <w:t>[</w:t>
            </w:r>
            <w:hyperlink r:id="rId77" w:history="1">
              <w:r w:rsidRPr="001E71E9">
                <w:rPr>
                  <w:rStyle w:val="Hyperlink"/>
                  <w:rFonts w:ascii="Verdana" w:hAnsi="Verdana"/>
                  <w:sz w:val="18"/>
                  <w:szCs w:val="18"/>
                </w:rPr>
                <w:t>apro_cpshr</w:t>
              </w:r>
            </w:hyperlink>
            <w:r w:rsidR="001E71E9">
              <w:rPr>
                <w:rFonts w:ascii="Verdana" w:hAnsi="Verdana"/>
                <w:sz w:val="18"/>
                <w:szCs w:val="18"/>
              </w:rPr>
              <w:t>]</w:t>
            </w:r>
          </w:p>
        </w:tc>
      </w:tr>
      <w:tr w:rsidR="0007671D" w:rsidRPr="00C34DE9" w14:paraId="52BB053A" w14:textId="77777777" w:rsidTr="790C88FB">
        <w:tc>
          <w:tcPr>
            <w:tcW w:w="2518" w:type="dxa"/>
            <w:shd w:val="clear" w:color="auto" w:fill="auto"/>
          </w:tcPr>
          <w:p w14:paraId="3613B76D"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2D7092C3"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1E71E9">
              <w:rPr>
                <w:rFonts w:ascii="Verdana" w:hAnsi="Verdana"/>
                <w:sz w:val="18"/>
                <w:szCs w:val="18"/>
              </w:rPr>
              <w:t>N</w:t>
            </w:r>
            <w:r w:rsidRPr="00C34DE9">
              <w:rPr>
                <w:rFonts w:ascii="Verdana" w:hAnsi="Verdana"/>
                <w:sz w:val="18"/>
                <w:szCs w:val="18"/>
              </w:rPr>
              <w:t>ational (NUTS 0</w:t>
            </w:r>
            <w:r w:rsidR="001E71E9">
              <w:rPr>
                <w:rFonts w:ascii="Verdana" w:hAnsi="Verdana"/>
                <w:sz w:val="18"/>
                <w:szCs w:val="18"/>
              </w:rPr>
              <w:t>), R</w:t>
            </w:r>
            <w:r w:rsidRPr="00C34DE9">
              <w:rPr>
                <w:rFonts w:ascii="Verdana" w:hAnsi="Verdana"/>
                <w:sz w:val="18"/>
                <w:szCs w:val="18"/>
              </w:rPr>
              <w:t>egional (NUTS 1 and 2)</w:t>
            </w:r>
          </w:p>
        </w:tc>
      </w:tr>
      <w:tr w:rsidR="0007671D" w:rsidRPr="00C34DE9" w14:paraId="6558AB88" w14:textId="77777777" w:rsidTr="790C88FB">
        <w:tc>
          <w:tcPr>
            <w:tcW w:w="2518" w:type="dxa"/>
            <w:shd w:val="clear" w:color="auto" w:fill="auto"/>
          </w:tcPr>
          <w:p w14:paraId="6BC4595C"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66A50FB6" w14:textId="77777777" w:rsidR="0007671D" w:rsidRPr="00C34DE9" w:rsidRDefault="0007671D" w:rsidP="005B5547">
            <w:pPr>
              <w:spacing w:before="30" w:after="60"/>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596D44E4" w14:textId="77777777" w:rsidTr="790C88FB">
        <w:tc>
          <w:tcPr>
            <w:tcW w:w="2518" w:type="dxa"/>
            <w:shd w:val="clear" w:color="auto" w:fill="auto"/>
          </w:tcPr>
          <w:p w14:paraId="15B96843"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04E17C61"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1 year</w:t>
            </w:r>
          </w:p>
        </w:tc>
      </w:tr>
      <w:tr w:rsidR="0007671D" w:rsidRPr="00C34DE9" w14:paraId="50BFA4D5" w14:textId="77777777" w:rsidTr="790C88FB">
        <w:tc>
          <w:tcPr>
            <w:tcW w:w="2518" w:type="dxa"/>
            <w:shd w:val="clear" w:color="auto" w:fill="auto"/>
          </w:tcPr>
          <w:p w14:paraId="4FF8CCBF"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16D3A723" w14:textId="77777777" w:rsidR="0007671D" w:rsidRPr="00C34DE9" w:rsidRDefault="0007671D" w:rsidP="00E71FEF">
            <w:pPr>
              <w:spacing w:after="60" w:line="240" w:lineRule="auto"/>
              <w:jc w:val="both"/>
              <w:rPr>
                <w:rFonts w:ascii="Verdana" w:hAnsi="Verdana"/>
                <w:sz w:val="18"/>
                <w:szCs w:val="18"/>
              </w:rPr>
            </w:pPr>
            <w:r w:rsidRPr="00C34DE9">
              <w:rPr>
                <w:rFonts w:ascii="Verdana" w:eastAsia="Times New Roman" w:hAnsi="Verdana"/>
                <w:sz w:val="18"/>
                <w:szCs w:val="18"/>
              </w:rPr>
              <w:t>Codes for land use: main area (MA), arable land (ARA), permanent grassland (J0000) and permanent crops (PECR).</w:t>
            </w:r>
            <w:r w:rsidR="00E71FEF" w:rsidRPr="00C34DE9">
              <w:rPr>
                <w:rFonts w:ascii="Verdana" w:eastAsia="Times New Roman" w:hAnsi="Verdana"/>
                <w:sz w:val="18"/>
                <w:szCs w:val="18"/>
              </w:rPr>
              <w:t xml:space="preserve"> Others: calculation UAA minus (ARA + J0000 + PECR) </w:t>
            </w:r>
          </w:p>
        </w:tc>
      </w:tr>
    </w:tbl>
    <w:p w14:paraId="63236548" w14:textId="77777777" w:rsidR="00A74418" w:rsidRPr="00C34DE9" w:rsidRDefault="00A74418">
      <w:pPr>
        <w:rPr>
          <w:rFonts w:ascii="Verdana" w:hAnsi="Verdana"/>
          <w:sz w:val="18"/>
          <w:szCs w:val="18"/>
        </w:rPr>
      </w:pPr>
    </w:p>
    <w:p w14:paraId="5FF15631" w14:textId="77777777" w:rsidR="001174AF" w:rsidRPr="00C34DE9" w:rsidRDefault="001174AF">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712B4F" w:rsidRPr="00C34DE9" w14:paraId="773D1FD2" w14:textId="77777777" w:rsidTr="240ABBB4">
        <w:trPr>
          <w:trHeight w:val="411"/>
        </w:trPr>
        <w:tc>
          <w:tcPr>
            <w:tcW w:w="2518" w:type="dxa"/>
            <w:shd w:val="clear" w:color="auto" w:fill="auto"/>
          </w:tcPr>
          <w:p w14:paraId="48848A3D" w14:textId="77777777" w:rsidR="00712B4F" w:rsidRPr="00C34DE9" w:rsidRDefault="001E71E9" w:rsidP="5CB4B133">
            <w:pPr>
              <w:spacing w:after="60" w:line="240" w:lineRule="auto"/>
              <w:rPr>
                <w:rFonts w:ascii="Verdana" w:hAnsi="Verdana"/>
                <w:b/>
                <w:bCs/>
                <w:sz w:val="18"/>
                <w:szCs w:val="18"/>
              </w:rPr>
            </w:pPr>
            <w:bookmarkStart w:id="22" w:name="C18"/>
            <w:r w:rsidRPr="5CB4B133">
              <w:rPr>
                <w:rFonts w:ascii="Verdana" w:hAnsi="Verdana"/>
                <w:b/>
                <w:bCs/>
                <w:smallCaps/>
                <w:sz w:val="18"/>
                <w:szCs w:val="18"/>
              </w:rPr>
              <w:lastRenderedPageBreak/>
              <w:t>Indicator</w:t>
            </w:r>
            <w:r w:rsidR="00712B4F" w:rsidRPr="5CB4B133">
              <w:rPr>
                <w:rFonts w:ascii="Verdana" w:hAnsi="Verdana"/>
                <w:b/>
                <w:bCs/>
                <w:sz w:val="18"/>
                <w:szCs w:val="18"/>
              </w:rPr>
              <w:t xml:space="preserve"> </w:t>
            </w:r>
            <w:r w:rsidR="00712B4F" w:rsidRPr="5CB4B133">
              <w:rPr>
                <w:rFonts w:ascii="Verdana" w:hAnsi="Verdana"/>
                <w:b/>
                <w:bCs/>
                <w:smallCaps/>
                <w:sz w:val="18"/>
                <w:szCs w:val="18"/>
              </w:rPr>
              <w:t>C.</w:t>
            </w:r>
            <w:r w:rsidR="00712B4F" w:rsidRPr="5CB4B133">
              <w:rPr>
                <w:rFonts w:ascii="Verdana" w:hAnsi="Verdana"/>
                <w:b/>
                <w:bCs/>
                <w:sz w:val="18"/>
                <w:szCs w:val="18"/>
              </w:rPr>
              <w:t>18</w:t>
            </w:r>
            <w:bookmarkEnd w:id="22"/>
          </w:p>
        </w:tc>
        <w:tc>
          <w:tcPr>
            <w:tcW w:w="7513" w:type="dxa"/>
            <w:shd w:val="clear" w:color="auto" w:fill="auto"/>
          </w:tcPr>
          <w:p w14:paraId="1FB82A57" w14:textId="77777777" w:rsidR="00712B4F" w:rsidRPr="00C34DE9" w:rsidRDefault="00712B4F" w:rsidP="00C30187">
            <w:pPr>
              <w:spacing w:after="60"/>
              <w:rPr>
                <w:rFonts w:ascii="Verdana" w:hAnsi="Verdana"/>
                <w:caps/>
                <w:sz w:val="18"/>
                <w:szCs w:val="18"/>
              </w:rPr>
            </w:pPr>
          </w:p>
        </w:tc>
      </w:tr>
      <w:tr w:rsidR="00712B4F" w:rsidRPr="00C34DE9" w14:paraId="2D3D6791" w14:textId="77777777" w:rsidTr="240ABBB4">
        <w:trPr>
          <w:trHeight w:val="556"/>
        </w:trPr>
        <w:tc>
          <w:tcPr>
            <w:tcW w:w="2518" w:type="dxa"/>
            <w:shd w:val="clear" w:color="auto" w:fill="auto"/>
          </w:tcPr>
          <w:p w14:paraId="7EFAC1C8"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513" w:type="dxa"/>
            <w:shd w:val="clear" w:color="auto" w:fill="auto"/>
          </w:tcPr>
          <w:p w14:paraId="74E917A7" w14:textId="77777777" w:rsidR="00712B4F" w:rsidRPr="00C34DE9" w:rsidRDefault="00712B4F" w:rsidP="5CB4B133">
            <w:pPr>
              <w:spacing w:after="60" w:line="240" w:lineRule="auto"/>
              <w:jc w:val="center"/>
              <w:rPr>
                <w:rFonts w:ascii="Verdana" w:hAnsi="Verdana"/>
                <w:b/>
                <w:bCs/>
                <w:sz w:val="18"/>
                <w:szCs w:val="18"/>
              </w:rPr>
            </w:pPr>
            <w:r w:rsidRPr="5CB4B133">
              <w:rPr>
                <w:rFonts w:ascii="Verdana" w:hAnsi="Verdana"/>
                <w:b/>
                <w:bCs/>
                <w:sz w:val="18"/>
                <w:szCs w:val="18"/>
              </w:rPr>
              <w:t>Irrigable area</w:t>
            </w:r>
          </w:p>
        </w:tc>
      </w:tr>
      <w:tr w:rsidR="00712B4F" w:rsidRPr="00C34DE9" w14:paraId="6B691C28" w14:textId="77777777" w:rsidTr="240ABBB4">
        <w:tc>
          <w:tcPr>
            <w:tcW w:w="2518" w:type="dxa"/>
            <w:shd w:val="clear" w:color="auto" w:fill="auto"/>
          </w:tcPr>
          <w:p w14:paraId="27BAEFEE"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513" w:type="dxa"/>
            <w:shd w:val="clear" w:color="auto" w:fill="auto"/>
            <w:vAlign w:val="center"/>
          </w:tcPr>
          <w:p w14:paraId="49935786" w14:textId="77777777" w:rsidR="005F7044" w:rsidRDefault="00712B4F" w:rsidP="001D779D">
            <w:pPr>
              <w:pStyle w:val="RD-Indicatortabletext"/>
              <w:spacing w:after="60"/>
              <w:jc w:val="both"/>
              <w:rPr>
                <w:rFonts w:cs="Calibri"/>
                <w:sz w:val="18"/>
                <w:szCs w:val="18"/>
              </w:rPr>
            </w:pPr>
            <w:r w:rsidRPr="00C34DE9">
              <w:rPr>
                <w:rFonts w:cs="Calibri"/>
                <w:sz w:val="18"/>
                <w:szCs w:val="18"/>
              </w:rPr>
              <w:t>The indicator shows</w:t>
            </w:r>
            <w:r w:rsidR="00AE59DD">
              <w:rPr>
                <w:rFonts w:cs="Calibri"/>
                <w:sz w:val="18"/>
                <w:szCs w:val="18"/>
              </w:rPr>
              <w:t xml:space="preserve"> the irrig</w:t>
            </w:r>
            <w:r w:rsidR="007139E9">
              <w:rPr>
                <w:rFonts w:cs="Calibri"/>
                <w:sz w:val="18"/>
                <w:szCs w:val="18"/>
              </w:rPr>
              <w:t>able area and it consists of 2</w:t>
            </w:r>
            <w:r w:rsidR="00AE59DD">
              <w:rPr>
                <w:rFonts w:cs="Calibri"/>
                <w:sz w:val="18"/>
                <w:szCs w:val="18"/>
              </w:rPr>
              <w:t xml:space="preserve"> </w:t>
            </w:r>
            <w:r w:rsidR="00DD478B">
              <w:rPr>
                <w:rFonts w:cs="Calibri"/>
                <w:sz w:val="18"/>
                <w:szCs w:val="18"/>
              </w:rPr>
              <w:t>specific indicators</w:t>
            </w:r>
            <w:r w:rsidR="005F7044">
              <w:rPr>
                <w:rFonts w:cs="Calibri"/>
                <w:sz w:val="18"/>
                <w:szCs w:val="18"/>
              </w:rPr>
              <w:t>:</w:t>
            </w:r>
          </w:p>
          <w:p w14:paraId="34919642" w14:textId="62AFC5CE" w:rsidR="005F7044" w:rsidRPr="007D3E04" w:rsidRDefault="00712B4F" w:rsidP="00665997">
            <w:pPr>
              <w:pStyle w:val="RD-Indicatortabletext"/>
              <w:numPr>
                <w:ilvl w:val="0"/>
                <w:numId w:val="84"/>
              </w:numPr>
              <w:spacing w:after="60"/>
              <w:jc w:val="both"/>
              <w:rPr>
                <w:rFonts w:cs="Calibri"/>
                <w:b/>
                <w:bCs/>
                <w:sz w:val="18"/>
                <w:szCs w:val="18"/>
              </w:rPr>
            </w:pPr>
            <w:r w:rsidRPr="3F4AE0BD">
              <w:rPr>
                <w:rFonts w:cs="Calibri"/>
                <w:b/>
                <w:bCs/>
                <w:sz w:val="18"/>
                <w:szCs w:val="18"/>
              </w:rPr>
              <w:t xml:space="preserve">total irrigable </w:t>
            </w:r>
            <w:r w:rsidR="005F7044" w:rsidRPr="3F4AE0BD">
              <w:rPr>
                <w:rFonts w:cs="Calibri"/>
                <w:b/>
                <w:bCs/>
                <w:sz w:val="18"/>
                <w:szCs w:val="18"/>
              </w:rPr>
              <w:t>area</w:t>
            </w:r>
            <w:r w:rsidRPr="3F4AE0BD">
              <w:rPr>
                <w:rFonts w:cs="Calibri"/>
                <w:b/>
                <w:bCs/>
                <w:sz w:val="18"/>
                <w:szCs w:val="18"/>
              </w:rPr>
              <w:t xml:space="preserve"> </w:t>
            </w:r>
          </w:p>
          <w:p w14:paraId="503E2F01" w14:textId="776DD738" w:rsidR="00712B4F" w:rsidRPr="001C195E" w:rsidRDefault="005F7044" w:rsidP="00665997">
            <w:pPr>
              <w:pStyle w:val="RD-Indicatortabletext"/>
              <w:numPr>
                <w:ilvl w:val="0"/>
                <w:numId w:val="84"/>
              </w:numPr>
              <w:spacing w:after="120"/>
              <w:ind w:left="714" w:hanging="357"/>
              <w:jc w:val="both"/>
              <w:rPr>
                <w:rFonts w:cs="Calibri"/>
                <w:sz w:val="18"/>
                <w:szCs w:val="18"/>
              </w:rPr>
            </w:pPr>
            <w:r w:rsidRPr="3F4AE0BD">
              <w:rPr>
                <w:rFonts w:cs="Calibri"/>
                <w:b/>
                <w:bCs/>
                <w:sz w:val="18"/>
                <w:szCs w:val="18"/>
              </w:rPr>
              <w:t>share</w:t>
            </w:r>
            <w:r w:rsidR="00712B4F" w:rsidRPr="3F4AE0BD">
              <w:rPr>
                <w:rFonts w:cs="Calibri"/>
                <w:b/>
                <w:bCs/>
                <w:sz w:val="18"/>
                <w:szCs w:val="18"/>
              </w:rPr>
              <w:t xml:space="preserve"> of the Utilised Agricultural Area</w:t>
            </w:r>
            <w:r w:rsidR="00712B4F" w:rsidRPr="00C34DE9">
              <w:rPr>
                <w:rFonts w:cs="Calibri"/>
                <w:sz w:val="18"/>
                <w:szCs w:val="18"/>
              </w:rPr>
              <w:t xml:space="preserve"> (UAA).</w:t>
            </w:r>
          </w:p>
          <w:p w14:paraId="7C9E08B5" w14:textId="77777777" w:rsidR="003D760E" w:rsidRDefault="00712B4F" w:rsidP="003D760E">
            <w:pPr>
              <w:pStyle w:val="RD-Indicatortabletext"/>
              <w:spacing w:after="60"/>
              <w:jc w:val="both"/>
              <w:rPr>
                <w:rFonts w:cs="Calibri"/>
                <w:sz w:val="18"/>
                <w:szCs w:val="18"/>
              </w:rPr>
            </w:pPr>
            <w:r w:rsidRPr="00C34DE9">
              <w:rPr>
                <w:rFonts w:cs="Calibri"/>
                <w:sz w:val="18"/>
                <w:szCs w:val="18"/>
                <w:u w:val="single"/>
              </w:rPr>
              <w:t>Irrigable area</w:t>
            </w:r>
            <w:r w:rsidRPr="00C34DE9">
              <w:rPr>
                <w:rFonts w:cs="Calibri"/>
                <w:sz w:val="18"/>
                <w:szCs w:val="18"/>
              </w:rPr>
              <w:t xml:space="preserve"> is defined as the maximum area which could be irrigated in the reference year using the equipment and the quantity of water normally available on the holding. Crops under glass and kitchen gardens, which are assumed to be generally irrigable and irrigated, are not considered. </w:t>
            </w:r>
          </w:p>
          <w:p w14:paraId="55C115AB" w14:textId="4BE685D7" w:rsidR="00712B4F" w:rsidRPr="00C34DE9" w:rsidRDefault="00712B4F" w:rsidP="00BB5F90">
            <w:pPr>
              <w:pStyle w:val="RD-Indicatortabletext"/>
              <w:spacing w:after="60"/>
              <w:jc w:val="both"/>
              <w:rPr>
                <w:rFonts w:cs="Calibri"/>
                <w:sz w:val="18"/>
                <w:szCs w:val="18"/>
              </w:rPr>
            </w:pPr>
            <w:r w:rsidRPr="00C34DE9">
              <w:rPr>
                <w:rFonts w:cs="Calibri"/>
                <w:sz w:val="18"/>
                <w:szCs w:val="18"/>
                <w:u w:val="single"/>
              </w:rPr>
              <w:t>Utilised Agricultural Area</w:t>
            </w:r>
            <w:r w:rsidRPr="00C34DE9">
              <w:rPr>
                <w:rFonts w:cs="Calibri"/>
                <w:sz w:val="18"/>
                <w:szCs w:val="18"/>
              </w:rPr>
              <w:t xml:space="preserve"> consists in the total area taken up by arable land, permanent grassland, permanent crops and</w:t>
            </w:r>
            <w:r w:rsidR="00BB5F90">
              <w:rPr>
                <w:rFonts w:cs="Calibri"/>
                <w:sz w:val="18"/>
                <w:szCs w:val="18"/>
              </w:rPr>
              <w:t xml:space="preserve"> others</w:t>
            </w:r>
            <w:r w:rsidRPr="00C34DE9">
              <w:rPr>
                <w:rFonts w:cs="Calibri"/>
                <w:sz w:val="18"/>
                <w:szCs w:val="18"/>
              </w:rPr>
              <w:t>.</w:t>
            </w:r>
          </w:p>
        </w:tc>
      </w:tr>
      <w:tr w:rsidR="00712B4F" w:rsidRPr="00C34DE9" w14:paraId="4B569538" w14:textId="77777777" w:rsidTr="240ABBB4">
        <w:tc>
          <w:tcPr>
            <w:tcW w:w="2518" w:type="dxa"/>
            <w:shd w:val="clear" w:color="auto" w:fill="auto"/>
          </w:tcPr>
          <w:p w14:paraId="3A6A1EF8"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513" w:type="dxa"/>
            <w:shd w:val="clear" w:color="auto" w:fill="auto"/>
          </w:tcPr>
          <w:p w14:paraId="1432F46D" w14:textId="2E8AAC7C" w:rsidR="001D6460" w:rsidRDefault="008608CF" w:rsidP="001E4908">
            <w:pPr>
              <w:spacing w:after="60" w:line="240" w:lineRule="auto"/>
              <w:jc w:val="both"/>
              <w:rPr>
                <w:rFonts w:ascii="Verdana" w:hAnsi="Verdana" w:cs="Calibri"/>
                <w:sz w:val="18"/>
                <w:szCs w:val="18"/>
              </w:rPr>
            </w:pPr>
            <w:r>
              <w:rPr>
                <w:rFonts w:ascii="Verdana" w:hAnsi="Verdana" w:cs="Calibri"/>
                <w:sz w:val="18"/>
                <w:szCs w:val="18"/>
              </w:rPr>
              <w:t xml:space="preserve">1: </w:t>
            </w:r>
            <w:r w:rsidR="001E4908">
              <w:rPr>
                <w:rFonts w:ascii="Verdana" w:hAnsi="Verdana" w:cs="Calibri"/>
                <w:sz w:val="18"/>
                <w:szCs w:val="18"/>
              </w:rPr>
              <w:t xml:space="preserve">number of </w:t>
            </w:r>
            <w:r>
              <w:rPr>
                <w:rFonts w:ascii="Verdana" w:hAnsi="Verdana" w:cs="Calibri"/>
                <w:sz w:val="18"/>
                <w:szCs w:val="18"/>
              </w:rPr>
              <w:t>h</w:t>
            </w:r>
            <w:r w:rsidR="00712B4F" w:rsidRPr="00C34DE9">
              <w:rPr>
                <w:rFonts w:ascii="Verdana" w:hAnsi="Verdana" w:cs="Calibri"/>
                <w:sz w:val="18"/>
                <w:szCs w:val="18"/>
              </w:rPr>
              <w:t>a</w:t>
            </w:r>
          </w:p>
          <w:p w14:paraId="01D7B565" w14:textId="6CC1A51F" w:rsidR="00712B4F" w:rsidRPr="00C34DE9" w:rsidRDefault="008608CF" w:rsidP="001E4908">
            <w:pPr>
              <w:spacing w:after="60" w:line="240" w:lineRule="auto"/>
              <w:jc w:val="both"/>
              <w:rPr>
                <w:rFonts w:ascii="Verdana" w:hAnsi="Verdana" w:cs="Calibri"/>
                <w:sz w:val="18"/>
                <w:szCs w:val="18"/>
              </w:rPr>
            </w:pPr>
            <w:r>
              <w:rPr>
                <w:rFonts w:ascii="Verdana" w:hAnsi="Verdana" w:cs="Calibri"/>
                <w:sz w:val="18"/>
                <w:szCs w:val="18"/>
              </w:rPr>
              <w:t xml:space="preserve">2: </w:t>
            </w:r>
            <w:r w:rsidR="001E4908">
              <w:rPr>
                <w:rFonts w:ascii="Verdana" w:hAnsi="Verdana" w:cs="Calibri"/>
                <w:sz w:val="18"/>
                <w:szCs w:val="18"/>
              </w:rPr>
              <w:t>%</w:t>
            </w:r>
          </w:p>
        </w:tc>
      </w:tr>
      <w:tr w:rsidR="00712B4F" w:rsidRPr="00C34DE9" w14:paraId="77E4DE7E" w14:textId="77777777" w:rsidTr="240ABBB4">
        <w:tc>
          <w:tcPr>
            <w:tcW w:w="2518" w:type="dxa"/>
            <w:shd w:val="clear" w:color="auto" w:fill="auto"/>
          </w:tcPr>
          <w:p w14:paraId="53A761A8"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513" w:type="dxa"/>
            <w:shd w:val="clear" w:color="auto" w:fill="auto"/>
            <w:vAlign w:val="center"/>
          </w:tcPr>
          <w:p w14:paraId="575A527B" w14:textId="77777777" w:rsidR="00223A86" w:rsidRDefault="00712B4F" w:rsidP="00223A86">
            <w:pPr>
              <w:pStyle w:val="RD-Indicatortabletext"/>
              <w:spacing w:after="60"/>
              <w:jc w:val="both"/>
              <w:rPr>
                <w:rFonts w:cs="Calibri"/>
                <w:sz w:val="18"/>
                <w:szCs w:val="18"/>
              </w:rPr>
            </w:pPr>
            <w:r w:rsidRPr="00C34DE9">
              <w:rPr>
                <w:rFonts w:cs="Calibri"/>
                <w:sz w:val="18"/>
                <w:szCs w:val="18"/>
              </w:rPr>
              <w:t>Eurostat - Farm Structure Survey (FSS)</w:t>
            </w:r>
          </w:p>
          <w:p w14:paraId="3F1B1A77" w14:textId="7874E2A9" w:rsidR="00223A86" w:rsidRDefault="00223A86" w:rsidP="00223A86">
            <w:pPr>
              <w:pStyle w:val="RD-Indicatortabletext"/>
              <w:spacing w:after="60"/>
              <w:jc w:val="both"/>
              <w:rPr>
                <w:rFonts w:cs="Calibri"/>
                <w:sz w:val="18"/>
                <w:szCs w:val="18"/>
              </w:rPr>
            </w:pPr>
            <w:r>
              <w:rPr>
                <w:rFonts w:cs="Calibri"/>
                <w:sz w:val="18"/>
                <w:szCs w:val="18"/>
              </w:rPr>
              <w:t>Eurostat – Integrated Farm Statistics</w:t>
            </w:r>
            <w:r w:rsidR="00E27CCD">
              <w:rPr>
                <w:rFonts w:cs="Calibri"/>
                <w:sz w:val="18"/>
                <w:szCs w:val="18"/>
              </w:rPr>
              <w:t xml:space="preserve"> (IFS)</w:t>
            </w:r>
          </w:p>
          <w:p w14:paraId="0DD322A5" w14:textId="77777777" w:rsidR="00712B4F" w:rsidRPr="00C34DE9" w:rsidRDefault="00712B4F" w:rsidP="00223A86">
            <w:pPr>
              <w:pStyle w:val="RD-Indicatortabletext"/>
              <w:spacing w:after="60"/>
              <w:jc w:val="both"/>
              <w:rPr>
                <w:rFonts w:cs="Calibri"/>
                <w:sz w:val="18"/>
                <w:szCs w:val="18"/>
              </w:rPr>
            </w:pPr>
            <w:r w:rsidRPr="00C34DE9">
              <w:rPr>
                <w:rFonts w:cs="Calibri"/>
                <w:sz w:val="18"/>
                <w:szCs w:val="18"/>
              </w:rPr>
              <w:t>Survey on Agriculture Production Methods (SAPM) 2010.</w:t>
            </w:r>
          </w:p>
        </w:tc>
      </w:tr>
      <w:tr w:rsidR="00712B4F" w:rsidRPr="00C34DE9" w14:paraId="4277F6E2" w14:textId="77777777" w:rsidTr="240ABBB4">
        <w:tc>
          <w:tcPr>
            <w:tcW w:w="2518" w:type="dxa"/>
            <w:shd w:val="clear" w:color="auto" w:fill="auto"/>
          </w:tcPr>
          <w:p w14:paraId="22387DB6"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3" w:type="dxa"/>
            <w:shd w:val="clear" w:color="auto" w:fill="auto"/>
          </w:tcPr>
          <w:p w14:paraId="05D8D49C" w14:textId="77777777" w:rsidR="00E27CCD" w:rsidRDefault="00B31071" w:rsidP="005B5547">
            <w:pPr>
              <w:spacing w:after="60" w:line="240" w:lineRule="auto"/>
              <w:jc w:val="both"/>
              <w:rPr>
                <w:rFonts w:ascii="Verdana" w:hAnsi="Verdana" w:cs="Calibri"/>
                <w:sz w:val="18"/>
                <w:szCs w:val="18"/>
              </w:rPr>
            </w:pPr>
            <w:r w:rsidRPr="00C34DE9">
              <w:rPr>
                <w:rFonts w:ascii="Verdana" w:hAnsi="Verdana" w:cs="Calibri"/>
                <w:sz w:val="18"/>
                <w:szCs w:val="18"/>
              </w:rPr>
              <w:t xml:space="preserve">National and regional data: </w:t>
            </w:r>
          </w:p>
          <w:p w14:paraId="79A74433" w14:textId="5C5E88AF" w:rsidR="27D5707A" w:rsidRDefault="00E27CCD" w:rsidP="27D5707A">
            <w:pPr>
              <w:spacing w:after="60" w:line="240" w:lineRule="auto"/>
              <w:jc w:val="both"/>
              <w:rPr>
                <w:rStyle w:val="Hyperlink"/>
              </w:rPr>
            </w:pPr>
            <w:r>
              <w:rPr>
                <w:rFonts w:ascii="Verdana" w:hAnsi="Verdana" w:cs="Calibri"/>
                <w:sz w:val="18"/>
                <w:szCs w:val="18"/>
              </w:rPr>
              <w:t>1:</w:t>
            </w:r>
            <w:r w:rsidR="00B31071" w:rsidRPr="00C34DE9">
              <w:rPr>
                <w:rFonts w:ascii="Verdana" w:hAnsi="Verdana" w:cs="Calibri"/>
                <w:sz w:val="18"/>
                <w:szCs w:val="18"/>
              </w:rPr>
              <w:t xml:space="preserve">table </w:t>
            </w:r>
            <w:r w:rsidR="56ACD237" w:rsidRPr="00C34DE9">
              <w:rPr>
                <w:rFonts w:ascii="Verdana" w:hAnsi="Verdana" w:cs="Calibri"/>
                <w:sz w:val="18"/>
                <w:szCs w:val="18"/>
              </w:rPr>
              <w:t>[</w:t>
            </w:r>
            <w:hyperlink r:id="rId78" w:history="1">
              <w:r w:rsidR="00AF7DEF" w:rsidRPr="00AF7DEF">
                <w:rPr>
                  <w:rStyle w:val="Hyperlink"/>
                </w:rPr>
                <w:t>ef_mp_irri</w:t>
              </w:r>
            </w:hyperlink>
            <w:r w:rsidR="56ACD237" w:rsidRPr="27D5707A">
              <w:rPr>
                <w:rFonts w:ascii="Verdana" w:eastAsia="Verdana" w:hAnsi="Verdana" w:cs="Verdana"/>
                <w:sz w:val="18"/>
                <w:szCs w:val="18"/>
              </w:rPr>
              <w:t>]</w:t>
            </w:r>
          </w:p>
          <w:p w14:paraId="6C3B855B" w14:textId="7A53ABC9" w:rsidR="00E27CCD" w:rsidRPr="00C34DE9" w:rsidRDefault="00E27CCD" w:rsidP="7A450E1D">
            <w:pPr>
              <w:spacing w:after="60" w:line="240" w:lineRule="auto"/>
              <w:jc w:val="both"/>
              <w:rPr>
                <w:rStyle w:val="Hyperlink"/>
              </w:rPr>
            </w:pPr>
            <w:r>
              <w:t xml:space="preserve">2: table </w:t>
            </w:r>
            <w:r w:rsidR="7A450E1D" w:rsidRPr="790C88FB">
              <w:t>[</w:t>
            </w:r>
            <w:hyperlink r:id="rId79" w:history="1">
              <w:r w:rsidR="7A450E1D" w:rsidRPr="003177AA">
                <w:rPr>
                  <w:rStyle w:val="Hyperlink"/>
                </w:rPr>
                <w:t>aei_ef_ir</w:t>
              </w:r>
            </w:hyperlink>
            <w:r w:rsidR="7A450E1D" w:rsidRPr="790C88FB">
              <w:t>]</w:t>
            </w:r>
          </w:p>
        </w:tc>
      </w:tr>
      <w:tr w:rsidR="00712B4F" w:rsidRPr="00C34DE9" w14:paraId="208E23CA" w14:textId="77777777" w:rsidTr="240ABBB4">
        <w:tc>
          <w:tcPr>
            <w:tcW w:w="2518" w:type="dxa"/>
            <w:shd w:val="clear" w:color="auto" w:fill="auto"/>
          </w:tcPr>
          <w:p w14:paraId="0F471BA3" w14:textId="77777777" w:rsidR="00712B4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513" w:type="dxa"/>
            <w:shd w:val="clear" w:color="auto" w:fill="auto"/>
          </w:tcPr>
          <w:p w14:paraId="35FC0665" w14:textId="77777777" w:rsidR="00712B4F" w:rsidRPr="00C34DE9" w:rsidRDefault="00712B4F" w:rsidP="005B5547">
            <w:pPr>
              <w:spacing w:after="60" w:line="240" w:lineRule="auto"/>
              <w:jc w:val="both"/>
              <w:rPr>
                <w:rFonts w:ascii="Verdana" w:hAnsi="Verdana" w:cs="Calibri"/>
                <w:sz w:val="18"/>
                <w:szCs w:val="18"/>
              </w:rPr>
            </w:pPr>
            <w:r w:rsidRPr="00C34DE9">
              <w:rPr>
                <w:rFonts w:ascii="Verdana" w:hAnsi="Verdana" w:cs="Calibri"/>
                <w:sz w:val="18"/>
                <w:szCs w:val="18"/>
              </w:rPr>
              <w:t>National (NUTS 0)</w:t>
            </w:r>
            <w:r w:rsidR="001E71E9">
              <w:rPr>
                <w:rFonts w:ascii="Verdana" w:hAnsi="Verdana" w:cs="Calibri"/>
                <w:sz w:val="18"/>
                <w:szCs w:val="18"/>
              </w:rPr>
              <w:t>, R</w:t>
            </w:r>
            <w:r w:rsidRPr="00C34DE9">
              <w:rPr>
                <w:rFonts w:ascii="Verdana" w:hAnsi="Verdana" w:cs="Calibri"/>
                <w:sz w:val="18"/>
                <w:szCs w:val="18"/>
              </w:rPr>
              <w:t>egional (NUTS 1 and 2)</w:t>
            </w:r>
          </w:p>
        </w:tc>
      </w:tr>
      <w:tr w:rsidR="00712B4F" w:rsidRPr="00C34DE9" w14:paraId="67F608AB" w14:textId="77777777" w:rsidTr="240ABBB4">
        <w:tc>
          <w:tcPr>
            <w:tcW w:w="2518" w:type="dxa"/>
            <w:shd w:val="clear" w:color="auto" w:fill="auto"/>
          </w:tcPr>
          <w:p w14:paraId="07FFC0B9"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513" w:type="dxa"/>
            <w:shd w:val="clear" w:color="auto" w:fill="auto"/>
          </w:tcPr>
          <w:p w14:paraId="79911F7E" w14:textId="77777777" w:rsidR="00223A86" w:rsidRDefault="00223A86" w:rsidP="005B5547">
            <w:pPr>
              <w:spacing w:after="60"/>
              <w:jc w:val="both"/>
              <w:rPr>
                <w:rFonts w:ascii="Verdana" w:eastAsia="Times New Roman" w:hAnsi="Verdana"/>
                <w:sz w:val="18"/>
                <w:szCs w:val="18"/>
              </w:rPr>
            </w:pPr>
            <w:r w:rsidRPr="00C34DE9">
              <w:rPr>
                <w:rFonts w:ascii="Verdana" w:eastAsia="Times New Roman" w:hAnsi="Verdana"/>
                <w:sz w:val="18"/>
                <w:szCs w:val="18"/>
              </w:rPr>
              <w:t>FSS</w:t>
            </w:r>
            <w:r>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p w14:paraId="4F721E02" w14:textId="77777777" w:rsidR="00712B4F" w:rsidRPr="00C34DE9" w:rsidRDefault="00712B4F" w:rsidP="005B5547">
            <w:pPr>
              <w:spacing w:after="60"/>
              <w:jc w:val="both"/>
              <w:rPr>
                <w:rFonts w:ascii="Verdana" w:eastAsia="Times New Roman" w:hAnsi="Verdana" w:cs="Calibri"/>
                <w:sz w:val="18"/>
                <w:szCs w:val="18"/>
              </w:rPr>
            </w:pPr>
            <w:r w:rsidRPr="5CB4B133">
              <w:rPr>
                <w:rFonts w:ascii="Verdana" w:hAnsi="Verdana" w:cs="Calibri"/>
                <w:sz w:val="18"/>
                <w:szCs w:val="18"/>
                <w:lang w:val="en"/>
              </w:rPr>
              <w:t>Survey on Agricultural Production Methods</w:t>
            </w:r>
            <w:r w:rsidRPr="00C34DE9">
              <w:rPr>
                <w:rFonts w:ascii="Verdana" w:hAnsi="Verdana" w:cs="Calibri"/>
                <w:sz w:val="18"/>
                <w:szCs w:val="18"/>
                <w:lang w:val="en"/>
              </w:rPr>
              <w:t xml:space="preserve"> (</w:t>
            </w:r>
            <w:r w:rsidRPr="5CB4B133">
              <w:rPr>
                <w:rFonts w:ascii="Verdana" w:hAnsi="Verdana" w:cs="Calibri"/>
                <w:sz w:val="18"/>
                <w:szCs w:val="18"/>
                <w:lang w:val="en"/>
              </w:rPr>
              <w:t>SAPM)</w:t>
            </w:r>
            <w:r w:rsidRPr="00C34DE9">
              <w:rPr>
                <w:rFonts w:ascii="Verdana" w:hAnsi="Verdana" w:cs="Calibri"/>
                <w:sz w:val="18"/>
                <w:szCs w:val="18"/>
              </w:rPr>
              <w:t xml:space="preserve"> is a </w:t>
            </w:r>
            <w:r w:rsidRPr="00C34DE9">
              <w:rPr>
                <w:rFonts w:ascii="Verdana" w:hAnsi="Verdana" w:cs="Calibri"/>
                <w:sz w:val="18"/>
                <w:szCs w:val="18"/>
                <w:lang w:val="en"/>
              </w:rPr>
              <w:t>one off survey carried out in 2010.</w:t>
            </w:r>
          </w:p>
        </w:tc>
      </w:tr>
      <w:tr w:rsidR="00712B4F" w:rsidRPr="00C34DE9" w14:paraId="13CF77E4" w14:textId="77777777" w:rsidTr="240ABBB4">
        <w:tc>
          <w:tcPr>
            <w:tcW w:w="2518" w:type="dxa"/>
            <w:shd w:val="clear" w:color="auto" w:fill="auto"/>
          </w:tcPr>
          <w:p w14:paraId="64B76F12" w14:textId="77777777" w:rsidR="00712B4F"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513" w:type="dxa"/>
            <w:shd w:val="clear" w:color="auto" w:fill="auto"/>
          </w:tcPr>
          <w:p w14:paraId="6C2CF568" w14:textId="77777777" w:rsidR="00712B4F" w:rsidRPr="00C34DE9" w:rsidRDefault="00712B4F" w:rsidP="001E71E9">
            <w:pPr>
              <w:spacing w:after="60"/>
              <w:rPr>
                <w:rFonts w:ascii="Verdana" w:hAnsi="Verdana" w:cs="Calibri"/>
                <w:sz w:val="18"/>
                <w:szCs w:val="18"/>
              </w:rPr>
            </w:pPr>
            <w:r w:rsidRPr="00C34DE9">
              <w:rPr>
                <w:rFonts w:ascii="Verdana" w:hAnsi="Verdana" w:cs="Calibri"/>
                <w:sz w:val="18"/>
                <w:szCs w:val="18"/>
                <w:lang w:val="en-US"/>
              </w:rPr>
              <w:t xml:space="preserve">2 years </w:t>
            </w:r>
          </w:p>
        </w:tc>
      </w:tr>
      <w:tr w:rsidR="00712B4F" w:rsidRPr="00C34DE9" w14:paraId="1150D461" w14:textId="77777777" w:rsidTr="240ABBB4">
        <w:tc>
          <w:tcPr>
            <w:tcW w:w="2518" w:type="dxa"/>
            <w:shd w:val="clear" w:color="auto" w:fill="auto"/>
          </w:tcPr>
          <w:p w14:paraId="193728E4" w14:textId="77777777" w:rsidR="00712B4F" w:rsidRPr="00C34DE9" w:rsidRDefault="00712B4F"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513" w:type="dxa"/>
            <w:shd w:val="clear" w:color="auto" w:fill="auto"/>
          </w:tcPr>
          <w:p w14:paraId="74287C1B" w14:textId="77777777" w:rsidR="00223A86" w:rsidRDefault="00D24F34" w:rsidP="005B5547">
            <w:pPr>
              <w:spacing w:after="60"/>
              <w:jc w:val="both"/>
              <w:rPr>
                <w:rFonts w:ascii="Verdana" w:hAnsi="Verdana" w:cs="Calibri"/>
                <w:sz w:val="18"/>
                <w:szCs w:val="18"/>
              </w:rPr>
            </w:pPr>
            <w:r>
              <w:rPr>
                <w:rFonts w:ascii="Verdana" w:eastAsia="Times New Roman" w:hAnsi="Verdana"/>
                <w:sz w:val="18"/>
                <w:szCs w:val="18"/>
              </w:rPr>
              <w:t>IFS as of survey year 2020</w:t>
            </w:r>
            <w:r w:rsidR="00223A86">
              <w:rPr>
                <w:rFonts w:ascii="Verdana" w:eastAsia="Times New Roman" w:hAnsi="Verdana"/>
                <w:sz w:val="18"/>
                <w:szCs w:val="18"/>
              </w:rPr>
              <w:t>.</w:t>
            </w:r>
          </w:p>
          <w:p w14:paraId="502E0A60" w14:textId="77777777" w:rsidR="00712B4F" w:rsidRPr="00C34DE9" w:rsidRDefault="00712B4F" w:rsidP="005B5547">
            <w:pPr>
              <w:spacing w:after="60"/>
              <w:jc w:val="both"/>
              <w:rPr>
                <w:rFonts w:ascii="Verdana" w:hAnsi="Verdana" w:cs="Calibri"/>
                <w:sz w:val="18"/>
                <w:szCs w:val="18"/>
              </w:rPr>
            </w:pPr>
            <w:r w:rsidRPr="00C34DE9">
              <w:rPr>
                <w:rFonts w:ascii="Verdana" w:hAnsi="Verdana" w:cs="Calibri"/>
                <w:sz w:val="18"/>
                <w:szCs w:val="18"/>
              </w:rPr>
              <w:t>Because of the varying factors affecting water abstraction in agriculture, irrigated areas change from year to year</w:t>
            </w:r>
            <w:r w:rsidR="00B31071" w:rsidRPr="00C34DE9">
              <w:rPr>
                <w:rFonts w:ascii="Verdana" w:hAnsi="Verdana" w:cs="Calibri"/>
                <w:sz w:val="18"/>
                <w:szCs w:val="18"/>
              </w:rPr>
              <w:t xml:space="preserve"> depending on the weather conditions</w:t>
            </w:r>
            <w:r w:rsidRPr="00C34DE9">
              <w:rPr>
                <w:rFonts w:ascii="Verdana" w:hAnsi="Verdana" w:cs="Calibri"/>
                <w:sz w:val="18"/>
                <w:szCs w:val="18"/>
              </w:rPr>
              <w:t>, while irrigable areas are used instead to present irrigation trends</w:t>
            </w:r>
            <w:r w:rsidR="00B31071" w:rsidRPr="00C34DE9">
              <w:rPr>
                <w:rFonts w:ascii="Verdana" w:hAnsi="Verdana" w:cs="Calibri"/>
                <w:sz w:val="18"/>
                <w:szCs w:val="18"/>
              </w:rPr>
              <w:t>, showing the expectation on farmers for the need for irrigation.</w:t>
            </w:r>
          </w:p>
        </w:tc>
      </w:tr>
    </w:tbl>
    <w:p w14:paraId="64F035FF" w14:textId="77777777" w:rsidR="001174AF" w:rsidRPr="00C34DE9" w:rsidRDefault="001174AF">
      <w:pPr>
        <w:rPr>
          <w:rFonts w:ascii="Verdana" w:hAnsi="Verdana"/>
          <w:sz w:val="18"/>
          <w:szCs w:val="18"/>
        </w:rPr>
      </w:pPr>
    </w:p>
    <w:p w14:paraId="6E5470A5" w14:textId="77777777" w:rsidR="001174AF" w:rsidRPr="00C34DE9" w:rsidRDefault="001174AF">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07671D" w:rsidRPr="00C34DE9" w14:paraId="19103714"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8725132" w14:textId="77777777" w:rsidR="0007671D" w:rsidRPr="00C34DE9" w:rsidRDefault="0007671D" w:rsidP="5CB4B133">
            <w:pPr>
              <w:spacing w:after="60"/>
              <w:rPr>
                <w:rFonts w:ascii="Verdana" w:hAnsi="Verdana"/>
                <w:b/>
                <w:bCs/>
                <w:sz w:val="18"/>
                <w:szCs w:val="18"/>
              </w:rPr>
            </w:pPr>
            <w:bookmarkStart w:id="23" w:name="C19"/>
            <w:r w:rsidRPr="5CB4B133">
              <w:rPr>
                <w:rFonts w:ascii="Verdana" w:hAnsi="Verdana"/>
                <w:b/>
                <w:bCs/>
                <w:smallCaps/>
                <w:sz w:val="18"/>
                <w:szCs w:val="18"/>
              </w:rPr>
              <w:lastRenderedPageBreak/>
              <w:t>Indicator C.19</w:t>
            </w:r>
            <w:bookmarkEnd w:id="23"/>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4A1AA55" w14:textId="77777777" w:rsidR="0007671D" w:rsidRPr="00C34DE9" w:rsidRDefault="0007671D" w:rsidP="00C30187">
            <w:pPr>
              <w:spacing w:after="60"/>
              <w:rPr>
                <w:rFonts w:ascii="Verdana" w:hAnsi="Verdana"/>
                <w:caps/>
                <w:sz w:val="18"/>
                <w:szCs w:val="18"/>
              </w:rPr>
            </w:pPr>
          </w:p>
        </w:tc>
      </w:tr>
      <w:tr w:rsidR="0007671D" w:rsidRPr="00C34DE9" w14:paraId="0F9E0C28" w14:textId="77777777" w:rsidTr="240ABBB4">
        <w:trPr>
          <w:trHeight w:val="61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E1DB696"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74F2546F"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Farming in Natura 2000 areas</w:t>
            </w:r>
          </w:p>
        </w:tc>
      </w:tr>
      <w:tr w:rsidR="0007671D" w:rsidRPr="00C34DE9" w14:paraId="7E415A70" w14:textId="77777777" w:rsidTr="240ABBB4">
        <w:trPr>
          <w:trHeight w:val="925"/>
        </w:trPr>
        <w:tc>
          <w:tcPr>
            <w:tcW w:w="2518" w:type="dxa"/>
            <w:tcBorders>
              <w:top w:val="single" w:sz="4" w:space="0" w:color="auto"/>
              <w:left w:val="single" w:sz="4" w:space="0" w:color="auto"/>
              <w:bottom w:val="single" w:sz="4" w:space="0" w:color="auto"/>
              <w:right w:val="single" w:sz="4" w:space="0" w:color="auto"/>
            </w:tcBorders>
            <w:vAlign w:val="center"/>
          </w:tcPr>
          <w:p w14:paraId="3D450850"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C5CBE3B" w14:textId="77777777" w:rsidR="00AE59DD" w:rsidRDefault="00AE59DD" w:rsidP="005B5547">
            <w:pPr>
              <w:autoSpaceDE w:val="0"/>
              <w:autoSpaceDN w:val="0"/>
              <w:adjustRightInd w:val="0"/>
              <w:spacing w:after="60" w:line="240" w:lineRule="auto"/>
              <w:rPr>
                <w:rFonts w:ascii="Verdana" w:eastAsia="Times New Roman" w:hAnsi="Verdana" w:cs="Calibri"/>
                <w:sz w:val="18"/>
                <w:szCs w:val="18"/>
              </w:rPr>
            </w:pPr>
            <w:r>
              <w:rPr>
                <w:rFonts w:ascii="Verdana" w:eastAsia="Times New Roman" w:hAnsi="Verdana" w:cs="Calibri"/>
                <w:sz w:val="18"/>
                <w:szCs w:val="18"/>
              </w:rPr>
              <w:t>The</w:t>
            </w:r>
            <w:r w:rsidRPr="00C34DE9">
              <w:rPr>
                <w:rFonts w:ascii="Verdana" w:eastAsia="Times New Roman" w:hAnsi="Verdana" w:cs="Calibri"/>
                <w:sz w:val="18"/>
                <w:szCs w:val="18"/>
              </w:rPr>
              <w:t xml:space="preserve"> indicator provides information on the </w:t>
            </w:r>
            <w:r>
              <w:rPr>
                <w:rFonts w:ascii="Verdana" w:eastAsia="Times New Roman" w:hAnsi="Verdana" w:cs="Calibri"/>
                <w:sz w:val="18"/>
                <w:szCs w:val="18"/>
              </w:rPr>
              <w:t>area protected under Natura 2000 that is used for agriculture and/or forestry</w:t>
            </w:r>
            <w:r w:rsidRPr="00C34DE9">
              <w:rPr>
                <w:rFonts w:ascii="Verdana" w:eastAsia="Times New Roman" w:hAnsi="Verdana" w:cs="Calibri"/>
                <w:sz w:val="18"/>
                <w:szCs w:val="18"/>
              </w:rPr>
              <w:t>.</w:t>
            </w:r>
          </w:p>
          <w:p w14:paraId="2CFA96C1" w14:textId="3ADBEF27" w:rsidR="0007671D" w:rsidRPr="00C34DE9" w:rsidRDefault="00AE59DD" w:rsidP="005B5547">
            <w:pPr>
              <w:autoSpaceDE w:val="0"/>
              <w:autoSpaceDN w:val="0"/>
              <w:adjustRightInd w:val="0"/>
              <w:spacing w:after="60" w:line="240" w:lineRule="auto"/>
              <w:rPr>
                <w:rFonts w:ascii="Verdana" w:hAnsi="Verdana" w:cs="Calibri"/>
                <w:sz w:val="18"/>
                <w:szCs w:val="18"/>
              </w:rPr>
            </w:pPr>
            <w:r>
              <w:rPr>
                <w:rFonts w:ascii="Verdana" w:hAnsi="Verdana" w:cs="Calibri"/>
                <w:sz w:val="18"/>
                <w:szCs w:val="18"/>
              </w:rPr>
              <w:t>It</w:t>
            </w:r>
            <w:r w:rsidR="0007671D" w:rsidRPr="00C34DE9">
              <w:rPr>
                <w:rFonts w:ascii="Verdana" w:hAnsi="Verdana" w:cs="Calibri"/>
                <w:sz w:val="18"/>
                <w:szCs w:val="18"/>
              </w:rPr>
              <w:t xml:space="preserve"> consists of </w:t>
            </w:r>
            <w:r w:rsidR="003830F1">
              <w:rPr>
                <w:rFonts w:ascii="Verdana" w:hAnsi="Verdana" w:cs="Calibri"/>
                <w:sz w:val="18"/>
                <w:szCs w:val="18"/>
              </w:rPr>
              <w:t>5</w:t>
            </w:r>
            <w:r w:rsidR="0007671D" w:rsidRPr="00C34DE9">
              <w:rPr>
                <w:rFonts w:ascii="Verdana" w:hAnsi="Verdana" w:cs="Calibri"/>
                <w:sz w:val="18"/>
                <w:szCs w:val="18"/>
              </w:rPr>
              <w:t xml:space="preserve"> </w:t>
            </w:r>
            <w:r w:rsidR="00DD478B">
              <w:rPr>
                <w:rFonts w:ascii="Verdana" w:hAnsi="Verdana" w:cs="Calibri"/>
                <w:sz w:val="18"/>
                <w:szCs w:val="18"/>
              </w:rPr>
              <w:t>specific indicators</w:t>
            </w:r>
            <w:r w:rsidR="0007671D" w:rsidRPr="00C34DE9">
              <w:rPr>
                <w:rFonts w:ascii="Verdana" w:hAnsi="Verdana" w:cs="Calibri"/>
                <w:sz w:val="18"/>
                <w:szCs w:val="18"/>
              </w:rPr>
              <w:t>:</w:t>
            </w:r>
          </w:p>
          <w:p w14:paraId="2476423B" w14:textId="1FAD20A8" w:rsidR="0007671D" w:rsidRPr="001C195E" w:rsidRDefault="00AE59DD"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w:t>
            </w:r>
            <w:r w:rsidR="0007671D" w:rsidRPr="3F4AE0BD">
              <w:rPr>
                <w:rFonts w:ascii="Verdana" w:hAnsi="Verdana" w:cs="Calibri"/>
                <w:b/>
                <w:bCs/>
                <w:sz w:val="18"/>
                <w:szCs w:val="18"/>
              </w:rPr>
              <w:t xml:space="preserve"> of territory under Natura 2000</w:t>
            </w:r>
            <w:r w:rsidR="008608CF" w:rsidRPr="3F4AE0BD">
              <w:rPr>
                <w:rFonts w:ascii="Verdana" w:hAnsi="Verdana" w:cs="Calibri"/>
                <w:b/>
                <w:bCs/>
                <w:sz w:val="18"/>
                <w:szCs w:val="18"/>
              </w:rPr>
              <w:t xml:space="preserve"> by categories</w:t>
            </w:r>
            <w:r w:rsidR="008608CF" w:rsidRPr="001C195E">
              <w:rPr>
                <w:rFonts w:ascii="Verdana" w:hAnsi="Verdana" w:cs="Calibri"/>
                <w:sz w:val="18"/>
                <w:szCs w:val="18"/>
              </w:rPr>
              <w:t xml:space="preserve"> (Special Protection Areas - SPAs, Sites of Community Importance - SCIs, Natura 2000's network)</w:t>
            </w:r>
          </w:p>
          <w:p w14:paraId="67D79C49" w14:textId="01F45B32" w:rsidR="0007671D" w:rsidRDefault="00AE59DD"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w:t>
            </w:r>
            <w:r w:rsidR="0007671D" w:rsidRPr="3F4AE0BD">
              <w:rPr>
                <w:rFonts w:ascii="Verdana" w:hAnsi="Verdana" w:cs="Calibri"/>
                <w:b/>
                <w:bCs/>
                <w:sz w:val="18"/>
                <w:szCs w:val="18"/>
              </w:rPr>
              <w:t xml:space="preserve"> of </w:t>
            </w:r>
            <w:r w:rsidR="00F56B36" w:rsidRPr="3F4AE0BD">
              <w:rPr>
                <w:rFonts w:ascii="Verdana" w:hAnsi="Verdana" w:cs="Calibri"/>
                <w:b/>
                <w:bCs/>
                <w:sz w:val="18"/>
                <w:szCs w:val="18"/>
              </w:rPr>
              <w:t xml:space="preserve">agricultural area </w:t>
            </w:r>
            <w:r w:rsidR="0007671D" w:rsidRPr="3F4AE0BD">
              <w:rPr>
                <w:rFonts w:ascii="Verdana" w:hAnsi="Verdana" w:cs="Calibri"/>
                <w:b/>
                <w:bCs/>
                <w:sz w:val="18"/>
                <w:szCs w:val="18"/>
              </w:rPr>
              <w:t>under Natura 2000</w:t>
            </w:r>
            <w:r w:rsidR="008608CF" w:rsidRPr="001C195E">
              <w:rPr>
                <w:rFonts w:ascii="Verdana" w:hAnsi="Verdana" w:cs="Calibri"/>
                <w:sz w:val="18"/>
                <w:szCs w:val="18"/>
              </w:rPr>
              <w:t xml:space="preserve"> (</w:t>
            </w:r>
            <w:r w:rsidR="00F56B36">
              <w:rPr>
                <w:rFonts w:ascii="Verdana" w:hAnsi="Verdana" w:cs="Calibri"/>
                <w:sz w:val="18"/>
                <w:szCs w:val="18"/>
              </w:rPr>
              <w:t>ex</w:t>
            </w:r>
            <w:r w:rsidR="008608CF" w:rsidRPr="001C195E">
              <w:rPr>
                <w:rFonts w:ascii="Verdana" w:hAnsi="Verdana" w:cs="Calibri"/>
                <w:sz w:val="18"/>
                <w:szCs w:val="18"/>
              </w:rPr>
              <w:t>cluding natural grassland)</w:t>
            </w:r>
          </w:p>
          <w:p w14:paraId="559387F7" w14:textId="77777777" w:rsidR="00F56B36" w:rsidRPr="001C195E" w:rsidRDefault="00F56B36"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 of agricultural area and natural grassland under Natura 2000</w:t>
            </w:r>
          </w:p>
          <w:p w14:paraId="17D3FAB4" w14:textId="0D5A86A4" w:rsidR="00F56B36" w:rsidRDefault="00AE59DD"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w:t>
            </w:r>
            <w:r w:rsidR="0007671D" w:rsidRPr="3F4AE0BD">
              <w:rPr>
                <w:rFonts w:ascii="Verdana" w:hAnsi="Verdana" w:cs="Calibri"/>
                <w:b/>
                <w:bCs/>
                <w:sz w:val="18"/>
                <w:szCs w:val="18"/>
              </w:rPr>
              <w:t xml:space="preserve"> of forest area under Natura 2000</w:t>
            </w:r>
            <w:r w:rsidR="008608CF" w:rsidRPr="001C195E">
              <w:rPr>
                <w:rFonts w:ascii="Verdana" w:hAnsi="Verdana" w:cs="Calibri"/>
                <w:sz w:val="18"/>
                <w:szCs w:val="18"/>
              </w:rPr>
              <w:t xml:space="preserve"> (</w:t>
            </w:r>
            <w:r w:rsidR="00F56B36">
              <w:rPr>
                <w:rFonts w:ascii="Verdana" w:hAnsi="Verdana" w:cs="Calibri"/>
                <w:sz w:val="18"/>
                <w:szCs w:val="18"/>
              </w:rPr>
              <w:t>ex</w:t>
            </w:r>
            <w:r w:rsidR="008608CF" w:rsidRPr="001C195E">
              <w:rPr>
                <w:rFonts w:ascii="Verdana" w:hAnsi="Verdana" w:cs="Calibri"/>
                <w:sz w:val="18"/>
                <w:szCs w:val="18"/>
              </w:rPr>
              <w:t>cluding transitional woodland-shrub)</w:t>
            </w:r>
          </w:p>
          <w:p w14:paraId="3A459B6A" w14:textId="2CF7CAC6" w:rsidR="00AE59DD" w:rsidRPr="001C195E" w:rsidRDefault="00F56B36" w:rsidP="00665997">
            <w:pPr>
              <w:pStyle w:val="ListParagraph"/>
              <w:numPr>
                <w:ilvl w:val="0"/>
                <w:numId w:val="85"/>
              </w:numPr>
              <w:autoSpaceDE w:val="0"/>
              <w:autoSpaceDN w:val="0"/>
              <w:adjustRightInd w:val="0"/>
              <w:spacing w:after="60" w:line="240" w:lineRule="auto"/>
              <w:rPr>
                <w:rFonts w:ascii="Verdana" w:hAnsi="Verdana" w:cs="Calibri"/>
                <w:sz w:val="18"/>
                <w:szCs w:val="18"/>
              </w:rPr>
            </w:pPr>
            <w:r w:rsidRPr="3F4AE0BD">
              <w:rPr>
                <w:rFonts w:ascii="Verdana" w:hAnsi="Verdana" w:cs="Calibri"/>
                <w:b/>
                <w:bCs/>
                <w:sz w:val="18"/>
                <w:szCs w:val="18"/>
              </w:rPr>
              <w:t>share of forest area and transitional woodland-shrub under Natura 2000</w:t>
            </w:r>
          </w:p>
          <w:p w14:paraId="1B680B0D"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 xml:space="preserve">Under Natura 2000, a network of areas is designated to </w:t>
            </w:r>
            <w:r w:rsidR="002F6287">
              <w:rPr>
                <w:rFonts w:ascii="Verdana" w:eastAsia="Times New Roman" w:hAnsi="Verdana" w:cs="Calibri"/>
                <w:sz w:val="18"/>
                <w:szCs w:val="18"/>
              </w:rPr>
              <w:t>protect</w:t>
            </w:r>
            <w:r w:rsidR="002F6287" w:rsidRPr="00C34DE9">
              <w:rPr>
                <w:rFonts w:ascii="Verdana" w:eastAsia="Times New Roman" w:hAnsi="Verdana" w:cs="Calibri"/>
                <w:sz w:val="18"/>
                <w:szCs w:val="18"/>
              </w:rPr>
              <w:t xml:space="preserve"> </w:t>
            </w:r>
            <w:r w:rsidR="002F6287">
              <w:rPr>
                <w:rFonts w:ascii="Verdana" w:eastAsia="Times New Roman" w:hAnsi="Verdana" w:cs="Calibri"/>
                <w:sz w:val="18"/>
                <w:szCs w:val="18"/>
              </w:rPr>
              <w:t xml:space="preserve">sites </w:t>
            </w:r>
            <w:r w:rsidR="00827319">
              <w:rPr>
                <w:rFonts w:ascii="Verdana" w:eastAsia="Times New Roman" w:hAnsi="Verdana" w:cs="Calibri"/>
                <w:sz w:val="18"/>
                <w:szCs w:val="18"/>
              </w:rPr>
              <w:t>with</w:t>
            </w:r>
            <w:r w:rsidR="002F6287">
              <w:rPr>
                <w:rFonts w:ascii="Verdana" w:eastAsia="Times New Roman" w:hAnsi="Verdana" w:cs="Calibri"/>
                <w:sz w:val="18"/>
                <w:szCs w:val="18"/>
              </w:rPr>
              <w:t xml:space="preserve"> </w:t>
            </w:r>
            <w:r w:rsidR="002F6287">
              <w:rPr>
                <w:lang w:val="en"/>
              </w:rPr>
              <w:t xml:space="preserve">rare and threatened species, and some rare natural habitat types of concern </w:t>
            </w:r>
            <w:r w:rsidR="002F6287">
              <w:rPr>
                <w:rFonts w:ascii="Verdana" w:eastAsia="Times New Roman" w:hAnsi="Verdana" w:cs="Calibri"/>
                <w:sz w:val="18"/>
                <w:szCs w:val="18"/>
              </w:rPr>
              <w:t>at</w:t>
            </w:r>
            <w:r w:rsidRPr="00C34DE9">
              <w:rPr>
                <w:rFonts w:ascii="Verdana" w:eastAsia="Times New Roman" w:hAnsi="Verdana" w:cs="Calibri"/>
                <w:sz w:val="18"/>
                <w:szCs w:val="18"/>
              </w:rPr>
              <w:t xml:space="preserve"> the European Union</w:t>
            </w:r>
            <w:r w:rsidR="002F6287">
              <w:rPr>
                <w:rFonts w:ascii="Verdana" w:eastAsia="Times New Roman" w:hAnsi="Verdana" w:cs="Calibri"/>
                <w:sz w:val="18"/>
                <w:szCs w:val="18"/>
              </w:rPr>
              <w:t xml:space="preserve"> level</w:t>
            </w:r>
            <w:r w:rsidRPr="00C34DE9">
              <w:rPr>
                <w:rFonts w:ascii="Verdana" w:eastAsia="Times New Roman" w:hAnsi="Verdana" w:cs="Calibri"/>
                <w:sz w:val="18"/>
                <w:szCs w:val="18"/>
              </w:rPr>
              <w:t>.</w:t>
            </w:r>
          </w:p>
          <w:p w14:paraId="017CA786" w14:textId="77777777" w:rsidR="0007671D" w:rsidRPr="00C34DE9" w:rsidRDefault="0007671D" w:rsidP="005B5547">
            <w:pPr>
              <w:autoSpaceDE w:val="0"/>
              <w:autoSpaceDN w:val="0"/>
              <w:adjustRightInd w:val="0"/>
              <w:spacing w:after="60" w:line="240" w:lineRule="auto"/>
              <w:rPr>
                <w:rFonts w:ascii="Verdana" w:eastAsia="Times New Roman" w:hAnsi="Verdana" w:cs="Calibri"/>
                <w:sz w:val="18"/>
                <w:szCs w:val="18"/>
              </w:rPr>
            </w:pPr>
            <w:r w:rsidRPr="00C34DE9">
              <w:rPr>
                <w:rFonts w:ascii="Verdana" w:eastAsia="Times New Roman" w:hAnsi="Verdana" w:cs="Calibri"/>
                <w:sz w:val="18"/>
                <w:szCs w:val="18"/>
              </w:rPr>
              <w:t>The Natura 2000 network consists of sites:</w:t>
            </w:r>
          </w:p>
          <w:p w14:paraId="26338331"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designated by Member States as Special Protection Areas (SPA) under the Birds Directive (Council Directive 79/409/EEC of 2 April 1979),</w:t>
            </w:r>
          </w:p>
          <w:p w14:paraId="213CBB88" w14:textId="77777777" w:rsidR="0007671D" w:rsidRPr="001C195E" w:rsidRDefault="0007671D" w:rsidP="00665997">
            <w:pPr>
              <w:pStyle w:val="RD-Indicatortabletext"/>
              <w:numPr>
                <w:ilvl w:val="0"/>
                <w:numId w:val="83"/>
              </w:numPr>
              <w:spacing w:after="60"/>
              <w:jc w:val="both"/>
              <w:rPr>
                <w:rFonts w:cs="Times New Roman"/>
                <w:sz w:val="18"/>
                <w:szCs w:val="18"/>
              </w:rPr>
            </w:pPr>
            <w:r w:rsidRPr="001C195E">
              <w:rPr>
                <w:rFonts w:cs="Times New Roman"/>
                <w:sz w:val="18"/>
                <w:szCs w:val="18"/>
              </w:rPr>
              <w:t>proposed by Member States as Sites of Community Importance (pSCI) and later designated as Special Areas of Conservation (SAC) under the Habitats Directive (Council Directive 92/43/EEC of 21 May 1992).</w:t>
            </w:r>
          </w:p>
          <w:p w14:paraId="31F30F62"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For the Special Protection Areas designated under the Birds Directive, the responsibility for designation lies entirely with the Member States. The Commission (DG Environment) has to be informed when new areas are designated or existing areas are modified. The information received on new or revised areas is passed on to the European Environment Agency (EEA), which regularly produces consolidated versions of the SPA database for the whole EU.</w:t>
            </w:r>
          </w:p>
          <w:p w14:paraId="54A202EC"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For the proposed Sites of Community Importance, which will in the future be Special Areas of Conservation under the Habitats Directive, there is a three-stage process that starts with a proposal by Member States. The proposals are transferred to the Commission, which evaluates with the European Topic Centre on Biological Diversity (ETC_BD) whether or not the proposed sites ensure sufficient protection and, on the basis of that evaluation, asks the Member States to propose more sites whenever necessary. The EEA regularly (once a year) compiles all the information received into a single EU database.</w:t>
            </w:r>
          </w:p>
          <w:p w14:paraId="6656F189"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The lists of sites foreseen in the Habitats Directive are divided into nine bio-geographic regions (Pannonian, Boreal, Continental, Atlantic, Alpine, Macaronesian, Black Sea, Steppic and Mediterranean) within the territory of the Union. The first list for the Macaronesian region was agreed in December 2001. The second list was adopted in December 2003 for the Alpine region, followed in 2004 by the lists for the Continental and Atlantic regions. The list for the Boreal region was adopted in 2005, and the list for the Mediterranean region in 2006. The lists for the Steppic and the Black Sea regions were adopted in 2008.</w:t>
            </w:r>
          </w:p>
          <w:p w14:paraId="307CF62D"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 xml:space="preserve">Natura 2000 sites include different types of European ecosystems. Some sites are in coastal areas or in open marine waters, some contain lakes or are riverine, and many include forest and farmland. For calculating an improved </w:t>
            </w:r>
            <w:r w:rsidRPr="00C34DE9">
              <w:rPr>
                <w:rFonts w:ascii="Verdana" w:eastAsia="Times New Roman" w:hAnsi="Verdana" w:cs="Calibri"/>
                <w:sz w:val="18"/>
                <w:szCs w:val="18"/>
              </w:rPr>
              <w:lastRenderedPageBreak/>
              <w:t xml:space="preserve">version of this indicator, geo-referenced information is required. </w:t>
            </w:r>
          </w:p>
          <w:p w14:paraId="44FCFB48" w14:textId="77777777" w:rsidR="0007671D" w:rsidRPr="00C34DE9" w:rsidRDefault="0007671D" w:rsidP="005B5547">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The data sets used consist of the Natura 2000 Spatial Dataset and the CORINE Land Cover (CLC) raster dataset. Although CLC categories do not fully correspond to the statistical definitions of agricultural area (UAA) or forests, the overlay of the two data sets allows an accurate geographical estimation of land use data inside Natura 2000 sites.</w:t>
            </w:r>
          </w:p>
          <w:p w14:paraId="3840D851" w14:textId="77777777" w:rsidR="0007671D" w:rsidRPr="00C34DE9" w:rsidRDefault="0007671D" w:rsidP="790C88FB">
            <w:pPr>
              <w:pStyle w:val="NormalWeb"/>
              <w:spacing w:before="0" w:beforeAutospacing="0" w:after="60" w:afterAutospacing="0"/>
              <w:jc w:val="both"/>
              <w:rPr>
                <w:rFonts w:ascii="Verdana" w:hAnsi="Verdana" w:cs="Calibri"/>
                <w:sz w:val="18"/>
                <w:szCs w:val="18"/>
              </w:rPr>
            </w:pPr>
            <w:r w:rsidRPr="00C34DE9">
              <w:rPr>
                <w:rFonts w:ascii="Verdana" w:hAnsi="Verdana" w:cs="Calibri"/>
                <w:sz w:val="18"/>
                <w:szCs w:val="18"/>
              </w:rPr>
              <w:t>To reduce and explain the discrepancies with other surveys and national inventories, the estimation of the UAA and forest includes separately the CLC classes "Natural grassland" and "Transitional woodland –shrubs".</w:t>
            </w:r>
          </w:p>
          <w:p w14:paraId="2AB76921" w14:textId="3C6C54DD" w:rsidR="0007671D" w:rsidRPr="00C34DE9" w:rsidRDefault="0007671D" w:rsidP="790C88FB">
            <w:pPr>
              <w:pStyle w:val="NormalWeb"/>
              <w:spacing w:before="0" w:beforeAutospacing="0" w:after="60" w:afterAutospacing="0"/>
              <w:jc w:val="both"/>
              <w:rPr>
                <w:rFonts w:ascii="Verdana" w:hAnsi="Verdana" w:cs="Calibri"/>
                <w:sz w:val="18"/>
                <w:szCs w:val="18"/>
              </w:rPr>
            </w:pPr>
            <w:r w:rsidRPr="00C34DE9">
              <w:rPr>
                <w:rFonts w:ascii="Verdana" w:hAnsi="Verdana" w:cs="Calibri"/>
                <w:sz w:val="18"/>
                <w:szCs w:val="18"/>
              </w:rPr>
              <w:t xml:space="preserve">CLC classes </w:t>
            </w:r>
            <w:r w:rsidR="006E28A4">
              <w:rPr>
                <w:rFonts w:ascii="Verdana" w:hAnsi="Verdana" w:cs="Calibri"/>
                <w:sz w:val="18"/>
                <w:szCs w:val="18"/>
              </w:rPr>
              <w:t>used</w:t>
            </w:r>
            <w:r w:rsidRPr="00C34DE9">
              <w:rPr>
                <w:rFonts w:ascii="Verdana" w:hAnsi="Verdana" w:cs="Calibri"/>
                <w:sz w:val="18"/>
                <w:szCs w:val="18"/>
              </w:rPr>
              <w:t xml:space="preserve"> </w:t>
            </w:r>
            <w:r w:rsidR="006E28A4">
              <w:rPr>
                <w:rFonts w:ascii="Verdana" w:hAnsi="Verdana" w:cs="Calibri"/>
                <w:sz w:val="18"/>
                <w:szCs w:val="18"/>
              </w:rPr>
              <w:t>are</w:t>
            </w:r>
            <w:r w:rsidRPr="00C34DE9">
              <w:rPr>
                <w:rFonts w:ascii="Verdana" w:hAnsi="Verdana" w:cs="Calibri"/>
                <w:sz w:val="18"/>
                <w:szCs w:val="18"/>
              </w:rPr>
              <w:t>:</w:t>
            </w:r>
          </w:p>
          <w:p w14:paraId="5948D853" w14:textId="77777777" w:rsidR="006E28A4" w:rsidRDefault="006E28A4" w:rsidP="00A85A9D">
            <w:pPr>
              <w:numPr>
                <w:ilvl w:val="0"/>
                <w:numId w:val="28"/>
              </w:numPr>
              <w:spacing w:after="60"/>
              <w:jc w:val="both"/>
              <w:rPr>
                <w:rFonts w:ascii="Verdana" w:eastAsia="Times New Roman" w:hAnsi="Verdana"/>
                <w:sz w:val="18"/>
                <w:szCs w:val="18"/>
              </w:rPr>
            </w:pPr>
            <w:r>
              <w:rPr>
                <w:rFonts w:ascii="Verdana" w:eastAsia="Times New Roman" w:hAnsi="Verdana"/>
                <w:sz w:val="18"/>
                <w:szCs w:val="18"/>
              </w:rPr>
              <w:t>Agricultural area: CLC 2</w:t>
            </w:r>
          </w:p>
          <w:p w14:paraId="5A9FD0FA" w14:textId="4700A43E" w:rsidR="0007671D" w:rsidRPr="00C34DE9" w:rsidRDefault="008608CF" w:rsidP="00A85A9D">
            <w:pPr>
              <w:numPr>
                <w:ilvl w:val="0"/>
                <w:numId w:val="28"/>
              </w:numPr>
              <w:spacing w:after="60"/>
              <w:jc w:val="both"/>
              <w:rPr>
                <w:rFonts w:ascii="Verdana" w:eastAsia="Times New Roman" w:hAnsi="Verdana"/>
                <w:sz w:val="18"/>
                <w:szCs w:val="18"/>
              </w:rPr>
            </w:pPr>
            <w:r>
              <w:rPr>
                <w:rFonts w:ascii="Verdana" w:eastAsia="Times New Roman" w:hAnsi="Verdana"/>
                <w:sz w:val="18"/>
                <w:szCs w:val="18"/>
              </w:rPr>
              <w:t>Agricultural</w:t>
            </w:r>
            <w:r w:rsidR="006E28A4">
              <w:rPr>
                <w:rFonts w:ascii="Verdana" w:eastAsia="Times New Roman" w:hAnsi="Verdana"/>
                <w:sz w:val="18"/>
                <w:szCs w:val="18"/>
              </w:rPr>
              <w:t xml:space="preserve"> area including natural grassland</w:t>
            </w:r>
            <w:r w:rsidR="0007671D" w:rsidRPr="00C34DE9">
              <w:rPr>
                <w:rFonts w:ascii="Verdana" w:eastAsia="Times New Roman" w:hAnsi="Verdana"/>
                <w:sz w:val="18"/>
                <w:szCs w:val="18"/>
              </w:rPr>
              <w:t xml:space="preserve">: </w:t>
            </w:r>
            <w:r w:rsidR="006E28A4">
              <w:rPr>
                <w:rFonts w:ascii="Verdana" w:eastAsia="Times New Roman" w:hAnsi="Verdana"/>
                <w:sz w:val="18"/>
                <w:szCs w:val="18"/>
              </w:rPr>
              <w:t xml:space="preserve">CLC </w:t>
            </w:r>
            <w:r w:rsidR="0007671D" w:rsidRPr="00C34DE9">
              <w:rPr>
                <w:rFonts w:ascii="Verdana" w:eastAsia="Times New Roman" w:hAnsi="Verdana"/>
                <w:sz w:val="18"/>
                <w:szCs w:val="18"/>
              </w:rPr>
              <w:t>2</w:t>
            </w:r>
            <w:r w:rsidR="006E28A4">
              <w:rPr>
                <w:rFonts w:ascii="Verdana" w:eastAsia="Times New Roman" w:hAnsi="Verdana"/>
                <w:sz w:val="18"/>
                <w:szCs w:val="18"/>
              </w:rPr>
              <w:t>+</w:t>
            </w:r>
            <w:r w:rsidR="0007671D" w:rsidRPr="00C34DE9">
              <w:rPr>
                <w:rFonts w:ascii="Verdana" w:eastAsia="Times New Roman" w:hAnsi="Verdana"/>
                <w:sz w:val="18"/>
                <w:szCs w:val="18"/>
              </w:rPr>
              <w:t xml:space="preserve"> 321</w:t>
            </w:r>
          </w:p>
          <w:p w14:paraId="4020E515" w14:textId="77777777" w:rsidR="006E28A4" w:rsidRDefault="0007671D" w:rsidP="790C88FB">
            <w:pPr>
              <w:pStyle w:val="NormalWeb"/>
              <w:numPr>
                <w:ilvl w:val="0"/>
                <w:numId w:val="28"/>
              </w:numPr>
              <w:spacing w:before="0" w:beforeAutospacing="0" w:after="60" w:afterAutospacing="0"/>
              <w:jc w:val="both"/>
              <w:rPr>
                <w:rFonts w:ascii="Verdana" w:hAnsi="Verdana"/>
                <w:sz w:val="18"/>
                <w:szCs w:val="18"/>
                <w:lang w:eastAsia="en-US"/>
              </w:rPr>
            </w:pPr>
            <w:r w:rsidRPr="00C34DE9">
              <w:rPr>
                <w:rFonts w:ascii="Verdana" w:hAnsi="Verdana"/>
                <w:sz w:val="18"/>
                <w:szCs w:val="18"/>
                <w:lang w:eastAsia="en-US"/>
              </w:rPr>
              <w:t>Forest area :</w:t>
            </w:r>
            <w:r w:rsidR="006E28A4">
              <w:rPr>
                <w:rFonts w:ascii="Verdana" w:hAnsi="Verdana"/>
                <w:sz w:val="18"/>
                <w:szCs w:val="18"/>
                <w:lang w:eastAsia="en-US"/>
              </w:rPr>
              <w:t xml:space="preserve"> CLC 3</w:t>
            </w:r>
          </w:p>
          <w:p w14:paraId="203722DE" w14:textId="2985239A" w:rsidR="0007671D" w:rsidRPr="00C34DE9" w:rsidRDefault="006E28A4" w:rsidP="790C88FB">
            <w:pPr>
              <w:pStyle w:val="NormalWeb"/>
              <w:numPr>
                <w:ilvl w:val="0"/>
                <w:numId w:val="28"/>
              </w:numPr>
              <w:spacing w:before="0" w:beforeAutospacing="0" w:after="60" w:afterAutospacing="0"/>
              <w:jc w:val="both"/>
            </w:pPr>
            <w:r>
              <w:rPr>
                <w:rFonts w:ascii="Verdana" w:hAnsi="Verdana"/>
                <w:sz w:val="18"/>
                <w:szCs w:val="18"/>
                <w:lang w:eastAsia="en-US"/>
              </w:rPr>
              <w:t xml:space="preserve">Forest area including </w:t>
            </w:r>
            <w:r w:rsidRPr="006E28A4">
              <w:rPr>
                <w:rFonts w:ascii="Verdana" w:hAnsi="Verdana"/>
                <w:sz w:val="18"/>
                <w:szCs w:val="18"/>
                <w:lang w:eastAsia="en-US"/>
              </w:rPr>
              <w:t>transitional woodland-shrub</w:t>
            </w:r>
            <w:r>
              <w:rPr>
                <w:rFonts w:ascii="Verdana" w:hAnsi="Verdana"/>
                <w:sz w:val="18"/>
                <w:szCs w:val="18"/>
                <w:lang w:eastAsia="en-US"/>
              </w:rPr>
              <w:t xml:space="preserve">: </w:t>
            </w:r>
            <w:r w:rsidR="0007671D" w:rsidRPr="00C34DE9">
              <w:rPr>
                <w:rFonts w:ascii="Verdana" w:hAnsi="Verdana"/>
                <w:sz w:val="18"/>
                <w:szCs w:val="18"/>
                <w:lang w:eastAsia="en-US"/>
              </w:rPr>
              <w:t>CLC3</w:t>
            </w:r>
            <w:r>
              <w:rPr>
                <w:rFonts w:ascii="Verdana" w:hAnsi="Verdana"/>
                <w:sz w:val="18"/>
                <w:szCs w:val="18"/>
                <w:lang w:eastAsia="en-US"/>
              </w:rPr>
              <w:t xml:space="preserve"> +</w:t>
            </w:r>
            <w:r w:rsidR="0007671D" w:rsidRPr="00C34DE9">
              <w:rPr>
                <w:rFonts w:ascii="Verdana" w:hAnsi="Verdana"/>
                <w:sz w:val="18"/>
                <w:szCs w:val="18"/>
                <w:lang w:eastAsia="en-US"/>
              </w:rPr>
              <w:t>324</w:t>
            </w:r>
          </w:p>
        </w:tc>
      </w:tr>
      <w:tr w:rsidR="0007671D" w:rsidRPr="00C34DE9" w14:paraId="74167C9A"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2C3778F1"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lastRenderedPageBreak/>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72791EF" w14:textId="50E0EDFF" w:rsidR="0007671D" w:rsidRPr="00C34DE9" w:rsidRDefault="00A02092" w:rsidP="3F4AE0BD">
            <w:pPr>
              <w:spacing w:after="60"/>
              <w:rPr>
                <w:rFonts w:ascii="Verdana" w:hAnsi="Verdana"/>
                <w:b/>
                <w:bCs/>
                <w:sz w:val="18"/>
                <w:szCs w:val="18"/>
              </w:rPr>
            </w:pPr>
            <w:r>
              <w:rPr>
                <w:rFonts w:ascii="Verdana" w:eastAsia="Times New Roman" w:hAnsi="Verdana"/>
                <w:sz w:val="18"/>
                <w:szCs w:val="18"/>
              </w:rPr>
              <w:t>1</w:t>
            </w:r>
            <w:r w:rsidR="00F56B36">
              <w:rPr>
                <w:rFonts w:ascii="Verdana" w:eastAsia="Times New Roman" w:hAnsi="Verdana"/>
                <w:sz w:val="18"/>
                <w:szCs w:val="18"/>
              </w:rPr>
              <w:t>-5</w:t>
            </w:r>
            <w:r>
              <w:rPr>
                <w:rFonts w:ascii="Verdana" w:eastAsia="Times New Roman" w:hAnsi="Verdana"/>
                <w:sz w:val="18"/>
                <w:szCs w:val="18"/>
              </w:rPr>
              <w:t xml:space="preserve">: </w:t>
            </w:r>
            <w:r w:rsidR="00F56B36">
              <w:rPr>
                <w:rFonts w:ascii="Verdana" w:eastAsia="Times New Roman" w:hAnsi="Verdana"/>
                <w:sz w:val="18"/>
                <w:szCs w:val="18"/>
              </w:rPr>
              <w:t>%</w:t>
            </w:r>
          </w:p>
        </w:tc>
      </w:tr>
      <w:tr w:rsidR="0007671D" w:rsidRPr="00C34DE9" w14:paraId="6E331E77"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1DB706AD"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187CF87" w14:textId="77777777" w:rsidR="0007671D" w:rsidRPr="00C34DE9" w:rsidRDefault="0007671D" w:rsidP="005B5547">
            <w:pPr>
              <w:spacing w:after="60"/>
              <w:rPr>
                <w:rFonts w:ascii="Verdana" w:eastAsia="Times New Roman" w:hAnsi="Verdana"/>
                <w:sz w:val="18"/>
                <w:szCs w:val="18"/>
              </w:rPr>
            </w:pPr>
            <w:r w:rsidRPr="00C34DE9">
              <w:rPr>
                <w:rFonts w:ascii="Verdana" w:eastAsia="Times New Roman" w:hAnsi="Verdana"/>
                <w:sz w:val="18"/>
                <w:szCs w:val="18"/>
              </w:rPr>
              <w:t>Natura 2000 Barometer Statistics Report (release version End2016 – 2017-02-02)</w:t>
            </w:r>
          </w:p>
          <w:p w14:paraId="223115C2" w14:textId="77777777" w:rsidR="0007671D" w:rsidRPr="00C34DE9" w:rsidRDefault="0007671D" w:rsidP="005B5547">
            <w:pPr>
              <w:spacing w:after="60"/>
              <w:rPr>
                <w:rFonts w:ascii="Verdana" w:eastAsia="Times New Roman" w:hAnsi="Verdana"/>
                <w:sz w:val="18"/>
                <w:szCs w:val="18"/>
              </w:rPr>
            </w:pPr>
            <w:r w:rsidRPr="00C34DE9">
              <w:rPr>
                <w:rFonts w:ascii="Verdana" w:eastAsia="Times New Roman" w:hAnsi="Verdana"/>
                <w:sz w:val="18"/>
                <w:szCs w:val="18"/>
              </w:rPr>
              <w:t>Natura 2000 data</w:t>
            </w:r>
          </w:p>
          <w:p w14:paraId="501C714B" w14:textId="77777777" w:rsidR="0007671D" w:rsidRPr="00C34DE9" w:rsidRDefault="0007671D" w:rsidP="5CB4B133">
            <w:pPr>
              <w:spacing w:after="60"/>
              <w:rPr>
                <w:rFonts w:ascii="Verdana" w:eastAsia="Times New Roman" w:hAnsi="Verdana"/>
                <w:b/>
                <w:bCs/>
                <w:sz w:val="18"/>
                <w:szCs w:val="18"/>
              </w:rPr>
            </w:pPr>
            <w:r w:rsidRPr="00C34DE9">
              <w:rPr>
                <w:rFonts w:ascii="Verdana" w:eastAsia="Times New Roman" w:hAnsi="Verdana"/>
                <w:sz w:val="18"/>
                <w:szCs w:val="18"/>
              </w:rPr>
              <w:t>CORINE Land Cover (CLC)</w:t>
            </w:r>
            <w:r w:rsidRPr="5CB4B133">
              <w:rPr>
                <w:rFonts w:ascii="Verdana" w:eastAsia="Times New Roman" w:hAnsi="Verdana"/>
                <w:b/>
                <w:bCs/>
                <w:sz w:val="18"/>
                <w:szCs w:val="18"/>
              </w:rPr>
              <w:t xml:space="preserve"> </w:t>
            </w:r>
          </w:p>
        </w:tc>
      </w:tr>
      <w:tr w:rsidR="0007671D" w:rsidRPr="00C34DE9" w14:paraId="27A0C8B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3A249B5D"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9691A6D" w14:textId="77777777" w:rsidR="0007671D" w:rsidRPr="00CC5261" w:rsidRDefault="0007671D" w:rsidP="001E71E9">
            <w:pPr>
              <w:rPr>
                <w:rFonts w:ascii="Verdana" w:eastAsia="Times New Roman" w:hAnsi="Verdana"/>
                <w:sz w:val="18"/>
                <w:szCs w:val="18"/>
                <w:lang w:val="sv-SE"/>
              </w:rPr>
            </w:pPr>
            <w:r w:rsidRPr="00CC5261">
              <w:rPr>
                <w:rFonts w:ascii="Verdana" w:eastAsia="Times New Roman" w:hAnsi="Verdana"/>
                <w:sz w:val="18"/>
                <w:szCs w:val="18"/>
                <w:lang w:val="sv-SE"/>
              </w:rPr>
              <w:t>Natura 2000 Barometer</w:t>
            </w:r>
            <w:r w:rsidRPr="00E50484">
              <w:rPr>
                <w:rFonts w:ascii="Verdana" w:eastAsia="Times New Roman" w:hAnsi="Verdana"/>
                <w:sz w:val="18"/>
                <w:szCs w:val="18"/>
                <w:lang w:val="it-IT"/>
              </w:rPr>
              <w:t xml:space="preserve"> statistics</w:t>
            </w:r>
          </w:p>
          <w:p w14:paraId="402780B1" w14:textId="77777777" w:rsidR="0007671D" w:rsidRPr="00CC5261" w:rsidRDefault="00AA07F1" w:rsidP="001E71E9">
            <w:pPr>
              <w:rPr>
                <w:rFonts w:ascii="Verdana" w:eastAsia="Times New Roman" w:hAnsi="Verdana"/>
                <w:sz w:val="18"/>
                <w:szCs w:val="18"/>
                <w:lang w:val="sv-SE"/>
              </w:rPr>
            </w:pPr>
            <w:hyperlink r:id="rId80" w:history="1">
              <w:r w:rsidR="001E71E9" w:rsidRPr="002B093A">
                <w:rPr>
                  <w:rStyle w:val="Hyperlink"/>
                  <w:rFonts w:ascii="Verdana" w:eastAsia="Times New Roman" w:hAnsi="Verdana"/>
                  <w:sz w:val="18"/>
                  <w:szCs w:val="18"/>
                  <w:lang w:val="sv-SE"/>
                </w:rPr>
                <w:t>https://www.eea.europa.eu/themes/biodiversity/document-library/natura-2000/natura-2000-network-statistics/natura-2000-barometer-statistics/statistics/barometer-statistics</w:t>
              </w:r>
            </w:hyperlink>
          </w:p>
          <w:p w14:paraId="4680EFE0" w14:textId="77777777" w:rsidR="001E71E9" w:rsidRDefault="0007671D" w:rsidP="005B5547">
            <w:pPr>
              <w:rPr>
                <w:rFonts w:ascii="Verdana" w:eastAsia="Times New Roman" w:hAnsi="Verdana"/>
                <w:sz w:val="18"/>
                <w:szCs w:val="18"/>
              </w:rPr>
            </w:pPr>
            <w:r w:rsidRPr="00C34DE9">
              <w:rPr>
                <w:rFonts w:ascii="Verdana" w:eastAsia="Times New Roman" w:hAnsi="Verdana"/>
                <w:sz w:val="18"/>
                <w:szCs w:val="18"/>
              </w:rPr>
              <w:t>Natura 2000 data - the European network of protected site</w:t>
            </w:r>
            <w:r w:rsidR="001E71E9">
              <w:rPr>
                <w:rFonts w:ascii="Verdana" w:eastAsia="Times New Roman" w:hAnsi="Verdana"/>
                <w:sz w:val="18"/>
                <w:szCs w:val="18"/>
              </w:rPr>
              <w:t xml:space="preserve"> </w:t>
            </w:r>
          </w:p>
          <w:p w14:paraId="5B7F3B97" w14:textId="76F2371A" w:rsidR="001E71E9" w:rsidRPr="001E71E9" w:rsidRDefault="00AA07F1" w:rsidP="005B5547">
            <w:hyperlink r:id="rId81" w:history="1">
              <w:r w:rsidR="003978D9">
                <w:rPr>
                  <w:rStyle w:val="Hyperlink"/>
                </w:rPr>
                <w:t>Natura 2000 data - the European network of protected sites — European Environment Agency (europa.eu)</w:t>
              </w:r>
            </w:hyperlink>
          </w:p>
          <w:p w14:paraId="081386E3" w14:textId="2F5D3117" w:rsidR="0007671D" w:rsidRPr="00C34DE9" w:rsidRDefault="00AA07F1" w:rsidP="005B5547">
            <w:pPr>
              <w:rPr>
                <w:rFonts w:ascii="Verdana" w:eastAsia="Times New Roman" w:hAnsi="Verdana"/>
                <w:sz w:val="18"/>
                <w:szCs w:val="18"/>
              </w:rPr>
            </w:pPr>
            <w:hyperlink r:id="rId82" w:history="1">
              <w:r w:rsidR="003978D9" w:rsidRPr="00FF4F00">
                <w:rPr>
                  <w:rStyle w:val="Hyperlink"/>
                </w:rPr>
                <w:t>Natura 2000: Birds and Habitats Directives — European Environment Agency (europa.eu)</w:t>
              </w:r>
            </w:hyperlink>
            <w:r w:rsidR="003978D9" w:rsidRPr="00FF4F00" w:rsidDel="003978D9">
              <w:t xml:space="preserve"> </w:t>
            </w:r>
            <w:r w:rsidR="0007671D" w:rsidRPr="00C34DE9">
              <w:rPr>
                <w:rFonts w:ascii="Verdana" w:eastAsia="Times New Roman" w:hAnsi="Verdana"/>
                <w:sz w:val="18"/>
                <w:szCs w:val="18"/>
              </w:rPr>
              <w:t>CORINE Land Cover (CLC)</w:t>
            </w:r>
          </w:p>
          <w:p w14:paraId="702A7393" w14:textId="77777777" w:rsidR="001E71E9" w:rsidRPr="00C34DE9" w:rsidRDefault="00AA07F1" w:rsidP="005B5547">
            <w:pPr>
              <w:rPr>
                <w:rFonts w:ascii="Verdana" w:eastAsia="Times New Roman" w:hAnsi="Verdana"/>
                <w:sz w:val="18"/>
                <w:szCs w:val="18"/>
              </w:rPr>
            </w:pPr>
            <w:hyperlink r:id="rId83" w:history="1">
              <w:r w:rsidR="001E71E9" w:rsidRPr="002B093A">
                <w:rPr>
                  <w:rStyle w:val="Hyperlink"/>
                  <w:rFonts w:ascii="Verdana" w:eastAsia="Times New Roman" w:hAnsi="Verdana"/>
                  <w:sz w:val="18"/>
                  <w:szCs w:val="18"/>
                </w:rPr>
                <w:t>https://www.eea.europa.eu/data-and-maps/data/natura2000-clc-by-nuts</w:t>
              </w:r>
            </w:hyperlink>
          </w:p>
        </w:tc>
      </w:tr>
      <w:tr w:rsidR="0007671D" w:rsidRPr="00693B7B" w14:paraId="46EE9C9C"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E3FCC32"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0898636" w14:textId="77777777" w:rsidR="0007671D" w:rsidRPr="001E71E9" w:rsidDel="00F9611E" w:rsidRDefault="002F6287" w:rsidP="005B5547">
            <w:pPr>
              <w:spacing w:after="60"/>
              <w:rPr>
                <w:rFonts w:ascii="Verdana" w:hAnsi="Verdana"/>
                <w:sz w:val="18"/>
                <w:szCs w:val="18"/>
                <w:lang w:val="fr-BE"/>
              </w:rPr>
            </w:pPr>
            <w:r w:rsidRPr="001E71E9">
              <w:rPr>
                <w:rFonts w:ascii="Verdana" w:hAnsi="Verdana"/>
                <w:sz w:val="18"/>
                <w:szCs w:val="18"/>
                <w:lang w:val="fr-BE"/>
              </w:rPr>
              <w:t>EU, National (N</w:t>
            </w:r>
            <w:r w:rsidR="001E71E9" w:rsidRPr="001E71E9">
              <w:rPr>
                <w:rFonts w:ascii="Verdana" w:hAnsi="Verdana"/>
                <w:sz w:val="18"/>
                <w:szCs w:val="18"/>
                <w:lang w:val="fr-BE"/>
              </w:rPr>
              <w:t>UTS</w:t>
            </w:r>
            <w:r w:rsidRPr="001E71E9">
              <w:rPr>
                <w:rFonts w:ascii="Verdana" w:hAnsi="Verdana"/>
                <w:sz w:val="18"/>
                <w:szCs w:val="18"/>
                <w:lang w:val="fr-BE"/>
              </w:rPr>
              <w:t xml:space="preserve"> 1)</w:t>
            </w:r>
            <w:r w:rsidR="001E71E9" w:rsidRPr="001E71E9">
              <w:rPr>
                <w:rFonts w:ascii="Verdana" w:hAnsi="Verdana"/>
                <w:sz w:val="18"/>
                <w:szCs w:val="18"/>
                <w:lang w:val="fr-BE"/>
              </w:rPr>
              <w:t>,</w:t>
            </w:r>
            <w:r w:rsidRPr="001E71E9">
              <w:rPr>
                <w:rFonts w:ascii="Verdana" w:hAnsi="Verdana"/>
                <w:sz w:val="18"/>
                <w:szCs w:val="18"/>
                <w:lang w:val="fr-BE"/>
              </w:rPr>
              <w:t xml:space="preserve"> </w:t>
            </w:r>
            <w:r w:rsidR="0007671D" w:rsidRPr="006D0CBA">
              <w:rPr>
                <w:rFonts w:ascii="Verdana" w:hAnsi="Verdana"/>
                <w:sz w:val="18"/>
                <w:szCs w:val="18"/>
                <w:lang w:val="fr-BE"/>
              </w:rPr>
              <w:t>Regional</w:t>
            </w:r>
            <w:r w:rsidR="0007671D" w:rsidRPr="001E71E9">
              <w:rPr>
                <w:rFonts w:ascii="Verdana" w:hAnsi="Verdana"/>
                <w:sz w:val="18"/>
                <w:szCs w:val="18"/>
                <w:lang w:val="fr-BE"/>
              </w:rPr>
              <w:t xml:space="preserve"> (NUTS 2</w:t>
            </w:r>
            <w:r w:rsidR="00CE27E0">
              <w:rPr>
                <w:rFonts w:ascii="Verdana" w:hAnsi="Verdana"/>
                <w:sz w:val="18"/>
                <w:szCs w:val="18"/>
                <w:lang w:val="fr-BE"/>
              </w:rPr>
              <w:t>)</w:t>
            </w:r>
          </w:p>
        </w:tc>
      </w:tr>
      <w:tr w:rsidR="0007671D" w:rsidRPr="00C34DE9" w14:paraId="308C9832" w14:textId="77777777" w:rsidTr="240ABBB4">
        <w:trPr>
          <w:trHeight w:val="1166"/>
        </w:trPr>
        <w:tc>
          <w:tcPr>
            <w:tcW w:w="2518" w:type="dxa"/>
            <w:tcBorders>
              <w:top w:val="single" w:sz="4" w:space="0" w:color="auto"/>
              <w:left w:val="single" w:sz="4" w:space="0" w:color="auto"/>
              <w:bottom w:val="single" w:sz="4" w:space="0" w:color="auto"/>
              <w:right w:val="single" w:sz="4" w:space="0" w:color="auto"/>
            </w:tcBorders>
            <w:vAlign w:val="center"/>
          </w:tcPr>
          <w:p w14:paraId="4AFAE217"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5C068E5" w14:textId="77777777" w:rsidR="0007671D" w:rsidRPr="00C34DE9" w:rsidRDefault="0007671D" w:rsidP="005B5547">
            <w:pPr>
              <w:spacing w:after="60"/>
              <w:rPr>
                <w:rFonts w:ascii="Verdana" w:hAnsi="Verdana"/>
                <w:sz w:val="18"/>
                <w:szCs w:val="18"/>
                <w:lang w:val="en-US"/>
              </w:rPr>
            </w:pPr>
            <w:r w:rsidRPr="00C34DE9">
              <w:rPr>
                <w:rFonts w:ascii="Verdana" w:eastAsia="Times New Roman" w:hAnsi="Verdana"/>
                <w:sz w:val="18"/>
                <w:szCs w:val="18"/>
              </w:rPr>
              <w:t>Natura 2000: every year</w:t>
            </w:r>
            <w:r w:rsidRPr="00C34DE9">
              <w:rPr>
                <w:rFonts w:ascii="Verdana" w:hAnsi="Verdana"/>
                <w:sz w:val="18"/>
                <w:szCs w:val="18"/>
                <w:lang w:val="en-US"/>
              </w:rPr>
              <w:t xml:space="preserve"> </w:t>
            </w:r>
          </w:p>
          <w:p w14:paraId="1184D92F" w14:textId="77777777" w:rsidR="0007671D" w:rsidRPr="00C34DE9" w:rsidRDefault="0007671D" w:rsidP="005B5547">
            <w:pPr>
              <w:spacing w:after="60"/>
              <w:rPr>
                <w:rFonts w:ascii="Verdana" w:hAnsi="Verdana"/>
                <w:sz w:val="18"/>
                <w:szCs w:val="18"/>
                <w:lang w:val="en-US"/>
              </w:rPr>
            </w:pPr>
            <w:r w:rsidRPr="00C34DE9">
              <w:rPr>
                <w:rFonts w:ascii="Verdana" w:hAnsi="Verdana"/>
                <w:sz w:val="18"/>
                <w:szCs w:val="18"/>
                <w:lang w:val="en-US"/>
              </w:rPr>
              <w:t xml:space="preserve">CORINE Land Cover: </w:t>
            </w:r>
            <w:r w:rsidR="002F6287">
              <w:rPr>
                <w:rFonts w:ascii="Verdana" w:hAnsi="Verdana"/>
                <w:sz w:val="18"/>
                <w:szCs w:val="18"/>
                <w:lang w:val="en-US"/>
              </w:rPr>
              <w:t>Depending on the frequency foreseen in the new CLC+</w:t>
            </w:r>
            <w:r w:rsidR="002F6287" w:rsidRPr="00C34DE9" w:rsidDel="00123EA0">
              <w:rPr>
                <w:rFonts w:ascii="Verdana" w:hAnsi="Verdana"/>
                <w:sz w:val="18"/>
                <w:szCs w:val="18"/>
                <w:lang w:val="en-US"/>
              </w:rPr>
              <w:t xml:space="preserve"> </w:t>
            </w:r>
            <w:r w:rsidR="002F6287">
              <w:rPr>
                <w:rFonts w:ascii="Verdana" w:hAnsi="Verdana"/>
                <w:sz w:val="18"/>
                <w:szCs w:val="18"/>
                <w:lang w:val="en-US"/>
              </w:rPr>
              <w:t xml:space="preserve"> (see </w:t>
            </w:r>
            <w:hyperlink r:id="rId84" w:history="1">
              <w:r w:rsidR="001E71E9" w:rsidRPr="002B093A">
                <w:rPr>
                  <w:rStyle w:val="Hyperlink"/>
                  <w:rFonts w:ascii="Verdana" w:hAnsi="Verdana"/>
                  <w:sz w:val="18"/>
                  <w:szCs w:val="18"/>
                  <w:lang w:val="en-US"/>
                </w:rPr>
                <w:t>https://www.copernicus.eu/sites/default/files/2019-01/Copernicus_Work_Programme_2019.pdf</w:t>
              </w:r>
            </w:hyperlink>
            <w:r w:rsidR="002F6287">
              <w:rPr>
                <w:rFonts w:ascii="Verdana" w:hAnsi="Verdana"/>
                <w:sz w:val="18"/>
                <w:szCs w:val="18"/>
                <w:lang w:val="en-US"/>
              </w:rPr>
              <w:t>)</w:t>
            </w:r>
          </w:p>
        </w:tc>
      </w:tr>
      <w:tr w:rsidR="0007671D" w:rsidRPr="00C34DE9" w14:paraId="5D8AA8B0" w14:textId="77777777" w:rsidTr="240ABBB4">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1CB791E1"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96424CD" w14:textId="77777777" w:rsidR="0007671D" w:rsidRPr="00C34DE9" w:rsidRDefault="0007671D" w:rsidP="005B5547">
            <w:pPr>
              <w:spacing w:after="60"/>
              <w:rPr>
                <w:rFonts w:ascii="Verdana" w:hAnsi="Verdana"/>
                <w:sz w:val="18"/>
                <w:szCs w:val="18"/>
              </w:rPr>
            </w:pPr>
            <w:r w:rsidRPr="00C34DE9">
              <w:rPr>
                <w:rFonts w:ascii="Verdana" w:hAnsi="Verdana"/>
                <w:sz w:val="18"/>
                <w:szCs w:val="18"/>
                <w:lang w:val="en-US"/>
              </w:rPr>
              <w:t>Natura 2000: 1 year</w:t>
            </w:r>
            <w:r w:rsidRPr="00C34DE9">
              <w:rPr>
                <w:rFonts w:ascii="Verdana" w:hAnsi="Verdana"/>
                <w:sz w:val="18"/>
                <w:szCs w:val="18"/>
              </w:rPr>
              <w:t xml:space="preserve"> </w:t>
            </w:r>
          </w:p>
          <w:p w14:paraId="21E4B1ED" w14:textId="77777777" w:rsidR="0007671D" w:rsidRPr="00C34DE9" w:rsidRDefault="0007671D" w:rsidP="005B5547">
            <w:pPr>
              <w:spacing w:after="60"/>
              <w:rPr>
                <w:rFonts w:ascii="Verdana" w:hAnsi="Verdana"/>
                <w:sz w:val="18"/>
                <w:szCs w:val="18"/>
                <w:lang w:val="en-US"/>
              </w:rPr>
            </w:pPr>
            <w:r w:rsidRPr="00C34DE9">
              <w:rPr>
                <w:rFonts w:ascii="Verdana" w:hAnsi="Verdana"/>
                <w:sz w:val="18"/>
                <w:szCs w:val="18"/>
                <w:lang w:val="en-US"/>
              </w:rPr>
              <w:t xml:space="preserve">CORINE Land Cover: </w:t>
            </w:r>
            <w:r w:rsidR="002F6287" w:rsidRPr="00C34DE9">
              <w:rPr>
                <w:rFonts w:ascii="Verdana" w:hAnsi="Verdana"/>
                <w:sz w:val="18"/>
                <w:szCs w:val="18"/>
                <w:lang w:val="en-US"/>
              </w:rPr>
              <w:t>C</w:t>
            </w:r>
            <w:r w:rsidR="002F6287">
              <w:rPr>
                <w:rFonts w:ascii="Verdana" w:hAnsi="Verdana"/>
                <w:sz w:val="18"/>
                <w:szCs w:val="18"/>
                <w:lang w:val="en-US"/>
              </w:rPr>
              <w:t>LC/CLC+: 1.5 years or less</w:t>
            </w:r>
            <w:r w:rsidRPr="00C34DE9">
              <w:rPr>
                <w:rFonts w:ascii="Verdana" w:hAnsi="Verdana"/>
                <w:sz w:val="18"/>
                <w:szCs w:val="18"/>
                <w:lang w:val="en-US"/>
              </w:rPr>
              <w:t>.</w:t>
            </w:r>
          </w:p>
        </w:tc>
      </w:tr>
      <w:tr w:rsidR="0007671D" w:rsidRPr="00C34DE9" w14:paraId="404CAC34"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2B764EBE"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4B78A97" w14:textId="53A4DEEB" w:rsidR="0007671D" w:rsidRPr="00C34DE9" w:rsidRDefault="00D107B8" w:rsidP="005B5547">
            <w:pPr>
              <w:spacing w:after="60"/>
              <w:jc w:val="both"/>
              <w:rPr>
                <w:rFonts w:ascii="Verdana" w:hAnsi="Verdana"/>
                <w:sz w:val="18"/>
                <w:szCs w:val="18"/>
              </w:rPr>
            </w:pPr>
            <w:r>
              <w:rPr>
                <w:rFonts w:ascii="Verdana" w:hAnsi="Verdana"/>
                <w:b/>
                <w:bCs/>
                <w:sz w:val="18"/>
                <w:szCs w:val="18"/>
              </w:rPr>
              <w:t>This indicator has common ground with the one used for the EU reporting on UN Sustainable Development Goals.</w:t>
            </w:r>
          </w:p>
        </w:tc>
      </w:tr>
    </w:tbl>
    <w:p w14:paraId="6F6E5DBD" w14:textId="77777777" w:rsidR="00BD6BF6" w:rsidRPr="00C34DE9" w:rsidRDefault="001174AF">
      <w:pPr>
        <w:rPr>
          <w:rFonts w:ascii="Verdana" w:hAnsi="Verdana"/>
          <w:sz w:val="18"/>
          <w:szCs w:val="18"/>
        </w:rPr>
      </w:pPr>
      <w:r w:rsidRPr="00C34DE9">
        <w:rPr>
          <w:rFonts w:ascii="Verdana" w:hAnsi="Verdana"/>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07671D" w:rsidRPr="00C34DE9" w14:paraId="724C661C"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80F08D4" w14:textId="77777777" w:rsidR="0007671D" w:rsidRPr="00C34DE9" w:rsidRDefault="0007671D" w:rsidP="5CB4B133">
            <w:pPr>
              <w:spacing w:after="60"/>
              <w:rPr>
                <w:rFonts w:ascii="Verdana" w:hAnsi="Verdana"/>
                <w:b/>
                <w:bCs/>
                <w:sz w:val="18"/>
                <w:szCs w:val="18"/>
              </w:rPr>
            </w:pPr>
            <w:bookmarkStart w:id="24" w:name="C20"/>
            <w:r w:rsidRPr="5CB4B133">
              <w:rPr>
                <w:rFonts w:ascii="Verdana" w:hAnsi="Verdana"/>
                <w:b/>
                <w:bCs/>
                <w:smallCaps/>
                <w:sz w:val="18"/>
                <w:szCs w:val="18"/>
              </w:rPr>
              <w:lastRenderedPageBreak/>
              <w:t>Indicator C.20</w:t>
            </w:r>
            <w:bookmarkEnd w:id="24"/>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3D29FE1" w14:textId="77777777" w:rsidR="0007671D" w:rsidRPr="00C34DE9" w:rsidRDefault="0007671D" w:rsidP="00C30187">
            <w:pPr>
              <w:spacing w:after="60"/>
              <w:rPr>
                <w:rFonts w:ascii="Verdana" w:hAnsi="Verdana"/>
                <w:caps/>
                <w:sz w:val="18"/>
                <w:szCs w:val="18"/>
              </w:rPr>
            </w:pPr>
          </w:p>
        </w:tc>
      </w:tr>
      <w:tr w:rsidR="0007671D" w:rsidRPr="00C34DE9" w14:paraId="4BC51BC6"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7F6253F"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38FFE370" w14:textId="4EC6600A" w:rsidR="0007671D" w:rsidRPr="00C34DE9" w:rsidRDefault="0007671D" w:rsidP="007C6E79">
            <w:pPr>
              <w:spacing w:after="60"/>
              <w:jc w:val="center"/>
              <w:rPr>
                <w:rFonts w:ascii="Verdana" w:hAnsi="Verdana"/>
                <w:b/>
                <w:bCs/>
                <w:color w:val="808080"/>
                <w:sz w:val="18"/>
                <w:szCs w:val="18"/>
              </w:rPr>
            </w:pPr>
            <w:r w:rsidRPr="5CB4B133">
              <w:rPr>
                <w:rFonts w:ascii="Verdana" w:hAnsi="Verdana" w:cs="Calibri"/>
                <w:b/>
                <w:bCs/>
                <w:sz w:val="18"/>
                <w:szCs w:val="18"/>
              </w:rPr>
              <w:t xml:space="preserve">Areas facing natural and other specific constraints </w:t>
            </w:r>
          </w:p>
        </w:tc>
      </w:tr>
      <w:tr w:rsidR="0007671D" w:rsidRPr="00C34DE9" w14:paraId="44387A3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3C75DD5"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267AB96" w14:textId="77777777" w:rsidR="0007671D" w:rsidRPr="001C195E" w:rsidRDefault="0007671D" w:rsidP="001C195E">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The characterisation of agricultural areas designated as areas facing natural or other specific constraints provides useful information on the environment in which the policy is implemented.</w:t>
            </w:r>
          </w:p>
          <w:p w14:paraId="0E2E9953" w14:textId="77777777" w:rsidR="0007671D" w:rsidRPr="00C34DE9" w:rsidRDefault="0007671D" w:rsidP="790C88FB">
            <w:pPr>
              <w:pStyle w:val="NormalWeb"/>
              <w:spacing w:before="0" w:beforeAutospacing="0" w:after="60" w:afterAutospacing="0"/>
              <w:rPr>
                <w:rFonts w:ascii="Verdana" w:hAnsi="Verdana" w:cs="Calibri"/>
                <w:sz w:val="18"/>
                <w:szCs w:val="18"/>
              </w:rPr>
            </w:pPr>
            <w:r w:rsidRPr="00C34DE9">
              <w:rPr>
                <w:rFonts w:ascii="Verdana" w:hAnsi="Verdana" w:cs="Calibri"/>
                <w:sz w:val="18"/>
                <w:szCs w:val="18"/>
              </w:rPr>
              <w:t xml:space="preserve">The indicator measures the </w:t>
            </w:r>
            <w:r w:rsidRPr="3F4AE0BD">
              <w:rPr>
                <w:rFonts w:ascii="Verdana" w:hAnsi="Verdana" w:cs="Calibri"/>
                <w:b/>
                <w:bCs/>
                <w:sz w:val="18"/>
                <w:szCs w:val="18"/>
              </w:rPr>
              <w:t xml:space="preserve">share of agricultural area in </w:t>
            </w:r>
            <w:r w:rsidR="00AE59DD" w:rsidRPr="3F4AE0BD">
              <w:rPr>
                <w:rFonts w:ascii="Verdana" w:hAnsi="Verdana" w:cs="Calibri"/>
                <w:b/>
                <w:bCs/>
                <w:sz w:val="18"/>
                <w:szCs w:val="18"/>
              </w:rPr>
              <w:t xml:space="preserve">the three </w:t>
            </w:r>
            <w:r w:rsidRPr="3F4AE0BD">
              <w:rPr>
                <w:rFonts w:ascii="Verdana" w:hAnsi="Verdana" w:cs="Calibri"/>
                <w:b/>
                <w:bCs/>
                <w:sz w:val="18"/>
                <w:szCs w:val="18"/>
              </w:rPr>
              <w:t>different categories of areas facing natural or other specific constraints (ANCs)</w:t>
            </w:r>
            <w:r w:rsidRPr="00C34DE9">
              <w:rPr>
                <w:rFonts w:ascii="Verdana" w:hAnsi="Verdana" w:cs="Calibri"/>
                <w:sz w:val="18"/>
                <w:szCs w:val="18"/>
              </w:rPr>
              <w:t xml:space="preserve"> (ex-LFAs as they were defined in the period 2007-2013)</w:t>
            </w:r>
            <w:r w:rsidR="001E4908">
              <w:rPr>
                <w:rFonts w:ascii="Verdana" w:hAnsi="Verdana" w:cs="Calibri"/>
                <w:sz w:val="18"/>
                <w:szCs w:val="18"/>
              </w:rPr>
              <w:t xml:space="preserve">, expressed as a share of </w:t>
            </w:r>
            <w:r w:rsidR="001E4908" w:rsidRPr="001E4908">
              <w:rPr>
                <w:rFonts w:ascii="Verdana" w:hAnsi="Verdana" w:cs="Calibri"/>
                <w:sz w:val="18"/>
                <w:szCs w:val="18"/>
              </w:rPr>
              <w:t>the utilised agricultural area (UAA)</w:t>
            </w:r>
            <w:r w:rsidRPr="00C34DE9">
              <w:rPr>
                <w:rFonts w:ascii="Verdana" w:hAnsi="Verdana" w:cs="Calibri"/>
                <w:sz w:val="18"/>
                <w:szCs w:val="18"/>
              </w:rPr>
              <w:t>:</w:t>
            </w:r>
          </w:p>
          <w:p w14:paraId="2CBCB422" w14:textId="77777777" w:rsidR="0007671D" w:rsidRPr="00C34DE9" w:rsidRDefault="0007671D" w:rsidP="016CD91E">
            <w:pPr>
              <w:pStyle w:val="NormalWeb"/>
              <w:numPr>
                <w:ilvl w:val="0"/>
                <w:numId w:val="26"/>
              </w:numPr>
              <w:spacing w:before="0" w:beforeAutospacing="0" w:after="60" w:afterAutospacing="0"/>
              <w:rPr>
                <w:rFonts w:ascii="Verdana" w:hAnsi="Verdana" w:cs="Calibri"/>
                <w:sz w:val="18"/>
                <w:szCs w:val="18"/>
              </w:rPr>
            </w:pPr>
            <w:r w:rsidRPr="00C34DE9">
              <w:rPr>
                <w:rFonts w:ascii="Verdana" w:hAnsi="Verdana" w:cs="Calibri"/>
                <w:sz w:val="18"/>
                <w:szCs w:val="18"/>
              </w:rPr>
              <w:t>Mountain areas (incl. areas north of the 62nd parallel);</w:t>
            </w:r>
          </w:p>
          <w:p w14:paraId="5E5751EB" w14:textId="77777777" w:rsidR="0007671D" w:rsidRPr="00C34DE9" w:rsidRDefault="0007671D" w:rsidP="016CD91E">
            <w:pPr>
              <w:pStyle w:val="NormalWeb"/>
              <w:numPr>
                <w:ilvl w:val="0"/>
                <w:numId w:val="26"/>
              </w:numPr>
              <w:spacing w:before="0" w:beforeAutospacing="0" w:after="60" w:afterAutospacing="0"/>
              <w:rPr>
                <w:rFonts w:ascii="Verdana" w:hAnsi="Verdana" w:cs="Calibri"/>
                <w:sz w:val="18"/>
                <w:szCs w:val="18"/>
              </w:rPr>
            </w:pPr>
            <w:r w:rsidRPr="00C34DE9">
              <w:rPr>
                <w:rFonts w:ascii="Verdana" w:hAnsi="Verdana" w:cs="Calibri"/>
                <w:sz w:val="18"/>
                <w:szCs w:val="18"/>
              </w:rPr>
              <w:t>Areas, other than mountain areas, facing significant natural constraints;</w:t>
            </w:r>
          </w:p>
          <w:p w14:paraId="56EE8ED8" w14:textId="77777777" w:rsidR="0007671D" w:rsidRPr="00C34DE9" w:rsidRDefault="0007671D" w:rsidP="016CD91E">
            <w:pPr>
              <w:pStyle w:val="NormalWeb"/>
              <w:numPr>
                <w:ilvl w:val="0"/>
                <w:numId w:val="26"/>
              </w:numPr>
              <w:spacing w:before="0" w:beforeAutospacing="0" w:after="60" w:afterAutospacing="0"/>
              <w:rPr>
                <w:rFonts w:ascii="Verdana" w:hAnsi="Verdana" w:cs="Calibri"/>
                <w:sz w:val="18"/>
                <w:szCs w:val="18"/>
              </w:rPr>
            </w:pPr>
            <w:r w:rsidRPr="00C34DE9">
              <w:rPr>
                <w:rFonts w:ascii="Verdana" w:hAnsi="Verdana" w:cs="Calibri"/>
                <w:sz w:val="18"/>
                <w:szCs w:val="18"/>
              </w:rPr>
              <w:t>Other areas affected by specific constraints.</w:t>
            </w:r>
          </w:p>
          <w:p w14:paraId="18EAD295" w14:textId="77777777" w:rsidR="0007671D" w:rsidRPr="00C34DE9" w:rsidRDefault="0007671D" w:rsidP="005B5547">
            <w:pPr>
              <w:pStyle w:val="NormalWeb"/>
              <w:spacing w:before="0" w:beforeAutospacing="0" w:after="60" w:afterAutospacing="0"/>
              <w:rPr>
                <w:rFonts w:ascii="Verdana" w:hAnsi="Verdana" w:cs="Calibri"/>
                <w:sz w:val="18"/>
                <w:szCs w:val="18"/>
              </w:rPr>
            </w:pPr>
          </w:p>
          <w:p w14:paraId="039D5701" w14:textId="4532E7C6" w:rsidR="0007671D" w:rsidRPr="00C34DE9" w:rsidRDefault="0007671D" w:rsidP="005B5547">
            <w:pPr>
              <w:pStyle w:val="RD-Indicatortabletext"/>
              <w:spacing w:after="60"/>
              <w:jc w:val="both"/>
              <w:rPr>
                <w:rFonts w:cs="Calibri"/>
                <w:sz w:val="18"/>
                <w:szCs w:val="18"/>
              </w:rPr>
            </w:pPr>
            <w:r w:rsidRPr="00C34DE9">
              <w:rPr>
                <w:rFonts w:cs="Calibri"/>
                <w:sz w:val="18"/>
                <w:szCs w:val="18"/>
              </w:rPr>
              <w:t>Article 32 of Regulation (EU) No 1305/2013 defines the areas facing natural or other specific constraints, which are eligible for payments to farmers</w:t>
            </w:r>
            <w:r w:rsidR="69AAC901" w:rsidRPr="00C34DE9">
              <w:rPr>
                <w:rFonts w:cs="Calibri"/>
                <w:sz w:val="18"/>
                <w:szCs w:val="18"/>
              </w:rPr>
              <w:t>, if such support is programmed</w:t>
            </w:r>
            <w:r w:rsidRPr="00C34DE9">
              <w:rPr>
                <w:rFonts w:cs="Calibri"/>
                <w:sz w:val="18"/>
                <w:szCs w:val="18"/>
              </w:rPr>
              <w:t>. They are classified according to three categories, each of which describes a specific cluster of natural or other specific constraints affecting agricultural production in the area concerned.</w:t>
            </w:r>
          </w:p>
          <w:p w14:paraId="461F6FAB" w14:textId="77777777" w:rsidR="0007671D" w:rsidRPr="00C34DE9" w:rsidRDefault="0007671D" w:rsidP="005B5547">
            <w:pPr>
              <w:pStyle w:val="RD-Indicatortabletext"/>
              <w:spacing w:after="60"/>
              <w:jc w:val="both"/>
              <w:rPr>
                <w:rFonts w:cs="Calibri"/>
                <w:sz w:val="18"/>
                <w:szCs w:val="18"/>
              </w:rPr>
            </w:pPr>
            <w:r w:rsidRPr="00C34DE9">
              <w:rPr>
                <w:rFonts w:cs="Calibri"/>
                <w:sz w:val="18"/>
                <w:szCs w:val="18"/>
              </w:rPr>
              <w:t>The area designations and other requirements for ANCs have changed in comparison to the programming period 2007-2013 and to Regulation (EC) No 1698/2005 and Regulation (EC) No 1257/99, which are repealed.</w:t>
            </w:r>
          </w:p>
          <w:p w14:paraId="3F0BD6B4" w14:textId="25311753" w:rsidR="0007671D" w:rsidRPr="006D0CBA" w:rsidRDefault="0007671D" w:rsidP="006D0CBA">
            <w:pPr>
              <w:pStyle w:val="RD-Indicatortabletext"/>
              <w:spacing w:after="60"/>
              <w:jc w:val="both"/>
            </w:pPr>
            <w:r w:rsidRPr="00C34DE9">
              <w:rPr>
                <w:rFonts w:cs="Calibri"/>
                <w:sz w:val="18"/>
                <w:szCs w:val="18"/>
              </w:rPr>
              <w:t xml:space="preserve">While no revision of the designation of mountain areas or areas affected by specific constraints is foreseen in Regulation (EU) No 1305/2013 (apart from the possibility to apply the combination of biophysical criteria for the designation of areas affected by specific constraints), areas facing natural constraints other than mountain (former LFA intermediate) should be delimited according to eight biophysical criteria, as defined in Annex III of Regulation (EU) No 1305/2013, covering climate, poor soil productivity and steep slopes. Each (sub)criterion has a predefined threshold, e.g. slopes with a gradient of 15% (or more) which identifies the trigger for the area to be considered as severely constrained from the agricultural production point of view. Measurement of constraint(s) takes place at the level of Local Administrative Units (LAU) 2 (which corresponds to municipality level in most Member States) or at the level of clearly delineated, contiguous local units. The latter should have a definable economic and administrative identity. Farming in the respective local unit can be considered as being constrained if constraints are present on at least 60 % of the local unit's agricultural area. </w:t>
            </w:r>
            <w:r w:rsidR="5B581645" w:rsidRPr="00C34DE9">
              <w:rPr>
                <w:rFonts w:cs="Calibri"/>
                <w:sz w:val="18"/>
                <w:szCs w:val="18"/>
              </w:rPr>
              <w:t>Regulation 1305/2013</w:t>
            </w:r>
            <w:r w:rsidRPr="00C34DE9">
              <w:rPr>
                <w:rFonts w:cs="Calibri"/>
                <w:sz w:val="18"/>
                <w:szCs w:val="18"/>
              </w:rPr>
              <w:t xml:space="preserve"> also stipulates the mechanism of fine-tuning, i.e. for excluding those administrative units where a constraint has been documented but it has been overcome by investments or by economic activity. The fine-tuning exercise is a part of the designation exercise. New data on ANCs are reported by Member States within the programming period 2014-2020.</w:t>
            </w:r>
          </w:p>
        </w:tc>
      </w:tr>
      <w:tr w:rsidR="0007671D" w:rsidRPr="00C34DE9" w14:paraId="5FDAFB80"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45B5DDCF"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D0B26C3" w14:textId="218C0A07" w:rsidR="0007671D" w:rsidRPr="00C34DE9" w:rsidRDefault="002F3CCB" w:rsidP="3F4AE0BD">
            <w:pPr>
              <w:spacing w:after="60"/>
              <w:rPr>
                <w:rFonts w:ascii="Verdana" w:hAnsi="Verdana"/>
                <w:b/>
                <w:bCs/>
                <w:sz w:val="18"/>
                <w:szCs w:val="18"/>
              </w:rPr>
            </w:pPr>
            <w:r>
              <w:rPr>
                <w:rFonts w:ascii="Verdana" w:hAnsi="Verdana"/>
                <w:sz w:val="18"/>
                <w:szCs w:val="18"/>
              </w:rPr>
              <w:t>1 – 3</w:t>
            </w:r>
            <w:r w:rsidR="009A449D">
              <w:rPr>
                <w:rFonts w:ascii="Verdana" w:hAnsi="Verdana"/>
                <w:sz w:val="18"/>
                <w:szCs w:val="18"/>
              </w:rPr>
              <w:t xml:space="preserve">: </w:t>
            </w:r>
            <w:r w:rsidR="001E4908">
              <w:rPr>
                <w:rFonts w:ascii="Verdana" w:hAnsi="Verdana"/>
                <w:sz w:val="18"/>
                <w:szCs w:val="18"/>
              </w:rPr>
              <w:t>%</w:t>
            </w:r>
          </w:p>
        </w:tc>
      </w:tr>
      <w:tr w:rsidR="0007671D" w:rsidRPr="00C34DE9" w14:paraId="77653D21"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EEF56A8"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EDC6037" w14:textId="77777777" w:rsidR="007D69A2" w:rsidRDefault="0007671D" w:rsidP="005B5547">
            <w:pPr>
              <w:pStyle w:val="RD-Indicatortabletext"/>
              <w:spacing w:after="60"/>
              <w:rPr>
                <w:rFonts w:cs="Calibri"/>
                <w:sz w:val="18"/>
                <w:szCs w:val="18"/>
              </w:rPr>
            </w:pPr>
            <w:r w:rsidRPr="00C34DE9">
              <w:rPr>
                <w:rFonts w:cs="Calibri"/>
                <w:sz w:val="18"/>
                <w:szCs w:val="18"/>
              </w:rPr>
              <w:t xml:space="preserve">DG Agriculture and Rural Development: data </w:t>
            </w:r>
            <w:r w:rsidR="009D51B4">
              <w:rPr>
                <w:rFonts w:cs="Calibri"/>
                <w:sz w:val="18"/>
                <w:szCs w:val="18"/>
              </w:rPr>
              <w:t xml:space="preserve">on ANC areas </w:t>
            </w:r>
            <w:r w:rsidRPr="00C34DE9">
              <w:rPr>
                <w:rFonts w:cs="Calibri"/>
                <w:sz w:val="18"/>
                <w:szCs w:val="18"/>
              </w:rPr>
              <w:t>are reported by Member States during the programming period 2014-2020.</w:t>
            </w:r>
          </w:p>
          <w:p w14:paraId="1764217C" w14:textId="77777777" w:rsidR="0007671D" w:rsidRPr="005873FC" w:rsidRDefault="009D51B4" w:rsidP="5CB4B133">
            <w:pPr>
              <w:pStyle w:val="RD-Indicatortabletext"/>
              <w:spacing w:after="60"/>
              <w:rPr>
                <w:b/>
                <w:bCs/>
                <w:sz w:val="18"/>
                <w:szCs w:val="18"/>
              </w:rPr>
            </w:pPr>
            <w:r>
              <w:rPr>
                <w:rFonts w:cs="Calibri"/>
                <w:sz w:val="18"/>
                <w:szCs w:val="18"/>
              </w:rPr>
              <w:t>Eurostat – crop statistics for total UAA</w:t>
            </w:r>
          </w:p>
        </w:tc>
      </w:tr>
      <w:tr w:rsidR="0007671D" w:rsidRPr="00C34DE9" w14:paraId="52E9AC8D"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01E705D7"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6D7BD7C" w14:textId="77777777" w:rsidR="009D51B4" w:rsidRDefault="009D51B4" w:rsidP="005B5547">
            <w:pPr>
              <w:spacing w:after="60"/>
              <w:rPr>
                <w:rFonts w:ascii="Verdana" w:hAnsi="Verdana"/>
                <w:sz w:val="18"/>
                <w:szCs w:val="18"/>
              </w:rPr>
            </w:pPr>
            <w:r>
              <w:rPr>
                <w:rFonts w:ascii="Verdana" w:hAnsi="Verdana"/>
                <w:sz w:val="18"/>
                <w:szCs w:val="18"/>
              </w:rPr>
              <w:t xml:space="preserve">ANC areas: </w:t>
            </w:r>
            <w:r w:rsidR="0007671D" w:rsidRPr="00C34DE9">
              <w:rPr>
                <w:rFonts w:ascii="Verdana" w:hAnsi="Verdana"/>
                <w:sz w:val="18"/>
                <w:szCs w:val="18"/>
              </w:rPr>
              <w:t>DG Agriculture and Rural Development on request.</w:t>
            </w:r>
          </w:p>
          <w:p w14:paraId="6D8CF040" w14:textId="67588811" w:rsidR="0007671D" w:rsidRPr="00C34DE9" w:rsidRDefault="009D51B4" w:rsidP="005B5547">
            <w:pPr>
              <w:spacing w:after="60"/>
              <w:rPr>
                <w:rFonts w:ascii="Verdana" w:hAnsi="Verdana"/>
                <w:sz w:val="18"/>
                <w:szCs w:val="18"/>
              </w:rPr>
            </w:pPr>
            <w:r>
              <w:rPr>
                <w:rFonts w:ascii="Verdana" w:hAnsi="Verdana"/>
                <w:sz w:val="18"/>
                <w:szCs w:val="18"/>
              </w:rPr>
              <w:t xml:space="preserve">Total UAA: Eurostat, table </w:t>
            </w:r>
            <w:r w:rsidR="006D0CBA">
              <w:rPr>
                <w:rFonts w:ascii="Verdana" w:hAnsi="Verdana"/>
                <w:sz w:val="18"/>
                <w:szCs w:val="18"/>
              </w:rPr>
              <w:t>[</w:t>
            </w:r>
            <w:hyperlink r:id="rId85" w:history="1">
              <w:r w:rsidR="009A449D" w:rsidRPr="009A449D">
                <w:rPr>
                  <w:rStyle w:val="Hyperlink"/>
                </w:rPr>
                <w:t>apro_cpsh1</w:t>
              </w:r>
            </w:hyperlink>
            <w:r w:rsidR="006D0CBA">
              <w:rPr>
                <w:rFonts w:ascii="Verdana" w:hAnsi="Verdana"/>
                <w:sz w:val="18"/>
                <w:szCs w:val="18"/>
              </w:rPr>
              <w:t>]</w:t>
            </w:r>
          </w:p>
        </w:tc>
      </w:tr>
      <w:tr w:rsidR="0007671D" w:rsidRPr="00C34DE9" w14:paraId="4BB5D7DA"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98D8D3D"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6704C33" w14:textId="07289449" w:rsidR="0007671D" w:rsidRPr="001D6460" w:rsidRDefault="0007671D" w:rsidP="005B5547">
            <w:pPr>
              <w:spacing w:after="60"/>
              <w:rPr>
                <w:rFonts w:ascii="Verdana" w:hAnsi="Verdana"/>
                <w:sz w:val="18"/>
                <w:szCs w:val="18"/>
              </w:rPr>
            </w:pPr>
            <w:r w:rsidRPr="00C34DE9">
              <w:rPr>
                <w:rFonts w:ascii="Verdana" w:hAnsi="Verdana"/>
                <w:sz w:val="18"/>
                <w:szCs w:val="18"/>
              </w:rPr>
              <w:t>National</w:t>
            </w:r>
            <w:r w:rsidR="003D5DC3">
              <w:rPr>
                <w:rFonts w:ascii="Verdana" w:hAnsi="Verdana"/>
                <w:sz w:val="18"/>
                <w:szCs w:val="18"/>
              </w:rPr>
              <w:t xml:space="preserve"> </w:t>
            </w:r>
            <w:r w:rsidR="003D5DC3" w:rsidRPr="001D6460">
              <w:rPr>
                <w:rFonts w:ascii="Verdana" w:hAnsi="Verdana"/>
                <w:sz w:val="18"/>
                <w:szCs w:val="18"/>
              </w:rPr>
              <w:t>(NUTS 0)</w:t>
            </w:r>
            <w:r w:rsidR="008201E9" w:rsidRPr="001D6460">
              <w:rPr>
                <w:rFonts w:ascii="Verdana" w:hAnsi="Verdana"/>
                <w:sz w:val="18"/>
                <w:szCs w:val="18"/>
              </w:rPr>
              <w:t>.</w:t>
            </w:r>
            <w:r w:rsidR="008201E9" w:rsidRPr="001D6460" w:rsidDel="008201E9">
              <w:rPr>
                <w:rFonts w:ascii="Verdana" w:hAnsi="Verdana"/>
                <w:sz w:val="18"/>
                <w:szCs w:val="18"/>
              </w:rPr>
              <w:t xml:space="preserve"> </w:t>
            </w:r>
          </w:p>
          <w:p w14:paraId="4D284812" w14:textId="77777777" w:rsidR="0007671D" w:rsidRPr="00C34DE9" w:rsidRDefault="0007671D" w:rsidP="008201E9">
            <w:pPr>
              <w:spacing w:after="60"/>
              <w:rPr>
                <w:rFonts w:ascii="Verdana" w:hAnsi="Verdana"/>
                <w:sz w:val="18"/>
                <w:szCs w:val="18"/>
              </w:rPr>
            </w:pPr>
            <w:r w:rsidRPr="001D6460">
              <w:rPr>
                <w:rFonts w:ascii="Verdana" w:hAnsi="Verdana"/>
                <w:sz w:val="18"/>
                <w:szCs w:val="18"/>
              </w:rPr>
              <w:t>Areas facing natural constraints, other than mountain</w:t>
            </w:r>
            <w:r w:rsidRPr="00C34DE9">
              <w:rPr>
                <w:rFonts w:ascii="Verdana" w:hAnsi="Verdana"/>
                <w:sz w:val="18"/>
                <w:szCs w:val="18"/>
              </w:rPr>
              <w:t xml:space="preserve">: Data are reported at the level of LAU2 or another LAU (a number of Member States use different </w:t>
            </w:r>
            <w:r w:rsidRPr="00C34DE9">
              <w:rPr>
                <w:rFonts w:ascii="Verdana" w:hAnsi="Verdana"/>
                <w:sz w:val="18"/>
                <w:szCs w:val="18"/>
              </w:rPr>
              <w:lastRenderedPageBreak/>
              <w:t xml:space="preserve">administrative units for the delimitation of these areas). </w:t>
            </w:r>
          </w:p>
          <w:p w14:paraId="1D61CB02" w14:textId="77777777" w:rsidR="0007671D" w:rsidRPr="00C34DE9" w:rsidDel="00F9611E" w:rsidRDefault="0007671D" w:rsidP="005B5547">
            <w:pPr>
              <w:spacing w:after="60"/>
              <w:jc w:val="both"/>
              <w:rPr>
                <w:rFonts w:ascii="Verdana" w:hAnsi="Verdana"/>
                <w:sz w:val="18"/>
                <w:szCs w:val="18"/>
              </w:rPr>
            </w:pPr>
            <w:r w:rsidRPr="00C34DE9">
              <w:rPr>
                <w:rFonts w:ascii="Verdana" w:hAnsi="Verdana"/>
                <w:sz w:val="18"/>
                <w:szCs w:val="18"/>
              </w:rPr>
              <w:t xml:space="preserve">Areas affected by specific constraints: Data collection may be carried out at the level of area designation. In case the designation is carried out according to the "combination of biophysical criteria", as defined in the third paragraph of Article 32(4) of Regulation (EU) No 1305/2013, the data collection level should be LAU2 or another clearly delineated local unit. </w:t>
            </w:r>
          </w:p>
        </w:tc>
      </w:tr>
      <w:tr w:rsidR="0007671D" w:rsidRPr="00C34DE9" w14:paraId="74D81C8C"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A26B504"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lastRenderedPageBreak/>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9FB26BB" w14:textId="77777777" w:rsidR="0007671D" w:rsidRDefault="0007671D" w:rsidP="005B5547">
            <w:pPr>
              <w:spacing w:after="60"/>
              <w:rPr>
                <w:rFonts w:ascii="Verdana" w:hAnsi="Verdana"/>
                <w:sz w:val="18"/>
                <w:szCs w:val="18"/>
              </w:rPr>
            </w:pPr>
            <w:r w:rsidRPr="00C34DE9">
              <w:rPr>
                <w:rFonts w:ascii="Verdana" w:eastAsia="Times New Roman" w:hAnsi="Verdana"/>
                <w:sz w:val="18"/>
                <w:szCs w:val="18"/>
              </w:rPr>
              <w:t>Data available at present: At the moment d</w:t>
            </w:r>
            <w:r w:rsidRPr="00C34DE9">
              <w:rPr>
                <w:rFonts w:ascii="Verdana" w:hAnsi="Verdana"/>
                <w:sz w:val="18"/>
                <w:szCs w:val="18"/>
              </w:rPr>
              <w:t xml:space="preserve">ata on LFAs are from 2005 (and from 2007 in the case of BG and RO). </w:t>
            </w:r>
          </w:p>
          <w:p w14:paraId="1309AA54" w14:textId="209B1720" w:rsidR="004E4A46" w:rsidRPr="00C34DE9" w:rsidRDefault="008E6BE1" w:rsidP="009D51B4">
            <w:pPr>
              <w:spacing w:after="60"/>
              <w:jc w:val="both"/>
              <w:rPr>
                <w:rFonts w:ascii="Verdana" w:hAnsi="Verdana"/>
                <w:sz w:val="18"/>
                <w:szCs w:val="18"/>
              </w:rPr>
            </w:pPr>
            <w:r>
              <w:rPr>
                <w:rFonts w:ascii="Verdana" w:hAnsi="Verdana"/>
                <w:sz w:val="18"/>
                <w:szCs w:val="18"/>
              </w:rPr>
              <w:t>Data on ANCs are complete since 2</w:t>
            </w:r>
            <w:r w:rsidR="3C8CF28E">
              <w:rPr>
                <w:rFonts w:ascii="Verdana" w:hAnsi="Verdana"/>
                <w:sz w:val="18"/>
                <w:szCs w:val="18"/>
              </w:rPr>
              <w:t>020.</w:t>
            </w:r>
          </w:p>
        </w:tc>
      </w:tr>
      <w:tr w:rsidR="0007671D" w:rsidRPr="00C34DE9" w14:paraId="0B02043F"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21CC245E"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F9BE737" w14:textId="77777777" w:rsidR="0007671D" w:rsidRPr="00C34DE9" w:rsidRDefault="008E6BE1" w:rsidP="005B5547">
            <w:pPr>
              <w:spacing w:after="60"/>
              <w:rPr>
                <w:rFonts w:ascii="Verdana" w:hAnsi="Verdana"/>
                <w:sz w:val="18"/>
                <w:szCs w:val="18"/>
                <w:lang w:val="en-US"/>
              </w:rPr>
            </w:pPr>
            <w:r>
              <w:rPr>
                <w:rFonts w:ascii="Verdana" w:hAnsi="Verdana"/>
                <w:sz w:val="18"/>
                <w:szCs w:val="18"/>
                <w:lang w:val="en-US"/>
              </w:rPr>
              <w:t>Whenever MS update their ANC delimitation.</w:t>
            </w:r>
          </w:p>
        </w:tc>
      </w:tr>
      <w:tr w:rsidR="0007671D" w:rsidRPr="00C34DE9" w14:paraId="092B4D8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769A180"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A65A9AE" w14:textId="3ACD7722" w:rsidR="0013277C" w:rsidRPr="00C34DE9" w:rsidRDefault="0013277C" w:rsidP="004E4A46">
            <w:pPr>
              <w:spacing w:after="60"/>
              <w:jc w:val="both"/>
              <w:rPr>
                <w:rFonts w:ascii="Verdana" w:hAnsi="Verdana"/>
                <w:sz w:val="18"/>
                <w:szCs w:val="18"/>
              </w:rPr>
            </w:pPr>
          </w:p>
        </w:tc>
      </w:tr>
    </w:tbl>
    <w:p w14:paraId="5D4B1627" w14:textId="77777777" w:rsidR="001174AF" w:rsidRPr="00C34DE9" w:rsidRDefault="001174AF">
      <w:pPr>
        <w:rPr>
          <w:rFonts w:ascii="Verdana" w:hAnsi="Verdana"/>
          <w:sz w:val="18"/>
          <w:szCs w:val="18"/>
        </w:rPr>
      </w:pPr>
    </w:p>
    <w:p w14:paraId="249DC0A5" w14:textId="77777777" w:rsidR="00BB5AD3" w:rsidRPr="00C34DE9" w:rsidRDefault="00BD6BF6">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71"/>
      </w:tblGrid>
      <w:tr w:rsidR="00BB5AD3" w:rsidRPr="00C34DE9" w14:paraId="679C9265" w14:textId="77777777" w:rsidTr="240ABBB4">
        <w:trPr>
          <w:trHeight w:val="411"/>
        </w:trPr>
        <w:tc>
          <w:tcPr>
            <w:tcW w:w="2660" w:type="dxa"/>
            <w:shd w:val="clear" w:color="auto" w:fill="00B0F0"/>
          </w:tcPr>
          <w:p w14:paraId="52F431B0" w14:textId="77777777" w:rsidR="00BB5AD3" w:rsidRPr="00C34DE9" w:rsidRDefault="006D0CBA" w:rsidP="5CB4B133">
            <w:pPr>
              <w:spacing w:after="60" w:line="240" w:lineRule="auto"/>
              <w:rPr>
                <w:rFonts w:ascii="Verdana" w:hAnsi="Verdana"/>
                <w:b/>
                <w:bCs/>
                <w:sz w:val="18"/>
                <w:szCs w:val="18"/>
              </w:rPr>
            </w:pPr>
            <w:bookmarkStart w:id="25" w:name="C21"/>
            <w:r w:rsidRPr="5CB4B133">
              <w:rPr>
                <w:rFonts w:ascii="Verdana" w:hAnsi="Verdana"/>
                <w:b/>
                <w:bCs/>
                <w:smallCaps/>
                <w:sz w:val="18"/>
                <w:szCs w:val="18"/>
              </w:rPr>
              <w:lastRenderedPageBreak/>
              <w:t>Indicator</w:t>
            </w:r>
            <w:r w:rsidR="00BB5AD3" w:rsidRPr="5CB4B133">
              <w:rPr>
                <w:rFonts w:ascii="Verdana" w:hAnsi="Verdana"/>
                <w:b/>
                <w:bCs/>
                <w:sz w:val="18"/>
                <w:szCs w:val="18"/>
              </w:rPr>
              <w:t xml:space="preserve"> </w:t>
            </w:r>
            <w:r w:rsidR="00BB5AD3" w:rsidRPr="5CB4B133">
              <w:rPr>
                <w:rFonts w:ascii="Verdana" w:hAnsi="Verdana"/>
                <w:b/>
                <w:bCs/>
                <w:smallCaps/>
                <w:sz w:val="18"/>
                <w:szCs w:val="18"/>
              </w:rPr>
              <w:t>C.21</w:t>
            </w:r>
            <w:bookmarkEnd w:id="25"/>
          </w:p>
        </w:tc>
        <w:tc>
          <w:tcPr>
            <w:tcW w:w="7371" w:type="dxa"/>
            <w:shd w:val="clear" w:color="auto" w:fill="00B0F0"/>
          </w:tcPr>
          <w:p w14:paraId="7D230C2B" w14:textId="63CBE0AC" w:rsidR="007A33E8" w:rsidRPr="007A33E8" w:rsidRDefault="007A33E8" w:rsidP="007A33E8">
            <w:pPr>
              <w:spacing w:after="60"/>
              <w:rPr>
                <w:rFonts w:ascii="Verdana" w:hAnsi="Verdana"/>
                <w:caps/>
                <w:sz w:val="18"/>
                <w:szCs w:val="18"/>
              </w:rPr>
            </w:pPr>
            <w:bookmarkStart w:id="26" w:name="I20"/>
            <w:r w:rsidRPr="5CB4B133">
              <w:rPr>
                <w:rFonts w:ascii="Verdana" w:hAnsi="Verdana"/>
                <w:b/>
                <w:bCs/>
                <w:sz w:val="18"/>
                <w:szCs w:val="18"/>
              </w:rPr>
              <w:t xml:space="preserve">Indicator </w:t>
            </w:r>
            <w:r w:rsidRPr="5CB4B133">
              <w:rPr>
                <w:rFonts w:ascii="Verdana" w:hAnsi="Verdana"/>
                <w:b/>
                <w:bCs/>
                <w:caps/>
                <w:sz w:val="18"/>
                <w:szCs w:val="18"/>
              </w:rPr>
              <w:t>I.2</w:t>
            </w:r>
            <w:r w:rsidR="00235122">
              <w:rPr>
                <w:rFonts w:ascii="Verdana" w:hAnsi="Verdana"/>
                <w:b/>
                <w:bCs/>
                <w:caps/>
                <w:sz w:val="18"/>
                <w:szCs w:val="18"/>
              </w:rPr>
              <w:t>1</w:t>
            </w:r>
            <w:r w:rsidRPr="5CB4B133">
              <w:rPr>
                <w:rFonts w:ascii="Verdana" w:hAnsi="Verdana"/>
                <w:b/>
                <w:bCs/>
                <w:caps/>
                <w:sz w:val="18"/>
                <w:szCs w:val="18"/>
              </w:rPr>
              <w:t xml:space="preserve"> </w:t>
            </w:r>
            <w:bookmarkEnd w:id="26"/>
            <w:r w:rsidRPr="5CB4B133">
              <w:rPr>
                <w:rFonts w:ascii="Verdana" w:hAnsi="Verdana"/>
                <w:b/>
                <w:bCs/>
                <w:sz w:val="18"/>
                <w:szCs w:val="18"/>
              </w:rPr>
              <w:t>Enhanc</w:t>
            </w:r>
            <w:r w:rsidR="00235122">
              <w:rPr>
                <w:rFonts w:ascii="Verdana" w:hAnsi="Verdana"/>
                <w:b/>
                <w:bCs/>
                <w:sz w:val="18"/>
                <w:szCs w:val="18"/>
              </w:rPr>
              <w:t>ing</w:t>
            </w:r>
            <w:r w:rsidRPr="5CB4B133">
              <w:rPr>
                <w:rFonts w:ascii="Verdana" w:hAnsi="Verdana"/>
                <w:b/>
                <w:bCs/>
                <w:sz w:val="18"/>
                <w:szCs w:val="18"/>
              </w:rPr>
              <w:t xml:space="preserve"> provision of ecosystem services</w:t>
            </w:r>
            <w:r w:rsidRPr="007A33E8">
              <w:rPr>
                <w:rFonts w:ascii="Verdana" w:hAnsi="Verdana"/>
                <w:sz w:val="18"/>
                <w:szCs w:val="18"/>
              </w:rPr>
              <w:t>:</w:t>
            </w:r>
          </w:p>
          <w:p w14:paraId="4496C8A7" w14:textId="3593F482" w:rsidR="00BB5AD3" w:rsidRPr="00C34DE9" w:rsidRDefault="007A33E8" w:rsidP="00A959CE">
            <w:pPr>
              <w:spacing w:after="60"/>
              <w:rPr>
                <w:rFonts w:ascii="Verdana" w:hAnsi="Verdana"/>
                <w:caps/>
                <w:sz w:val="18"/>
                <w:szCs w:val="18"/>
              </w:rPr>
            </w:pPr>
            <w:r>
              <w:rPr>
                <w:rFonts w:ascii="Verdana" w:hAnsi="Verdana"/>
                <w:sz w:val="18"/>
                <w:szCs w:val="18"/>
              </w:rPr>
              <w:t>S</w:t>
            </w:r>
            <w:r w:rsidRPr="007A33E8">
              <w:rPr>
                <w:rFonts w:ascii="Verdana" w:hAnsi="Verdana"/>
                <w:sz w:val="18"/>
                <w:szCs w:val="18"/>
              </w:rPr>
              <w:t xml:space="preserve">hare of </w:t>
            </w:r>
            <w:r w:rsidR="00A959CE">
              <w:rPr>
                <w:rFonts w:ascii="Verdana" w:hAnsi="Verdana"/>
                <w:sz w:val="18"/>
                <w:szCs w:val="18"/>
              </w:rPr>
              <w:t xml:space="preserve">agricultural land </w:t>
            </w:r>
            <w:r w:rsidRPr="007A33E8">
              <w:rPr>
                <w:rFonts w:ascii="Verdana" w:hAnsi="Verdana"/>
                <w:sz w:val="18"/>
                <w:szCs w:val="18"/>
              </w:rPr>
              <w:t>covered with landscape features</w:t>
            </w:r>
          </w:p>
        </w:tc>
      </w:tr>
      <w:tr w:rsidR="00BB5AD3" w:rsidRPr="00C34DE9" w14:paraId="173DAF42" w14:textId="77777777" w:rsidTr="240ABBB4">
        <w:trPr>
          <w:trHeight w:val="556"/>
        </w:trPr>
        <w:tc>
          <w:tcPr>
            <w:tcW w:w="2660" w:type="dxa"/>
            <w:shd w:val="clear" w:color="auto" w:fill="auto"/>
          </w:tcPr>
          <w:p w14:paraId="2F217556"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371" w:type="dxa"/>
            <w:shd w:val="clear" w:color="auto" w:fill="auto"/>
          </w:tcPr>
          <w:p w14:paraId="319F42F4" w14:textId="77777777" w:rsidR="008E6BE1" w:rsidRDefault="00BB5AD3" w:rsidP="5CB4B133">
            <w:pPr>
              <w:spacing w:after="60"/>
              <w:jc w:val="center"/>
              <w:rPr>
                <w:rFonts w:ascii="Verdana" w:hAnsi="Verdana"/>
                <w:b/>
                <w:bCs/>
                <w:color w:val="808080"/>
                <w:sz w:val="18"/>
                <w:szCs w:val="18"/>
              </w:rPr>
            </w:pPr>
            <w:r w:rsidRPr="5CB4B133">
              <w:rPr>
                <w:rFonts w:ascii="Verdana" w:hAnsi="Verdana" w:cs="Calibri"/>
                <w:b/>
                <w:bCs/>
                <w:sz w:val="18"/>
                <w:szCs w:val="18"/>
              </w:rPr>
              <w:t>Agricultural land covered with landscape features</w:t>
            </w:r>
            <w:r w:rsidRPr="5CB4B133">
              <w:rPr>
                <w:rFonts w:ascii="Verdana" w:hAnsi="Verdana"/>
                <w:b/>
                <w:bCs/>
                <w:color w:val="808080"/>
                <w:sz w:val="18"/>
                <w:szCs w:val="18"/>
              </w:rPr>
              <w:t xml:space="preserve"> </w:t>
            </w:r>
          </w:p>
          <w:p w14:paraId="45D854E5" w14:textId="0817F64C" w:rsidR="00BB5AD3" w:rsidRPr="008E6BE1" w:rsidRDefault="00BB5AD3" w:rsidP="002E07A6">
            <w:pPr>
              <w:spacing w:after="60"/>
              <w:jc w:val="center"/>
              <w:rPr>
                <w:rFonts w:ascii="Verdana" w:hAnsi="Verdana"/>
                <w:i/>
                <w:sz w:val="18"/>
                <w:szCs w:val="18"/>
              </w:rPr>
            </w:pPr>
          </w:p>
        </w:tc>
      </w:tr>
      <w:tr w:rsidR="00BB5AD3" w:rsidRPr="00C34DE9" w14:paraId="2614F129" w14:textId="77777777" w:rsidTr="240ABBB4">
        <w:trPr>
          <w:trHeight w:val="3999"/>
        </w:trPr>
        <w:tc>
          <w:tcPr>
            <w:tcW w:w="2660" w:type="dxa"/>
            <w:shd w:val="clear" w:color="auto" w:fill="auto"/>
          </w:tcPr>
          <w:p w14:paraId="34793731" w14:textId="77777777" w:rsidR="00BB5AD3" w:rsidRPr="00DA1DA0" w:rsidRDefault="00BB5AD3" w:rsidP="790C88FB">
            <w:pPr>
              <w:pStyle w:val="NormalWeb"/>
              <w:spacing w:before="0" w:beforeAutospacing="0" w:after="60" w:afterAutospacing="0"/>
              <w:rPr>
                <w:rFonts w:ascii="Verdana" w:hAnsi="Verdana" w:cs="Calibri"/>
                <w:sz w:val="18"/>
                <w:szCs w:val="18"/>
              </w:rPr>
            </w:pPr>
            <w:r w:rsidRPr="00DA1DA0">
              <w:rPr>
                <w:rFonts w:ascii="Verdana" w:hAnsi="Verdana" w:cs="Calibri"/>
                <w:sz w:val="18"/>
                <w:szCs w:val="18"/>
              </w:rPr>
              <w:t>Definition</w:t>
            </w:r>
          </w:p>
        </w:tc>
        <w:tc>
          <w:tcPr>
            <w:tcW w:w="7371" w:type="dxa"/>
            <w:shd w:val="clear" w:color="auto" w:fill="auto"/>
            <w:vAlign w:val="center"/>
          </w:tcPr>
          <w:p w14:paraId="29471FD4" w14:textId="309EF899" w:rsidR="002F6287" w:rsidRDefault="002F6287" w:rsidP="790C88FB">
            <w:pPr>
              <w:pStyle w:val="NormalWeb"/>
              <w:spacing w:before="0" w:beforeAutospacing="0" w:after="60" w:afterAutospacing="0"/>
              <w:rPr>
                <w:rFonts w:ascii="Verdana" w:hAnsi="Verdana" w:cs="Calibri"/>
                <w:sz w:val="18"/>
                <w:szCs w:val="18"/>
              </w:rPr>
            </w:pPr>
            <w:r w:rsidRPr="00DA1DA0">
              <w:rPr>
                <w:rFonts w:ascii="Verdana" w:hAnsi="Verdana" w:cs="Calibri"/>
                <w:sz w:val="18"/>
                <w:szCs w:val="18"/>
              </w:rPr>
              <w:t>This indicator aims to estimate the area covered by landscape features in the agricultural land. Landscape features may include linear elements (e.g. hedgerows) and patches (e.g. trees, woodland, etc.), water &amp; wet spots (ponds, water bodies, streams, etc.); moderately managed areas (e.g. field margins), etc.</w:t>
            </w:r>
          </w:p>
          <w:p w14:paraId="5DB3DFB8" w14:textId="232BF478" w:rsidR="00A51D1A" w:rsidRPr="00DA1DA0" w:rsidRDefault="00A51D1A" w:rsidP="790C88FB">
            <w:pPr>
              <w:pStyle w:val="NormalWeb"/>
              <w:spacing w:before="0" w:beforeAutospacing="0" w:after="60" w:afterAutospacing="0"/>
              <w:rPr>
                <w:rFonts w:ascii="Verdana" w:hAnsi="Verdana" w:cs="Calibri"/>
                <w:sz w:val="18"/>
                <w:szCs w:val="18"/>
              </w:rPr>
            </w:pPr>
            <w:r w:rsidRPr="00A51D1A">
              <w:rPr>
                <w:rFonts w:ascii="Verdana" w:hAnsi="Verdana" w:cs="Calibri"/>
                <w:sz w:val="18"/>
                <w:szCs w:val="18"/>
              </w:rPr>
              <w:t>Landscape features support biodiversity and ecosystem services. Therefore, they provide many benefits to agro-ecosystems and the wider environment, including habitat provision, mitigation of soil erosion, improvement of soil fertility, water flow regulation, water courses protection, climate change mitigation and adaptation.</w:t>
            </w:r>
          </w:p>
          <w:p w14:paraId="289CD75E" w14:textId="77777777" w:rsidR="00C943BF" w:rsidRPr="00DA1DA0" w:rsidRDefault="00C943BF" w:rsidP="790C88FB">
            <w:pPr>
              <w:pStyle w:val="NormalWeb"/>
              <w:spacing w:before="0" w:beforeAutospacing="0" w:after="60" w:afterAutospacing="0"/>
              <w:rPr>
                <w:rFonts w:ascii="Verdana" w:hAnsi="Verdana" w:cs="Calibri"/>
                <w:sz w:val="18"/>
                <w:szCs w:val="18"/>
              </w:rPr>
            </w:pPr>
            <w:r w:rsidRPr="00DA1DA0">
              <w:rPr>
                <w:rFonts w:ascii="Verdana" w:hAnsi="Verdana" w:cs="Calibri"/>
                <w:sz w:val="18"/>
                <w:szCs w:val="18"/>
              </w:rPr>
              <w:t xml:space="preserve">This indicator consists of 2 </w:t>
            </w:r>
            <w:r w:rsidR="00DD478B" w:rsidRPr="00DA1DA0">
              <w:rPr>
                <w:rFonts w:ascii="Verdana" w:hAnsi="Verdana" w:cs="Calibri"/>
                <w:sz w:val="18"/>
                <w:szCs w:val="18"/>
              </w:rPr>
              <w:t>specific indicators</w:t>
            </w:r>
            <w:r w:rsidRPr="00DA1DA0">
              <w:rPr>
                <w:rFonts w:ascii="Verdana" w:hAnsi="Verdana" w:cs="Calibri"/>
                <w:sz w:val="18"/>
                <w:szCs w:val="18"/>
              </w:rPr>
              <w:t xml:space="preserve">: </w:t>
            </w:r>
          </w:p>
          <w:p w14:paraId="06A3A822" w14:textId="1F7713BB" w:rsidR="00C943BF" w:rsidRPr="00DA1DA0" w:rsidRDefault="00C943BF" w:rsidP="790C88FB">
            <w:pPr>
              <w:pStyle w:val="NormalWeb"/>
              <w:numPr>
                <w:ilvl w:val="0"/>
                <w:numId w:val="104"/>
              </w:numPr>
              <w:shd w:val="clear" w:color="auto" w:fill="00B0F0"/>
              <w:spacing w:before="0" w:beforeAutospacing="0" w:after="60" w:afterAutospacing="0"/>
              <w:rPr>
                <w:rFonts w:ascii="Verdana" w:hAnsi="Verdana" w:cs="Calibri"/>
                <w:sz w:val="18"/>
                <w:szCs w:val="18"/>
              </w:rPr>
            </w:pPr>
            <w:r w:rsidRPr="00DA1DA0">
              <w:rPr>
                <w:rFonts w:ascii="Verdana" w:hAnsi="Verdana" w:cs="Calibri"/>
                <w:sz w:val="18"/>
                <w:szCs w:val="18"/>
              </w:rPr>
              <w:t>The share of agricultural land covered with landscape features</w:t>
            </w:r>
            <w:r w:rsidRPr="00DA1DA0" w:rsidDel="00C943BF">
              <w:rPr>
                <w:rFonts w:ascii="Verdana" w:hAnsi="Verdana" w:cs="Calibri"/>
                <w:sz w:val="18"/>
                <w:szCs w:val="18"/>
              </w:rPr>
              <w:t xml:space="preserve"> </w:t>
            </w:r>
            <w:r w:rsidRPr="00DA1DA0">
              <w:rPr>
                <w:rFonts w:ascii="Verdana" w:hAnsi="Verdana" w:cs="Calibri"/>
                <w:sz w:val="18"/>
                <w:szCs w:val="18"/>
              </w:rPr>
              <w:t>(I.2</w:t>
            </w:r>
            <w:r w:rsidR="00235122">
              <w:rPr>
                <w:rFonts w:ascii="Verdana" w:hAnsi="Verdana" w:cs="Calibri"/>
                <w:sz w:val="18"/>
                <w:szCs w:val="18"/>
              </w:rPr>
              <w:t>1</w:t>
            </w:r>
            <w:r w:rsidRPr="00DA1DA0">
              <w:rPr>
                <w:rFonts w:ascii="Verdana" w:hAnsi="Verdana" w:cs="Calibri"/>
                <w:sz w:val="18"/>
                <w:szCs w:val="18"/>
              </w:rPr>
              <w:t>)</w:t>
            </w:r>
            <w:r w:rsidR="003F141E" w:rsidRPr="00DA1DA0">
              <w:rPr>
                <w:rFonts w:ascii="Verdana" w:hAnsi="Verdana" w:cs="Calibri"/>
                <w:sz w:val="18"/>
                <w:szCs w:val="18"/>
              </w:rPr>
              <w:t>, and</w:t>
            </w:r>
          </w:p>
          <w:p w14:paraId="326349DA" w14:textId="6B29EAF8" w:rsidR="00BB5AD3" w:rsidRPr="0032562E" w:rsidRDefault="003F141E" w:rsidP="3F2573B5">
            <w:pPr>
              <w:pStyle w:val="NormalWeb"/>
              <w:numPr>
                <w:ilvl w:val="0"/>
                <w:numId w:val="104"/>
              </w:numPr>
              <w:spacing w:before="0" w:beforeAutospacing="0" w:after="60" w:afterAutospacing="0"/>
              <w:rPr>
                <w:rFonts w:ascii="Verdana" w:hAnsi="Verdana" w:cs="Calibri"/>
                <w:sz w:val="18"/>
                <w:szCs w:val="18"/>
              </w:rPr>
            </w:pPr>
            <w:r w:rsidRPr="00DA1DA0">
              <w:rPr>
                <w:rFonts w:ascii="Verdana" w:hAnsi="Verdana" w:cs="Calibri"/>
                <w:sz w:val="18"/>
                <w:szCs w:val="18"/>
              </w:rPr>
              <w:t xml:space="preserve">An </w:t>
            </w:r>
            <w:r w:rsidR="00035236" w:rsidRPr="00DA1DA0">
              <w:rPr>
                <w:rFonts w:ascii="Verdana" w:hAnsi="Verdana" w:cs="Calibri"/>
                <w:sz w:val="18"/>
                <w:szCs w:val="18"/>
              </w:rPr>
              <w:t>elaborat</w:t>
            </w:r>
            <w:r w:rsidRPr="00DA1DA0">
              <w:rPr>
                <w:rFonts w:ascii="Verdana" w:hAnsi="Verdana" w:cs="Calibri"/>
                <w:sz w:val="18"/>
                <w:szCs w:val="18"/>
              </w:rPr>
              <w:t xml:space="preserve">ed index of landscape </w:t>
            </w:r>
            <w:r w:rsidR="00F22DBD">
              <w:rPr>
                <w:rFonts w:ascii="Verdana" w:hAnsi="Verdana" w:cs="Calibri"/>
                <w:sz w:val="18"/>
                <w:szCs w:val="18"/>
              </w:rPr>
              <w:t>elements structure (under development)</w:t>
            </w:r>
            <w:r w:rsidRPr="00DA1DA0">
              <w:rPr>
                <w:rFonts w:ascii="Verdana" w:hAnsi="Verdana" w:cs="Calibri"/>
                <w:sz w:val="18"/>
                <w:szCs w:val="18"/>
              </w:rPr>
              <w:t>.</w:t>
            </w:r>
          </w:p>
        </w:tc>
      </w:tr>
      <w:tr w:rsidR="00BB5AD3" w:rsidRPr="00C34DE9" w14:paraId="3FCEFFB7" w14:textId="77777777" w:rsidTr="240ABBB4">
        <w:tc>
          <w:tcPr>
            <w:tcW w:w="2660" w:type="dxa"/>
            <w:shd w:val="clear" w:color="auto" w:fill="auto"/>
          </w:tcPr>
          <w:p w14:paraId="0C7477E2"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371" w:type="dxa"/>
            <w:shd w:val="clear" w:color="auto" w:fill="auto"/>
          </w:tcPr>
          <w:p w14:paraId="6B27BF3D" w14:textId="2B884F8D" w:rsidR="002F6287" w:rsidRDefault="00C943BF" w:rsidP="002F6287">
            <w:pPr>
              <w:spacing w:after="60" w:line="240" w:lineRule="auto"/>
              <w:jc w:val="both"/>
              <w:rPr>
                <w:rFonts w:ascii="Verdana" w:hAnsi="Verdana"/>
                <w:sz w:val="18"/>
                <w:szCs w:val="18"/>
              </w:rPr>
            </w:pPr>
            <w:r>
              <w:rPr>
                <w:rFonts w:ascii="Verdana" w:hAnsi="Verdana"/>
                <w:sz w:val="18"/>
                <w:szCs w:val="18"/>
              </w:rPr>
              <w:t>1</w:t>
            </w:r>
            <w:r w:rsidR="00156141">
              <w:rPr>
                <w:rFonts w:ascii="Verdana" w:hAnsi="Verdana"/>
                <w:sz w:val="18"/>
                <w:szCs w:val="18"/>
              </w:rPr>
              <w:t>:</w:t>
            </w:r>
            <w:r>
              <w:rPr>
                <w:rFonts w:ascii="Verdana" w:hAnsi="Verdana"/>
                <w:sz w:val="18"/>
                <w:szCs w:val="18"/>
              </w:rPr>
              <w:t xml:space="preserve"> </w:t>
            </w:r>
            <w:r w:rsidR="003F141E">
              <w:rPr>
                <w:rFonts w:ascii="Verdana" w:hAnsi="Verdana"/>
                <w:sz w:val="18"/>
                <w:szCs w:val="18"/>
              </w:rPr>
              <w:t>%</w:t>
            </w:r>
          </w:p>
          <w:p w14:paraId="6EE07274" w14:textId="7B6830A5" w:rsidR="003F141E" w:rsidRPr="00C85E23" w:rsidRDefault="00C85E23" w:rsidP="00C85E23">
            <w:pPr>
              <w:spacing w:after="60" w:line="240" w:lineRule="auto"/>
              <w:jc w:val="both"/>
              <w:rPr>
                <w:rFonts w:ascii="Verdana" w:hAnsi="Verdana"/>
                <w:sz w:val="18"/>
                <w:szCs w:val="18"/>
              </w:rPr>
            </w:pPr>
            <w:r>
              <w:t xml:space="preserve">2: </w:t>
            </w:r>
            <w:r w:rsidR="003F141E" w:rsidRPr="00C85E23">
              <w:rPr>
                <w:rFonts w:ascii="Verdana" w:hAnsi="Verdana"/>
                <w:sz w:val="18"/>
                <w:szCs w:val="18"/>
              </w:rPr>
              <w:t xml:space="preserve">Still to be defined </w:t>
            </w:r>
          </w:p>
          <w:p w14:paraId="48B41679" w14:textId="3695E797" w:rsidR="00C943BF" w:rsidRPr="00C34DE9" w:rsidRDefault="00BB5AD3" w:rsidP="002F6287">
            <w:pPr>
              <w:spacing w:after="60" w:line="240" w:lineRule="auto"/>
              <w:jc w:val="both"/>
              <w:rPr>
                <w:rFonts w:ascii="Verdana" w:hAnsi="Verdana"/>
                <w:sz w:val="18"/>
                <w:szCs w:val="18"/>
              </w:rPr>
            </w:pPr>
            <w:r w:rsidRPr="00C34DE9">
              <w:rPr>
                <w:rFonts w:ascii="Verdana" w:hAnsi="Verdana"/>
                <w:sz w:val="18"/>
                <w:szCs w:val="18"/>
              </w:rPr>
              <w:t xml:space="preserve">(Could be complemented with some statistics to reflect on spatial </w:t>
            </w:r>
            <w:r w:rsidR="002F6287">
              <w:rPr>
                <w:rFonts w:ascii="Verdana" w:hAnsi="Verdana"/>
                <w:sz w:val="18"/>
                <w:szCs w:val="18"/>
              </w:rPr>
              <w:t>configuration</w:t>
            </w:r>
            <w:r w:rsidR="002F6287" w:rsidRPr="00C34DE9">
              <w:rPr>
                <w:rFonts w:ascii="Verdana" w:hAnsi="Verdana"/>
                <w:sz w:val="18"/>
                <w:szCs w:val="18"/>
              </w:rPr>
              <w:t xml:space="preserve"> </w:t>
            </w:r>
            <w:r w:rsidRPr="00C34DE9">
              <w:rPr>
                <w:rFonts w:ascii="Verdana" w:hAnsi="Verdana"/>
                <w:sz w:val="18"/>
                <w:szCs w:val="18"/>
              </w:rPr>
              <w:t>of features)</w:t>
            </w:r>
          </w:p>
        </w:tc>
      </w:tr>
      <w:tr w:rsidR="00BB5AD3" w:rsidRPr="00C34DE9" w14:paraId="49F1DF66" w14:textId="77777777" w:rsidTr="240ABBB4">
        <w:tc>
          <w:tcPr>
            <w:tcW w:w="2660" w:type="dxa"/>
            <w:shd w:val="clear" w:color="auto" w:fill="auto"/>
          </w:tcPr>
          <w:p w14:paraId="0334EE92"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371" w:type="dxa"/>
            <w:shd w:val="clear" w:color="auto" w:fill="auto"/>
            <w:vAlign w:val="center"/>
          </w:tcPr>
          <w:p w14:paraId="20B0F769" w14:textId="77777777" w:rsidR="00BB5AD3" w:rsidRPr="00C34DE9" w:rsidRDefault="00BB5AD3" w:rsidP="00BB5AD3">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2 possible sources:</w:t>
            </w:r>
          </w:p>
          <w:p w14:paraId="40103C9B" w14:textId="2FE26818" w:rsidR="00BB5AD3" w:rsidRPr="00C34DE9" w:rsidRDefault="00BB5AD3" w:rsidP="002F6287">
            <w:pPr>
              <w:autoSpaceDE w:val="0"/>
              <w:autoSpaceDN w:val="0"/>
              <w:adjustRightInd w:val="0"/>
              <w:spacing w:after="60"/>
              <w:jc w:val="both"/>
              <w:rPr>
                <w:rFonts w:ascii="Verdana" w:hAnsi="Verdana"/>
                <w:sz w:val="18"/>
                <w:szCs w:val="18"/>
              </w:rPr>
            </w:pPr>
            <w:r w:rsidRPr="00C34DE9">
              <w:rPr>
                <w:rFonts w:ascii="Verdana" w:hAnsi="Verdana" w:cs="Calibri"/>
                <w:sz w:val="18"/>
                <w:szCs w:val="18"/>
              </w:rPr>
              <w:t xml:space="preserve">Copernicus Land Monitoring Service fed with LPIS/IACS. Copernicus is the European </w:t>
            </w:r>
            <w:r w:rsidR="002F6287" w:rsidRPr="00560A75">
              <w:rPr>
                <w:rFonts w:ascii="Verdana" w:hAnsi="Verdana" w:cs="Calibri"/>
                <w:sz w:val="18"/>
                <w:szCs w:val="18"/>
              </w:rPr>
              <w:t>Union's Earth Observation Programme</w:t>
            </w:r>
            <w:r w:rsidR="002F6287">
              <w:rPr>
                <w:rFonts w:ascii="Verdana" w:hAnsi="Verdana" w:cs="Calibri"/>
                <w:sz w:val="18"/>
                <w:szCs w:val="18"/>
              </w:rPr>
              <w:t>.</w:t>
            </w:r>
            <w:r w:rsidR="002F6287" w:rsidRPr="00C34DE9" w:rsidDel="002F6287">
              <w:rPr>
                <w:rFonts w:ascii="Verdana" w:hAnsi="Verdana" w:cs="Calibri"/>
                <w:sz w:val="18"/>
                <w:szCs w:val="18"/>
              </w:rPr>
              <w:t xml:space="preserve"> </w:t>
            </w:r>
            <w:r w:rsidRPr="00C34DE9">
              <w:rPr>
                <w:rFonts w:ascii="Verdana" w:hAnsi="Verdana" w:cs="Calibri"/>
                <w:sz w:val="18"/>
                <w:szCs w:val="18"/>
              </w:rPr>
              <w:t>Land use/cover Area frame statistical Survey (LUCAS</w:t>
            </w:r>
            <w:r w:rsidR="002F6287">
              <w:rPr>
                <w:rFonts w:ascii="Verdana" w:hAnsi="Verdana" w:cs="Calibri"/>
                <w:sz w:val="18"/>
                <w:szCs w:val="18"/>
              </w:rPr>
              <w:t>-</w:t>
            </w:r>
            <w:r w:rsidR="3034FDF6">
              <w:rPr>
                <w:rFonts w:ascii="Verdana" w:hAnsi="Verdana" w:cs="Calibri"/>
                <w:sz w:val="18"/>
                <w:szCs w:val="18"/>
              </w:rPr>
              <w:t xml:space="preserve">landscape </w:t>
            </w:r>
            <w:r w:rsidR="3059A0B5">
              <w:rPr>
                <w:rFonts w:ascii="Verdana" w:hAnsi="Verdana" w:cs="Calibri"/>
                <w:sz w:val="18"/>
                <w:szCs w:val="18"/>
              </w:rPr>
              <w:t xml:space="preserve">features </w:t>
            </w:r>
            <w:r w:rsidR="002F6287">
              <w:rPr>
                <w:rFonts w:ascii="Verdana" w:hAnsi="Verdana" w:cs="Calibri"/>
                <w:sz w:val="18"/>
                <w:szCs w:val="18"/>
              </w:rPr>
              <w:t>module</w:t>
            </w:r>
            <w:r w:rsidRPr="00C34DE9">
              <w:rPr>
                <w:rFonts w:ascii="Verdana" w:hAnsi="Verdana" w:cs="Calibri"/>
                <w:sz w:val="18"/>
                <w:szCs w:val="18"/>
              </w:rPr>
              <w:t>).</w:t>
            </w:r>
          </w:p>
        </w:tc>
      </w:tr>
      <w:tr w:rsidR="00BB5AD3" w:rsidRPr="002737C1" w14:paraId="35732E08" w14:textId="77777777" w:rsidTr="240ABBB4">
        <w:tc>
          <w:tcPr>
            <w:tcW w:w="2660" w:type="dxa"/>
            <w:shd w:val="clear" w:color="auto" w:fill="auto"/>
          </w:tcPr>
          <w:p w14:paraId="5F1424C5"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371" w:type="dxa"/>
            <w:shd w:val="clear" w:color="auto" w:fill="auto"/>
          </w:tcPr>
          <w:p w14:paraId="22D375CE" w14:textId="77777777" w:rsidR="00BB5AD3" w:rsidRPr="00C34DE9" w:rsidRDefault="00BB5AD3" w:rsidP="00665997">
            <w:pPr>
              <w:numPr>
                <w:ilvl w:val="0"/>
                <w:numId w:val="48"/>
              </w:numPr>
              <w:autoSpaceDE w:val="0"/>
              <w:autoSpaceDN w:val="0"/>
              <w:adjustRightInd w:val="0"/>
              <w:spacing w:after="60"/>
              <w:rPr>
                <w:rFonts w:ascii="Verdana" w:eastAsia="Times New Roman" w:hAnsi="Verdana"/>
                <w:color w:val="0000FF"/>
                <w:sz w:val="18"/>
                <w:szCs w:val="18"/>
                <w:u w:val="single"/>
              </w:rPr>
            </w:pPr>
            <w:r w:rsidRPr="00564156">
              <w:rPr>
                <w:rFonts w:ascii="Verdana" w:hAnsi="Verdana" w:cs="Calibri"/>
                <w:sz w:val="18"/>
                <w:szCs w:val="18"/>
              </w:rPr>
              <w:t>Copernicus Land Monitoring Service high resolution layers</w:t>
            </w:r>
            <w:r w:rsidRPr="00C34DE9">
              <w:rPr>
                <w:rFonts w:ascii="Verdana" w:eastAsia="Times New Roman" w:hAnsi="Verdana"/>
                <w:sz w:val="18"/>
                <w:szCs w:val="18"/>
              </w:rPr>
              <w:t xml:space="preserve"> (</w:t>
            </w:r>
            <w:hyperlink r:id="rId86" w:history="1">
              <w:r w:rsidRPr="00C34DE9">
                <w:rPr>
                  <w:rStyle w:val="Hyperlink"/>
                  <w:rFonts w:ascii="Verdana" w:eastAsia="Times New Roman" w:hAnsi="Verdana"/>
                  <w:sz w:val="18"/>
                  <w:szCs w:val="18"/>
                </w:rPr>
                <w:t>https://land.copernicus.eu/pan-european/high-resolution-layers</w:t>
              </w:r>
            </w:hyperlink>
            <w:r w:rsidRPr="00C34DE9">
              <w:rPr>
                <w:rFonts w:ascii="Verdana" w:eastAsia="Times New Roman" w:hAnsi="Verdana"/>
                <w:sz w:val="18"/>
                <w:szCs w:val="18"/>
              </w:rPr>
              <w:t>)</w:t>
            </w:r>
          </w:p>
          <w:p w14:paraId="255B2A51" w14:textId="77777777" w:rsidR="00BB5AD3" w:rsidRPr="005873FC" w:rsidRDefault="00BB5AD3" w:rsidP="00665997">
            <w:pPr>
              <w:numPr>
                <w:ilvl w:val="0"/>
                <w:numId w:val="48"/>
              </w:numPr>
              <w:spacing w:after="60"/>
              <w:rPr>
                <w:rFonts w:ascii="Verdana" w:hAnsi="Verdana"/>
                <w:sz w:val="18"/>
                <w:szCs w:val="18"/>
                <w:lang w:val="es-ES"/>
              </w:rPr>
            </w:pPr>
            <w:r w:rsidRPr="00C34DE9">
              <w:rPr>
                <w:rFonts w:ascii="Verdana" w:hAnsi="Verdana" w:cs="Calibri"/>
                <w:sz w:val="18"/>
                <w:szCs w:val="18"/>
                <w:lang w:val="es-ES"/>
              </w:rPr>
              <w:t xml:space="preserve">LUCAS </w:t>
            </w:r>
            <w:r w:rsidRPr="00C34DE9">
              <w:rPr>
                <w:rFonts w:ascii="Verdana" w:eastAsia="Times New Roman" w:hAnsi="Verdana"/>
                <w:sz w:val="18"/>
                <w:szCs w:val="18"/>
                <w:lang w:val="es-ES"/>
              </w:rPr>
              <w:t>(</w:t>
            </w:r>
            <w:hyperlink r:id="rId87" w:history="1">
              <w:r w:rsidRPr="00C34DE9">
                <w:rPr>
                  <w:rStyle w:val="Hyperlink"/>
                  <w:rFonts w:ascii="Verdana" w:eastAsia="Times New Roman" w:hAnsi="Verdana"/>
                  <w:sz w:val="18"/>
                  <w:szCs w:val="18"/>
                  <w:lang w:val="es-ES"/>
                </w:rPr>
                <w:t>https://ec.europa.eu/eurostat/statistics-explained/index.php/LUCAS_-_Land_use_and_land_cover_survey</w:t>
              </w:r>
            </w:hyperlink>
            <w:r w:rsidRPr="00C34DE9">
              <w:rPr>
                <w:rFonts w:ascii="Verdana" w:eastAsia="Times New Roman" w:hAnsi="Verdana"/>
                <w:sz w:val="18"/>
                <w:szCs w:val="18"/>
                <w:lang w:val="es-ES"/>
              </w:rPr>
              <w:t>)</w:t>
            </w:r>
          </w:p>
        </w:tc>
      </w:tr>
      <w:tr w:rsidR="00BB5AD3" w:rsidRPr="00C34DE9" w14:paraId="4956894B" w14:textId="77777777" w:rsidTr="240ABBB4">
        <w:tc>
          <w:tcPr>
            <w:tcW w:w="2660" w:type="dxa"/>
            <w:shd w:val="clear" w:color="auto" w:fill="auto"/>
          </w:tcPr>
          <w:p w14:paraId="1EB9C31F"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371" w:type="dxa"/>
            <w:shd w:val="clear" w:color="auto" w:fill="auto"/>
          </w:tcPr>
          <w:p w14:paraId="577F4A69" w14:textId="77777777" w:rsidR="00BB5AD3" w:rsidRPr="00C34DE9" w:rsidRDefault="002F6287" w:rsidP="002F6287">
            <w:pPr>
              <w:spacing w:after="60" w:line="240" w:lineRule="auto"/>
              <w:jc w:val="both"/>
              <w:rPr>
                <w:rFonts w:ascii="Verdana" w:hAnsi="Verdana"/>
                <w:sz w:val="18"/>
                <w:szCs w:val="18"/>
              </w:rPr>
            </w:pPr>
            <w:r>
              <w:rPr>
                <w:rFonts w:ascii="Verdana" w:hAnsi="Verdana"/>
                <w:sz w:val="18"/>
                <w:szCs w:val="18"/>
              </w:rPr>
              <w:t>EU, National (N</w:t>
            </w:r>
            <w:r w:rsidR="006D0CBA">
              <w:rPr>
                <w:rFonts w:ascii="Verdana" w:hAnsi="Verdana"/>
                <w:sz w:val="18"/>
                <w:szCs w:val="18"/>
              </w:rPr>
              <w:t>UTS</w:t>
            </w:r>
            <w:r>
              <w:rPr>
                <w:rFonts w:ascii="Verdana" w:hAnsi="Verdana"/>
                <w:sz w:val="18"/>
                <w:szCs w:val="18"/>
              </w:rPr>
              <w:t xml:space="preserve"> 1</w:t>
            </w:r>
            <w:r w:rsidR="006D0CBA">
              <w:rPr>
                <w:rFonts w:ascii="Verdana" w:hAnsi="Verdana"/>
                <w:sz w:val="18"/>
                <w:szCs w:val="18"/>
              </w:rPr>
              <w:t>),</w:t>
            </w:r>
            <w:r>
              <w:rPr>
                <w:rFonts w:ascii="Verdana" w:hAnsi="Verdana"/>
                <w:sz w:val="18"/>
                <w:szCs w:val="18"/>
              </w:rPr>
              <w:t xml:space="preserve"> Regional (N</w:t>
            </w:r>
            <w:r w:rsidR="006D0CBA">
              <w:rPr>
                <w:rFonts w:ascii="Verdana" w:hAnsi="Verdana"/>
                <w:sz w:val="18"/>
                <w:szCs w:val="18"/>
              </w:rPr>
              <w:t>UTS</w:t>
            </w:r>
            <w:r>
              <w:rPr>
                <w:rFonts w:ascii="Verdana" w:hAnsi="Verdana"/>
                <w:sz w:val="18"/>
                <w:szCs w:val="18"/>
              </w:rPr>
              <w:t xml:space="preserve"> 2 and 3), </w:t>
            </w:r>
            <w:r w:rsidRPr="00A87C29">
              <w:rPr>
                <w:rFonts w:ascii="Verdana" w:hAnsi="Verdana"/>
                <w:sz w:val="18"/>
                <w:szCs w:val="18"/>
              </w:rPr>
              <w:t>based on detailed maps / samples covering the full EU</w:t>
            </w:r>
            <w:r>
              <w:rPr>
                <w:rFonts w:ascii="Verdana" w:hAnsi="Verdana"/>
                <w:sz w:val="18"/>
                <w:szCs w:val="18"/>
              </w:rPr>
              <w:t xml:space="preserve">. </w:t>
            </w:r>
          </w:p>
        </w:tc>
      </w:tr>
      <w:tr w:rsidR="00BB5AD3" w:rsidRPr="00C34DE9" w14:paraId="62D4FDAB" w14:textId="77777777" w:rsidTr="240ABBB4">
        <w:tc>
          <w:tcPr>
            <w:tcW w:w="2660" w:type="dxa"/>
            <w:shd w:val="clear" w:color="auto" w:fill="auto"/>
          </w:tcPr>
          <w:p w14:paraId="17DDD259"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371" w:type="dxa"/>
            <w:shd w:val="clear" w:color="auto" w:fill="auto"/>
          </w:tcPr>
          <w:p w14:paraId="33DB5A7A" w14:textId="77777777" w:rsidR="00CC7EC0" w:rsidRPr="00C34DE9" w:rsidRDefault="002F6287" w:rsidP="00CC7EC0">
            <w:pPr>
              <w:spacing w:before="30" w:after="60" w:line="240" w:lineRule="auto"/>
              <w:jc w:val="both"/>
              <w:rPr>
                <w:rFonts w:ascii="Verdana" w:hAnsi="Verdana"/>
                <w:sz w:val="18"/>
                <w:szCs w:val="18"/>
                <w:lang w:val="en-US"/>
              </w:rPr>
            </w:pPr>
            <w:r>
              <w:rPr>
                <w:rFonts w:ascii="Verdana" w:hAnsi="Verdana"/>
                <w:sz w:val="18"/>
                <w:szCs w:val="18"/>
                <w:lang w:val="en-US"/>
              </w:rPr>
              <w:t>Copernicus</w:t>
            </w:r>
            <w:r w:rsidR="00CC7EC0" w:rsidRPr="00C34DE9">
              <w:rPr>
                <w:rFonts w:ascii="Verdana" w:hAnsi="Verdana"/>
                <w:sz w:val="18"/>
                <w:szCs w:val="18"/>
                <w:lang w:val="en-US"/>
              </w:rPr>
              <w:t xml:space="preserve">: </w:t>
            </w:r>
            <w:r>
              <w:rPr>
                <w:rFonts w:ascii="Verdana" w:hAnsi="Verdana"/>
                <w:sz w:val="18"/>
                <w:szCs w:val="18"/>
                <w:lang w:val="en-US"/>
              </w:rPr>
              <w:t xml:space="preserve">data </w:t>
            </w:r>
            <w:r w:rsidR="00CC7EC0" w:rsidRPr="00C34DE9">
              <w:rPr>
                <w:rFonts w:ascii="Verdana" w:hAnsi="Verdana"/>
                <w:sz w:val="18"/>
                <w:szCs w:val="18"/>
                <w:lang w:val="en-US"/>
              </w:rPr>
              <w:t>starting from 2015</w:t>
            </w:r>
            <w:r>
              <w:rPr>
                <w:rFonts w:ascii="Verdana" w:hAnsi="Verdana"/>
                <w:sz w:val="18"/>
                <w:szCs w:val="18"/>
                <w:lang w:val="en-US"/>
              </w:rPr>
              <w:t xml:space="preserve"> are used to assess Small Woody Features;</w:t>
            </w:r>
            <w:r w:rsidR="00CC7EC0" w:rsidRPr="00C34DE9">
              <w:rPr>
                <w:rFonts w:ascii="Verdana" w:hAnsi="Verdana"/>
                <w:sz w:val="18"/>
                <w:szCs w:val="18"/>
                <w:lang w:val="en-US"/>
              </w:rPr>
              <w:t xml:space="preserve"> updates are currently planned every three years, i.e. for 2018, 2021, 2024, 2027, etc. New products with more landscape features (under assessment) may be ready in 2020.</w:t>
            </w:r>
          </w:p>
          <w:p w14:paraId="012AD25D" w14:textId="1BC02B33" w:rsidR="00BB5AD3" w:rsidRPr="00C34DE9" w:rsidRDefault="00CC7EC0" w:rsidP="00875BA9">
            <w:pPr>
              <w:spacing w:before="30" w:after="60" w:line="240" w:lineRule="auto"/>
              <w:jc w:val="both"/>
              <w:rPr>
                <w:rFonts w:ascii="Verdana" w:eastAsia="Times New Roman" w:hAnsi="Verdana"/>
                <w:sz w:val="18"/>
                <w:szCs w:val="18"/>
              </w:rPr>
            </w:pPr>
            <w:r w:rsidRPr="00C34DE9">
              <w:rPr>
                <w:rFonts w:ascii="Verdana" w:hAnsi="Verdana"/>
                <w:sz w:val="18"/>
                <w:szCs w:val="18"/>
                <w:lang w:val="en-US"/>
              </w:rPr>
              <w:t xml:space="preserve">LUCAS: Starting from 2009, updates are in principle planned every 3 years. However, </w:t>
            </w:r>
            <w:r w:rsidR="00D42613">
              <w:rPr>
                <w:rFonts w:ascii="Verdana" w:hAnsi="Verdana"/>
                <w:sz w:val="18"/>
                <w:szCs w:val="18"/>
                <w:lang w:val="en-US"/>
              </w:rPr>
              <w:t xml:space="preserve">in </w:t>
            </w:r>
            <w:r w:rsidRPr="00C34DE9">
              <w:rPr>
                <w:rFonts w:ascii="Verdana" w:hAnsi="Verdana"/>
                <w:sz w:val="18"/>
                <w:szCs w:val="18"/>
                <w:lang w:val="en-US"/>
              </w:rPr>
              <w:t xml:space="preserve">2018 </w:t>
            </w:r>
            <w:r w:rsidR="00D42613">
              <w:rPr>
                <w:rFonts w:ascii="Verdana" w:hAnsi="Verdana"/>
                <w:sz w:val="18"/>
                <w:szCs w:val="18"/>
                <w:lang w:val="en-US"/>
              </w:rPr>
              <w:t>the collection of the data relevant for this fiche was</w:t>
            </w:r>
            <w:r w:rsidRPr="00C34DE9">
              <w:rPr>
                <w:rFonts w:ascii="Verdana" w:hAnsi="Verdana"/>
                <w:sz w:val="18"/>
                <w:szCs w:val="18"/>
                <w:lang w:val="en-US"/>
              </w:rPr>
              <w:t xml:space="preserve"> not implemented.</w:t>
            </w:r>
            <w:r w:rsidR="002F6287">
              <w:rPr>
                <w:rFonts w:ascii="Verdana" w:hAnsi="Verdana"/>
                <w:sz w:val="18"/>
                <w:szCs w:val="18"/>
                <w:lang w:val="en-US"/>
              </w:rPr>
              <w:t xml:space="preserve"> N</w:t>
            </w:r>
            <w:r w:rsidR="002F6287" w:rsidRPr="00106635">
              <w:rPr>
                <w:rFonts w:ascii="Verdana" w:hAnsi="Verdana"/>
                <w:sz w:val="18"/>
                <w:szCs w:val="18"/>
                <w:lang w:val="en-US"/>
              </w:rPr>
              <w:t xml:space="preserve">ext LUCAS </w:t>
            </w:r>
            <w:r w:rsidR="4EB273EA">
              <w:rPr>
                <w:rFonts w:ascii="Verdana" w:hAnsi="Verdana"/>
                <w:sz w:val="18"/>
                <w:szCs w:val="18"/>
                <w:lang w:val="en-US"/>
              </w:rPr>
              <w:t xml:space="preserve">landscape features </w:t>
            </w:r>
            <w:r w:rsidR="002F6287" w:rsidRPr="00106635">
              <w:rPr>
                <w:rFonts w:ascii="Verdana" w:hAnsi="Verdana"/>
                <w:sz w:val="18"/>
                <w:szCs w:val="18"/>
                <w:lang w:val="en-US"/>
              </w:rPr>
              <w:t xml:space="preserve">survey </w:t>
            </w:r>
            <w:r w:rsidR="002F6287">
              <w:rPr>
                <w:rFonts w:ascii="Verdana" w:hAnsi="Verdana"/>
                <w:sz w:val="18"/>
                <w:szCs w:val="18"/>
                <w:lang w:val="en-US"/>
              </w:rPr>
              <w:t>is planned</w:t>
            </w:r>
            <w:r w:rsidR="00875BA9">
              <w:rPr>
                <w:rFonts w:ascii="Verdana" w:hAnsi="Verdana"/>
                <w:sz w:val="18"/>
                <w:szCs w:val="18"/>
                <w:lang w:val="en-US"/>
              </w:rPr>
              <w:t xml:space="preserve"> for 2022</w:t>
            </w:r>
            <w:r w:rsidR="002F6287">
              <w:rPr>
                <w:rFonts w:ascii="Verdana" w:hAnsi="Verdana"/>
                <w:sz w:val="18"/>
                <w:szCs w:val="18"/>
                <w:lang w:val="en-US"/>
              </w:rPr>
              <w:t>.</w:t>
            </w:r>
          </w:p>
        </w:tc>
      </w:tr>
      <w:tr w:rsidR="00BB5AD3" w:rsidRPr="00C34DE9" w14:paraId="23EB9E88" w14:textId="77777777" w:rsidTr="240ABBB4">
        <w:tc>
          <w:tcPr>
            <w:tcW w:w="2660" w:type="dxa"/>
            <w:shd w:val="clear" w:color="auto" w:fill="auto"/>
          </w:tcPr>
          <w:p w14:paraId="201478B1"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371" w:type="dxa"/>
            <w:shd w:val="clear" w:color="auto" w:fill="auto"/>
          </w:tcPr>
          <w:p w14:paraId="4C66EF00" w14:textId="77777777" w:rsidR="00BB5AD3" w:rsidRPr="00C34DE9" w:rsidRDefault="002F6287" w:rsidP="00CC7EC0">
            <w:pPr>
              <w:spacing w:after="60" w:line="240" w:lineRule="auto"/>
              <w:jc w:val="both"/>
              <w:rPr>
                <w:rFonts w:ascii="Verdana" w:hAnsi="Verdana"/>
                <w:sz w:val="18"/>
                <w:szCs w:val="18"/>
              </w:rPr>
            </w:pPr>
            <w:r>
              <w:rPr>
                <w:rFonts w:ascii="Verdana" w:hAnsi="Verdana"/>
                <w:sz w:val="18"/>
                <w:szCs w:val="18"/>
              </w:rPr>
              <w:t>To be defined</w:t>
            </w:r>
          </w:p>
        </w:tc>
      </w:tr>
      <w:tr w:rsidR="00BB5AD3" w:rsidRPr="00C34DE9" w14:paraId="17C050F2" w14:textId="77777777" w:rsidTr="240ABBB4">
        <w:tc>
          <w:tcPr>
            <w:tcW w:w="2660" w:type="dxa"/>
            <w:shd w:val="clear" w:color="auto" w:fill="auto"/>
          </w:tcPr>
          <w:p w14:paraId="212D7E7B" w14:textId="77777777" w:rsidR="00BB5AD3" w:rsidRPr="00C34DE9" w:rsidRDefault="00BB5AD3"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371" w:type="dxa"/>
            <w:shd w:val="clear" w:color="auto" w:fill="auto"/>
          </w:tcPr>
          <w:p w14:paraId="3C14BD12" w14:textId="7DA24643" w:rsidR="00CC7EC0" w:rsidRPr="00C34DE9" w:rsidRDefault="00CC7EC0" w:rsidP="00CC7EC0">
            <w:pPr>
              <w:spacing w:after="60"/>
              <w:jc w:val="both"/>
              <w:rPr>
                <w:rFonts w:ascii="Verdana" w:hAnsi="Verdana" w:cs="Calibri"/>
                <w:sz w:val="18"/>
                <w:szCs w:val="18"/>
              </w:rPr>
            </w:pPr>
            <w:r w:rsidRPr="00C34DE9">
              <w:rPr>
                <w:rFonts w:ascii="Verdana" w:hAnsi="Verdana" w:cs="Calibri"/>
                <w:sz w:val="18"/>
                <w:szCs w:val="18"/>
              </w:rPr>
              <w:t xml:space="preserve">There is abundant literature on the relationship between landscape features and biodiversity and </w:t>
            </w:r>
            <w:r w:rsidR="005B7F46">
              <w:rPr>
                <w:rFonts w:ascii="Verdana" w:hAnsi="Verdana" w:cs="Calibri"/>
                <w:sz w:val="18"/>
                <w:szCs w:val="18"/>
              </w:rPr>
              <w:t xml:space="preserve">certain </w:t>
            </w:r>
            <w:r w:rsidRPr="00C34DE9">
              <w:rPr>
                <w:rFonts w:ascii="Verdana" w:hAnsi="Verdana" w:cs="Calibri"/>
                <w:sz w:val="18"/>
                <w:szCs w:val="18"/>
              </w:rPr>
              <w:t xml:space="preserve">ecosystem services. The challenge is to find a combination of features that can be </w:t>
            </w:r>
            <w:r w:rsidR="005B7F46">
              <w:rPr>
                <w:rFonts w:ascii="Verdana" w:hAnsi="Verdana" w:cs="Calibri"/>
                <w:sz w:val="18"/>
                <w:szCs w:val="18"/>
              </w:rPr>
              <w:t xml:space="preserve">mapped reliably to be valid </w:t>
            </w:r>
            <w:r w:rsidRPr="00C34DE9">
              <w:rPr>
                <w:rFonts w:ascii="Verdana" w:hAnsi="Verdana" w:cs="Calibri"/>
                <w:sz w:val="18"/>
                <w:szCs w:val="18"/>
              </w:rPr>
              <w:t xml:space="preserve">in all EU countries, considering the diversity of landscapes, biogeographic and socio-economic conditions. This indicator would provide a valuable proxy, although not a </w:t>
            </w:r>
            <w:r w:rsidR="00C51674">
              <w:rPr>
                <w:rFonts w:ascii="Verdana" w:hAnsi="Verdana" w:cs="Calibri"/>
                <w:sz w:val="18"/>
                <w:szCs w:val="18"/>
              </w:rPr>
              <w:t xml:space="preserve">precise measurement of all relevant </w:t>
            </w:r>
            <w:r w:rsidR="005B7F46">
              <w:rPr>
                <w:rFonts w:ascii="Verdana" w:hAnsi="Verdana" w:cs="Calibri"/>
                <w:sz w:val="18"/>
                <w:szCs w:val="18"/>
              </w:rPr>
              <w:t xml:space="preserve">landscape </w:t>
            </w:r>
            <w:r w:rsidR="00C51674">
              <w:rPr>
                <w:rFonts w:ascii="Verdana" w:hAnsi="Verdana" w:cs="Calibri"/>
                <w:sz w:val="18"/>
                <w:szCs w:val="18"/>
              </w:rPr>
              <w:t>features</w:t>
            </w:r>
            <w:r w:rsidR="6445D417">
              <w:rPr>
                <w:rFonts w:ascii="Verdana" w:hAnsi="Verdana" w:cs="Calibri"/>
                <w:sz w:val="18"/>
                <w:szCs w:val="18"/>
              </w:rPr>
              <w:t xml:space="preserve"> </w:t>
            </w:r>
            <w:r w:rsidR="005B7F46">
              <w:rPr>
                <w:rFonts w:ascii="Verdana" w:hAnsi="Verdana" w:cs="Calibri"/>
                <w:sz w:val="18"/>
                <w:szCs w:val="18"/>
              </w:rPr>
              <w:t>in farming landscapes</w:t>
            </w:r>
            <w:r w:rsidRPr="00C34DE9">
              <w:rPr>
                <w:rFonts w:ascii="Verdana" w:hAnsi="Verdana" w:cs="Calibri"/>
                <w:sz w:val="18"/>
                <w:szCs w:val="18"/>
              </w:rPr>
              <w:t>.</w:t>
            </w:r>
          </w:p>
          <w:p w14:paraId="3E4EF0EB" w14:textId="4DBBB185" w:rsidR="00CC7EC0" w:rsidRPr="00C34DE9" w:rsidRDefault="00CC7EC0" w:rsidP="00CC7EC0">
            <w:pPr>
              <w:spacing w:after="60"/>
              <w:jc w:val="both"/>
              <w:rPr>
                <w:rFonts w:ascii="Verdana" w:hAnsi="Verdana" w:cs="Calibri"/>
                <w:sz w:val="18"/>
                <w:szCs w:val="18"/>
              </w:rPr>
            </w:pPr>
            <w:r w:rsidRPr="00C34DE9">
              <w:rPr>
                <w:rFonts w:ascii="Verdana" w:hAnsi="Verdana" w:cs="Calibri"/>
                <w:sz w:val="18"/>
                <w:szCs w:val="18"/>
              </w:rPr>
              <w:lastRenderedPageBreak/>
              <w:t xml:space="preserve">The indicator is conceptually under development and therefore not available. </w:t>
            </w:r>
            <w:r w:rsidR="005B7F46">
              <w:rPr>
                <w:rFonts w:ascii="Verdana" w:hAnsi="Verdana" w:cs="Calibri"/>
                <w:sz w:val="18"/>
                <w:szCs w:val="18"/>
              </w:rPr>
              <w:t xml:space="preserve">A first version </w:t>
            </w:r>
            <w:r w:rsidR="007A33E8" w:rsidRPr="00C34DE9">
              <w:rPr>
                <w:rFonts w:ascii="Verdana" w:hAnsi="Verdana" w:cs="Calibri"/>
                <w:sz w:val="18"/>
                <w:szCs w:val="18"/>
              </w:rPr>
              <w:t>should</w:t>
            </w:r>
            <w:r w:rsidRPr="00C34DE9">
              <w:rPr>
                <w:rFonts w:ascii="Verdana" w:hAnsi="Verdana" w:cs="Calibri"/>
                <w:sz w:val="18"/>
                <w:szCs w:val="18"/>
              </w:rPr>
              <w:t xml:space="preserve"> be made available </w:t>
            </w:r>
            <w:r w:rsidR="005B7F46">
              <w:rPr>
                <w:rFonts w:ascii="Verdana" w:hAnsi="Verdana" w:cs="Calibri"/>
                <w:sz w:val="18"/>
                <w:szCs w:val="18"/>
              </w:rPr>
              <w:t xml:space="preserve">by the end of </w:t>
            </w:r>
            <w:r w:rsidRPr="00C34DE9">
              <w:rPr>
                <w:rFonts w:ascii="Verdana" w:hAnsi="Verdana" w:cs="Calibri"/>
                <w:sz w:val="18"/>
                <w:szCs w:val="18"/>
              </w:rPr>
              <w:t>202</w:t>
            </w:r>
            <w:r w:rsidR="00C51674">
              <w:rPr>
                <w:rFonts w:ascii="Verdana" w:hAnsi="Verdana" w:cs="Calibri"/>
                <w:sz w:val="18"/>
                <w:szCs w:val="18"/>
              </w:rPr>
              <w:t>1</w:t>
            </w:r>
            <w:r w:rsidR="005B7F46">
              <w:rPr>
                <w:rFonts w:ascii="Verdana" w:hAnsi="Verdana" w:cs="Calibri"/>
                <w:sz w:val="18"/>
                <w:szCs w:val="18"/>
              </w:rPr>
              <w:t xml:space="preserve">. It </w:t>
            </w:r>
            <w:r w:rsidR="00C51674">
              <w:rPr>
                <w:rFonts w:ascii="Verdana" w:hAnsi="Verdana" w:cs="Calibri"/>
                <w:sz w:val="18"/>
                <w:szCs w:val="18"/>
              </w:rPr>
              <w:t>will be subject to periodic revision</w:t>
            </w:r>
            <w:r w:rsidR="005B7F46">
              <w:rPr>
                <w:rFonts w:ascii="Verdana" w:hAnsi="Verdana" w:cs="Calibri"/>
                <w:sz w:val="18"/>
                <w:szCs w:val="18"/>
              </w:rPr>
              <w:t>, when methodological developments allow</w:t>
            </w:r>
            <w:r w:rsidR="00C51674">
              <w:rPr>
                <w:rFonts w:ascii="Verdana" w:hAnsi="Verdana" w:cs="Calibri"/>
                <w:sz w:val="18"/>
                <w:szCs w:val="18"/>
              </w:rPr>
              <w:t>.</w:t>
            </w:r>
          </w:p>
          <w:p w14:paraId="757D3BBD" w14:textId="26BF98DC" w:rsidR="00CC7EC0" w:rsidRPr="00C34DE9" w:rsidRDefault="00CC7EC0" w:rsidP="00CC7EC0">
            <w:pPr>
              <w:spacing w:after="60"/>
              <w:jc w:val="both"/>
              <w:rPr>
                <w:rFonts w:ascii="Verdana" w:hAnsi="Verdana" w:cs="Calibri"/>
                <w:sz w:val="18"/>
                <w:szCs w:val="18"/>
              </w:rPr>
            </w:pPr>
            <w:r w:rsidRPr="00C34DE9">
              <w:rPr>
                <w:rFonts w:ascii="Verdana" w:hAnsi="Verdana" w:cs="Calibri"/>
                <w:sz w:val="18"/>
                <w:szCs w:val="18"/>
              </w:rPr>
              <w:t xml:space="preserve">Detecting </w:t>
            </w:r>
            <w:r w:rsidR="005B7F46">
              <w:rPr>
                <w:rFonts w:ascii="Verdana" w:hAnsi="Verdana" w:cs="Calibri"/>
                <w:sz w:val="18"/>
                <w:szCs w:val="18"/>
              </w:rPr>
              <w:t xml:space="preserve">some </w:t>
            </w:r>
            <w:r w:rsidRPr="00C34DE9">
              <w:rPr>
                <w:rFonts w:ascii="Verdana" w:hAnsi="Verdana" w:cs="Calibri"/>
                <w:sz w:val="18"/>
                <w:szCs w:val="18"/>
              </w:rPr>
              <w:t xml:space="preserve">landscape features with Copernicus is promising. Small </w:t>
            </w:r>
            <w:r w:rsidR="002F6287">
              <w:rPr>
                <w:rFonts w:ascii="Verdana" w:hAnsi="Verdana" w:cs="Calibri"/>
                <w:sz w:val="18"/>
                <w:szCs w:val="18"/>
              </w:rPr>
              <w:t>W</w:t>
            </w:r>
            <w:r w:rsidRPr="00C34DE9">
              <w:rPr>
                <w:rFonts w:ascii="Verdana" w:hAnsi="Verdana" w:cs="Calibri"/>
                <w:sz w:val="18"/>
                <w:szCs w:val="18"/>
              </w:rPr>
              <w:t xml:space="preserve">oody </w:t>
            </w:r>
            <w:r w:rsidR="002F6287">
              <w:rPr>
                <w:rFonts w:ascii="Verdana" w:hAnsi="Verdana" w:cs="Calibri"/>
                <w:sz w:val="18"/>
                <w:szCs w:val="18"/>
              </w:rPr>
              <w:t>F</w:t>
            </w:r>
            <w:r w:rsidRPr="00C34DE9">
              <w:rPr>
                <w:rFonts w:ascii="Verdana" w:hAnsi="Verdana" w:cs="Calibri"/>
                <w:sz w:val="18"/>
                <w:szCs w:val="18"/>
              </w:rPr>
              <w:t xml:space="preserve">eatures are available and ready for use and can be used as a first proxy to mapping </w:t>
            </w:r>
            <w:r w:rsidR="005B7F46">
              <w:rPr>
                <w:rFonts w:ascii="Verdana" w:hAnsi="Verdana" w:cs="Calibri"/>
                <w:sz w:val="18"/>
                <w:szCs w:val="18"/>
              </w:rPr>
              <w:t xml:space="preserve">plant-related </w:t>
            </w:r>
            <w:r w:rsidR="007D6E29">
              <w:rPr>
                <w:rFonts w:ascii="Verdana" w:hAnsi="Verdana" w:cs="Calibri"/>
                <w:sz w:val="18"/>
                <w:szCs w:val="18"/>
              </w:rPr>
              <w:t xml:space="preserve">woody </w:t>
            </w:r>
            <w:r w:rsidRPr="00C34DE9">
              <w:rPr>
                <w:rFonts w:ascii="Verdana" w:hAnsi="Verdana" w:cs="Calibri"/>
                <w:sz w:val="18"/>
                <w:szCs w:val="18"/>
              </w:rPr>
              <w:t xml:space="preserve">landscape features; additional landscape features (e.g. water spots, hedges) </w:t>
            </w:r>
            <w:r w:rsidR="005B7F46">
              <w:rPr>
                <w:rFonts w:ascii="Verdana" w:hAnsi="Verdana" w:cs="Calibri"/>
                <w:sz w:val="18"/>
                <w:szCs w:val="18"/>
              </w:rPr>
              <w:t>might be incorporated when available</w:t>
            </w:r>
            <w:r w:rsidRPr="00C34DE9">
              <w:rPr>
                <w:rFonts w:ascii="Verdana" w:hAnsi="Verdana" w:cs="Calibri"/>
                <w:sz w:val="18"/>
                <w:szCs w:val="18"/>
              </w:rPr>
              <w:t xml:space="preserve">. The indicator </w:t>
            </w:r>
            <w:r w:rsidR="006F76AA">
              <w:rPr>
                <w:rFonts w:ascii="Verdana" w:hAnsi="Verdana" w:cs="Calibri"/>
                <w:sz w:val="18"/>
                <w:szCs w:val="18"/>
              </w:rPr>
              <w:t>will</w:t>
            </w:r>
            <w:r w:rsidR="006F76AA" w:rsidRPr="00C34DE9">
              <w:rPr>
                <w:rFonts w:ascii="Verdana" w:hAnsi="Verdana" w:cs="Calibri"/>
                <w:sz w:val="18"/>
                <w:szCs w:val="18"/>
              </w:rPr>
              <w:t xml:space="preserve"> </w:t>
            </w:r>
            <w:r w:rsidRPr="00C34DE9">
              <w:rPr>
                <w:rFonts w:ascii="Verdana" w:hAnsi="Verdana" w:cs="Calibri"/>
                <w:sz w:val="18"/>
                <w:szCs w:val="18"/>
              </w:rPr>
              <w:t xml:space="preserve">therefore be built following a stepwise approach and updated retrospectively. </w:t>
            </w:r>
          </w:p>
          <w:p w14:paraId="6069C6BB" w14:textId="7137EBAD" w:rsidR="00CC7EC0" w:rsidRPr="00C34DE9" w:rsidRDefault="00CC7EC0" w:rsidP="00CC7EC0">
            <w:pPr>
              <w:spacing w:after="60"/>
              <w:jc w:val="both"/>
              <w:rPr>
                <w:rFonts w:ascii="Verdana" w:hAnsi="Verdana" w:cs="Calibri"/>
                <w:sz w:val="18"/>
                <w:szCs w:val="18"/>
              </w:rPr>
            </w:pPr>
          </w:p>
          <w:p w14:paraId="54F9E48D" w14:textId="6DD01CE0" w:rsidR="006D0CBA" w:rsidRDefault="00CC7EC0" w:rsidP="00CC7EC0">
            <w:pPr>
              <w:spacing w:after="60"/>
              <w:jc w:val="both"/>
              <w:rPr>
                <w:rFonts w:ascii="Verdana" w:hAnsi="Verdana" w:cs="Calibri"/>
                <w:sz w:val="18"/>
                <w:szCs w:val="18"/>
              </w:rPr>
            </w:pPr>
            <w:r w:rsidRPr="00C34DE9">
              <w:rPr>
                <w:rFonts w:ascii="Verdana" w:hAnsi="Verdana" w:cs="Calibri"/>
                <w:sz w:val="18"/>
                <w:szCs w:val="18"/>
              </w:rPr>
              <w:t>Because the Copernicus Small Woody Features product is a detailed spatially explicit wall-to-wall mapping, it can be used at all possible scale levels (from local to national and pan-European).</w:t>
            </w:r>
            <w:r w:rsidR="002F6287" w:rsidRPr="00C34DE9">
              <w:rPr>
                <w:rFonts w:ascii="Verdana" w:hAnsi="Verdana" w:cs="Calibri"/>
                <w:sz w:val="18"/>
                <w:szCs w:val="18"/>
              </w:rPr>
              <w:t xml:space="preserve"> </w:t>
            </w:r>
            <w:r w:rsidR="002F6287">
              <w:rPr>
                <w:rFonts w:ascii="Verdana" w:hAnsi="Verdana" w:cs="Calibri"/>
                <w:sz w:val="18"/>
                <w:szCs w:val="18"/>
              </w:rPr>
              <w:t xml:space="preserve">Estimates of various landscape feature types </w:t>
            </w:r>
            <w:r w:rsidR="007D6E29">
              <w:rPr>
                <w:rFonts w:ascii="Verdana" w:hAnsi="Verdana" w:cs="Calibri"/>
                <w:sz w:val="18"/>
                <w:szCs w:val="18"/>
              </w:rPr>
              <w:t xml:space="preserve">(e.g. strips, ditches) </w:t>
            </w:r>
            <w:r w:rsidR="002F6287">
              <w:rPr>
                <w:rFonts w:ascii="Verdana" w:hAnsi="Verdana" w:cs="Calibri"/>
                <w:sz w:val="18"/>
                <w:szCs w:val="18"/>
              </w:rPr>
              <w:t xml:space="preserve">based on </w:t>
            </w:r>
            <w:r w:rsidR="002F6287" w:rsidRPr="00C34DE9">
              <w:rPr>
                <w:rFonts w:ascii="Verdana" w:hAnsi="Verdana" w:cs="Calibri"/>
                <w:sz w:val="18"/>
                <w:szCs w:val="18"/>
              </w:rPr>
              <w:t xml:space="preserve">LUCAS </w:t>
            </w:r>
            <w:r w:rsidR="47C9E7E7">
              <w:rPr>
                <w:rFonts w:ascii="Verdana" w:hAnsi="Verdana" w:cs="Calibri"/>
                <w:sz w:val="18"/>
                <w:szCs w:val="18"/>
              </w:rPr>
              <w:t xml:space="preserve">landscape features survey </w:t>
            </w:r>
            <w:r w:rsidR="002F6287">
              <w:rPr>
                <w:rFonts w:ascii="Verdana" w:hAnsi="Verdana" w:cs="Calibri"/>
                <w:sz w:val="18"/>
                <w:szCs w:val="18"/>
              </w:rPr>
              <w:t xml:space="preserve">could potentially </w:t>
            </w:r>
            <w:r w:rsidR="007D6E29">
              <w:rPr>
                <w:rFonts w:ascii="Verdana" w:hAnsi="Verdana" w:cs="Calibri"/>
                <w:sz w:val="18"/>
                <w:szCs w:val="18"/>
              </w:rPr>
              <w:t xml:space="preserve">complement and </w:t>
            </w:r>
            <w:r w:rsidR="002F6287">
              <w:rPr>
                <w:rFonts w:ascii="Verdana" w:hAnsi="Verdana" w:cs="Calibri"/>
                <w:sz w:val="18"/>
                <w:szCs w:val="18"/>
              </w:rPr>
              <w:t>be d</w:t>
            </w:r>
            <w:r w:rsidR="002F6287" w:rsidRPr="00C34DE9">
              <w:rPr>
                <w:rFonts w:ascii="Verdana" w:hAnsi="Verdana" w:cs="Calibri"/>
                <w:sz w:val="18"/>
                <w:szCs w:val="18"/>
              </w:rPr>
              <w:t>ownscal</w:t>
            </w:r>
            <w:r w:rsidR="002F6287">
              <w:rPr>
                <w:rFonts w:ascii="Verdana" w:hAnsi="Verdana" w:cs="Calibri"/>
                <w:sz w:val="18"/>
                <w:szCs w:val="18"/>
              </w:rPr>
              <w:t>ed</w:t>
            </w:r>
            <w:r w:rsidR="002F6287" w:rsidRPr="00C34DE9">
              <w:rPr>
                <w:rFonts w:ascii="Verdana" w:hAnsi="Verdana" w:cs="Calibri"/>
                <w:sz w:val="18"/>
                <w:szCs w:val="18"/>
              </w:rPr>
              <w:t xml:space="preserve"> to </w:t>
            </w:r>
            <w:r w:rsidR="002F6287">
              <w:rPr>
                <w:rFonts w:ascii="Verdana" w:hAnsi="Verdana" w:cs="Calibri"/>
                <w:sz w:val="18"/>
                <w:szCs w:val="18"/>
              </w:rPr>
              <w:t>lower</w:t>
            </w:r>
            <w:r w:rsidR="002F6287" w:rsidRPr="00C34DE9">
              <w:rPr>
                <w:rFonts w:ascii="Verdana" w:hAnsi="Verdana" w:cs="Calibri"/>
                <w:sz w:val="18"/>
                <w:szCs w:val="18"/>
              </w:rPr>
              <w:t xml:space="preserve"> level</w:t>
            </w:r>
            <w:r w:rsidR="002F6287">
              <w:rPr>
                <w:rFonts w:ascii="Verdana" w:hAnsi="Verdana" w:cs="Calibri"/>
                <w:sz w:val="18"/>
                <w:szCs w:val="18"/>
              </w:rPr>
              <w:t xml:space="preserve"> (national, regional) but would require further assessment and processing.</w:t>
            </w:r>
          </w:p>
          <w:p w14:paraId="11C1CF4A" w14:textId="3FC7B77D" w:rsidR="00CC7EC0" w:rsidRPr="00C34DE9" w:rsidRDefault="00CC7EC0" w:rsidP="00CC7EC0">
            <w:pPr>
              <w:spacing w:after="60"/>
              <w:jc w:val="both"/>
              <w:rPr>
                <w:rFonts w:ascii="Verdana" w:hAnsi="Verdana" w:cs="Calibri"/>
                <w:sz w:val="18"/>
                <w:szCs w:val="18"/>
              </w:rPr>
            </w:pPr>
          </w:p>
          <w:p w14:paraId="0CCFB786" w14:textId="1C1F7398" w:rsidR="00BB5AD3" w:rsidRPr="00C34DE9" w:rsidRDefault="00CC7EC0" w:rsidP="00325330">
            <w:pPr>
              <w:spacing w:after="60"/>
              <w:jc w:val="both"/>
              <w:rPr>
                <w:rFonts w:ascii="Verdana" w:eastAsia="Times New Roman" w:hAnsi="Verdana"/>
                <w:sz w:val="18"/>
                <w:szCs w:val="18"/>
              </w:rPr>
            </w:pPr>
            <w:r w:rsidRPr="00C34DE9">
              <w:rPr>
                <w:rFonts w:ascii="Verdana" w:hAnsi="Verdana" w:cs="Calibri"/>
                <w:sz w:val="18"/>
                <w:szCs w:val="18"/>
              </w:rPr>
              <w:t xml:space="preserve">An issue to test is the capacity of the </w:t>
            </w:r>
            <w:r w:rsidR="00C51674">
              <w:rPr>
                <w:rFonts w:ascii="Verdana" w:hAnsi="Verdana" w:cs="Calibri"/>
                <w:sz w:val="18"/>
                <w:szCs w:val="18"/>
              </w:rPr>
              <w:t>indicator</w:t>
            </w:r>
            <w:r w:rsidRPr="00C34DE9">
              <w:rPr>
                <w:rFonts w:ascii="Verdana" w:hAnsi="Verdana" w:cs="Calibri"/>
                <w:sz w:val="18"/>
                <w:szCs w:val="18"/>
              </w:rPr>
              <w:t xml:space="preserve"> to detect actual landscape change</w:t>
            </w:r>
            <w:r w:rsidR="00875BA9">
              <w:rPr>
                <w:rFonts w:ascii="Verdana" w:hAnsi="Verdana" w:cs="Calibri"/>
                <w:sz w:val="18"/>
                <w:szCs w:val="18"/>
              </w:rPr>
              <w:t>, including changes</w:t>
            </w:r>
            <w:r w:rsidR="00C51674">
              <w:rPr>
                <w:rFonts w:ascii="Verdana" w:hAnsi="Verdana" w:cs="Calibri"/>
                <w:sz w:val="18"/>
                <w:szCs w:val="18"/>
              </w:rPr>
              <w:t xml:space="preserve"> triggered by agricultural practices</w:t>
            </w:r>
            <w:r w:rsidRPr="00C34DE9">
              <w:rPr>
                <w:rFonts w:ascii="Verdana" w:hAnsi="Verdana" w:cs="Calibri"/>
                <w:sz w:val="18"/>
                <w:szCs w:val="18"/>
              </w:rPr>
              <w:t>, considering the estimated accuracy</w:t>
            </w:r>
            <w:r w:rsidR="00C51674">
              <w:rPr>
                <w:rFonts w:ascii="Verdana" w:hAnsi="Verdana" w:cs="Calibri"/>
                <w:sz w:val="18"/>
                <w:szCs w:val="18"/>
              </w:rPr>
              <w:t xml:space="preserve"> and the pace of landscape change</w:t>
            </w:r>
            <w:r w:rsidR="00875BA9">
              <w:rPr>
                <w:rFonts w:ascii="Verdana" w:hAnsi="Verdana" w:cs="Calibri"/>
                <w:sz w:val="18"/>
                <w:szCs w:val="18"/>
              </w:rPr>
              <w:t xml:space="preserve"> at the EU level</w:t>
            </w:r>
            <w:r w:rsidR="00C51674">
              <w:rPr>
                <w:rFonts w:ascii="Verdana" w:hAnsi="Verdana" w:cs="Calibri"/>
                <w:sz w:val="18"/>
                <w:szCs w:val="18"/>
              </w:rPr>
              <w:t>.</w:t>
            </w:r>
          </w:p>
        </w:tc>
      </w:tr>
    </w:tbl>
    <w:p w14:paraId="3D323B80" w14:textId="77777777" w:rsidR="00466E21" w:rsidRPr="00C34DE9" w:rsidRDefault="00466E21" w:rsidP="00466E21">
      <w:pPr>
        <w:rPr>
          <w:rFonts w:ascii="Verdana" w:hAnsi="Verdana"/>
          <w:sz w:val="18"/>
          <w:szCs w:val="18"/>
        </w:rPr>
      </w:pPr>
      <w:r w:rsidRPr="00C34DE9">
        <w:rPr>
          <w:rFonts w:ascii="Verdana" w:hAnsi="Verdana"/>
          <w:sz w:val="18"/>
          <w:szCs w:val="18"/>
        </w:rPr>
        <w:lastRenderedPageBreak/>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466E21" w:rsidRPr="004D00BF" w14:paraId="1480BB55"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00B0F0"/>
          </w:tcPr>
          <w:p w14:paraId="6AE0BC00" w14:textId="53AB36B9" w:rsidR="00466E21" w:rsidRPr="004E3EB3" w:rsidRDefault="00466E21" w:rsidP="00235122">
            <w:pPr>
              <w:spacing w:before="120" w:after="60"/>
              <w:rPr>
                <w:rFonts w:ascii="Verdana" w:hAnsi="Verdana"/>
                <w:b/>
                <w:bCs/>
                <w:caps/>
                <w:sz w:val="18"/>
                <w:szCs w:val="18"/>
              </w:rPr>
            </w:pPr>
            <w:bookmarkStart w:id="27" w:name="C21a"/>
            <w:r w:rsidRPr="3B80D187">
              <w:rPr>
                <w:rFonts w:ascii="Verdana" w:hAnsi="Verdana"/>
                <w:b/>
                <w:bCs/>
                <w:smallCaps/>
                <w:sz w:val="18"/>
                <w:szCs w:val="18"/>
              </w:rPr>
              <w:lastRenderedPageBreak/>
              <w:t xml:space="preserve">Indicator </w:t>
            </w:r>
            <w:r w:rsidR="004358EC" w:rsidRPr="3B80D187">
              <w:rPr>
                <w:rFonts w:ascii="Verdana" w:hAnsi="Verdana"/>
                <w:b/>
                <w:bCs/>
                <w:smallCaps/>
                <w:sz w:val="18"/>
                <w:szCs w:val="18"/>
              </w:rPr>
              <w:t>C</w:t>
            </w:r>
            <w:r w:rsidRPr="3B80D187">
              <w:rPr>
                <w:rFonts w:ascii="Verdana" w:hAnsi="Verdana"/>
                <w:b/>
                <w:bCs/>
                <w:smallCaps/>
                <w:sz w:val="18"/>
                <w:szCs w:val="18"/>
              </w:rPr>
              <w:t>.2</w:t>
            </w:r>
            <w:r w:rsidR="00235122">
              <w:rPr>
                <w:rFonts w:ascii="Verdana" w:hAnsi="Verdana"/>
                <w:b/>
                <w:bCs/>
                <w:smallCaps/>
                <w:sz w:val="18"/>
                <w:szCs w:val="18"/>
              </w:rPr>
              <w:t>2</w:t>
            </w:r>
            <w:bookmarkEnd w:id="27"/>
          </w:p>
        </w:tc>
        <w:tc>
          <w:tcPr>
            <w:tcW w:w="7087" w:type="dxa"/>
            <w:tcBorders>
              <w:top w:val="single" w:sz="4" w:space="0" w:color="auto"/>
              <w:left w:val="single" w:sz="4" w:space="0" w:color="auto"/>
              <w:bottom w:val="single" w:sz="4" w:space="0" w:color="auto"/>
              <w:right w:val="single" w:sz="4" w:space="0" w:color="auto"/>
            </w:tcBorders>
            <w:shd w:val="clear" w:color="auto" w:fill="00B0F0"/>
          </w:tcPr>
          <w:p w14:paraId="4A992E4E" w14:textId="760A7015" w:rsidR="00466E21" w:rsidRDefault="00466E21" w:rsidP="5CB4B133">
            <w:pPr>
              <w:spacing w:before="120" w:after="60"/>
              <w:rPr>
                <w:rFonts w:ascii="Verdana" w:hAnsi="Verdana"/>
                <w:b/>
                <w:bCs/>
                <w:sz w:val="18"/>
                <w:szCs w:val="18"/>
              </w:rPr>
            </w:pPr>
            <w:bookmarkStart w:id="28" w:name="I20a"/>
            <w:r w:rsidRPr="5CB4B133">
              <w:rPr>
                <w:rFonts w:ascii="Verdana" w:hAnsi="Verdana"/>
                <w:b/>
                <w:bCs/>
                <w:sz w:val="18"/>
                <w:szCs w:val="18"/>
              </w:rPr>
              <w:t>Indicator I.2</w:t>
            </w:r>
            <w:r w:rsidR="0079001D">
              <w:rPr>
                <w:rFonts w:ascii="Verdana" w:hAnsi="Verdana"/>
                <w:b/>
                <w:bCs/>
                <w:sz w:val="18"/>
                <w:szCs w:val="18"/>
              </w:rPr>
              <w:t>2</w:t>
            </w:r>
            <w:r w:rsidRPr="5CB4B133">
              <w:rPr>
                <w:rFonts w:ascii="Verdana" w:hAnsi="Verdana"/>
                <w:b/>
                <w:bCs/>
                <w:sz w:val="18"/>
                <w:szCs w:val="18"/>
              </w:rPr>
              <w:t xml:space="preserve"> </w:t>
            </w:r>
            <w:bookmarkEnd w:id="28"/>
            <w:r w:rsidRPr="5CB4B133">
              <w:rPr>
                <w:rFonts w:ascii="Verdana" w:hAnsi="Verdana"/>
                <w:b/>
                <w:bCs/>
                <w:sz w:val="18"/>
                <w:szCs w:val="18"/>
              </w:rPr>
              <w:t>Increas</w:t>
            </w:r>
            <w:r w:rsidR="00960A93">
              <w:rPr>
                <w:rFonts w:ascii="Verdana" w:hAnsi="Verdana"/>
                <w:b/>
                <w:bCs/>
                <w:sz w:val="18"/>
                <w:szCs w:val="18"/>
              </w:rPr>
              <w:t>ing</w:t>
            </w:r>
            <w:r w:rsidRPr="5CB4B133">
              <w:rPr>
                <w:rFonts w:ascii="Verdana" w:hAnsi="Verdana"/>
                <w:b/>
                <w:bCs/>
                <w:sz w:val="18"/>
                <w:szCs w:val="18"/>
              </w:rPr>
              <w:t xml:space="preserve"> agro-biodiversity in farming system</w:t>
            </w:r>
            <w:r w:rsidR="00235122">
              <w:rPr>
                <w:rFonts w:ascii="Verdana" w:hAnsi="Verdana"/>
                <w:b/>
                <w:bCs/>
                <w:sz w:val="18"/>
                <w:szCs w:val="18"/>
              </w:rPr>
              <w:t>:</w:t>
            </w:r>
          </w:p>
          <w:p w14:paraId="71924C29" w14:textId="77777777" w:rsidR="00466E21" w:rsidRPr="00466E21" w:rsidRDefault="00466E21" w:rsidP="00090490">
            <w:pPr>
              <w:spacing w:before="120" w:after="60"/>
              <w:rPr>
                <w:rFonts w:ascii="Verdana" w:hAnsi="Verdana"/>
                <w:caps/>
                <w:sz w:val="18"/>
                <w:szCs w:val="18"/>
              </w:rPr>
            </w:pPr>
            <w:r w:rsidRPr="00466E21">
              <w:rPr>
                <w:rFonts w:ascii="Verdana" w:hAnsi="Verdana"/>
                <w:sz w:val="18"/>
                <w:szCs w:val="18"/>
              </w:rPr>
              <w:t>Crop diversity</w:t>
            </w:r>
          </w:p>
        </w:tc>
      </w:tr>
      <w:tr w:rsidR="00466E21" w:rsidRPr="004D00BF" w14:paraId="05C03D43"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299F57DD"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Indicator Name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0FA84A9" w14:textId="77777777" w:rsidR="00466E21" w:rsidRPr="00022C9D" w:rsidRDefault="00466E21" w:rsidP="3B80D187">
            <w:pPr>
              <w:spacing w:after="60"/>
              <w:jc w:val="center"/>
              <w:rPr>
                <w:rFonts w:ascii="Verdana" w:hAnsi="Verdana"/>
                <w:b/>
                <w:bCs/>
                <w:sz w:val="18"/>
                <w:szCs w:val="18"/>
              </w:rPr>
            </w:pPr>
            <w:r w:rsidRPr="3B80D187">
              <w:rPr>
                <w:rFonts w:ascii="Verdana" w:hAnsi="Verdana"/>
                <w:b/>
                <w:bCs/>
                <w:sz w:val="18"/>
                <w:szCs w:val="18"/>
              </w:rPr>
              <w:t>Crop diversity</w:t>
            </w:r>
          </w:p>
        </w:tc>
      </w:tr>
      <w:tr w:rsidR="00466E21" w:rsidRPr="004D00BF" w14:paraId="117E038D"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3AFADC1A"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Definition</w:t>
            </w:r>
          </w:p>
        </w:tc>
        <w:tc>
          <w:tcPr>
            <w:tcW w:w="7087" w:type="dxa"/>
            <w:tcBorders>
              <w:top w:val="single" w:sz="4" w:space="0" w:color="auto"/>
              <w:left w:val="single" w:sz="4" w:space="0" w:color="auto"/>
              <w:bottom w:val="single" w:sz="4" w:space="0" w:color="auto"/>
              <w:right w:val="single" w:sz="4" w:space="0" w:color="auto"/>
            </w:tcBorders>
          </w:tcPr>
          <w:p w14:paraId="44DAA417" w14:textId="77777777" w:rsidR="00466E21" w:rsidRPr="00665997" w:rsidRDefault="00466E21" w:rsidP="00090490">
            <w:pPr>
              <w:jc w:val="both"/>
              <w:rPr>
                <w:rFonts w:ascii="Verdana" w:hAnsi="Verdana"/>
                <w:sz w:val="18"/>
                <w:szCs w:val="18"/>
              </w:rPr>
            </w:pPr>
            <w:r w:rsidRPr="00665997">
              <w:rPr>
                <w:rFonts w:ascii="Verdana" w:hAnsi="Verdana"/>
                <w:sz w:val="18"/>
                <w:szCs w:val="18"/>
              </w:rPr>
              <w:t>This indicator comprises two sub-indicators:</w:t>
            </w:r>
          </w:p>
          <w:p w14:paraId="12D5ED9C" w14:textId="77777777" w:rsidR="00466E21" w:rsidRPr="00665997" w:rsidRDefault="00466E21" w:rsidP="00730BAE">
            <w:pPr>
              <w:pStyle w:val="ListParagraph"/>
              <w:numPr>
                <w:ilvl w:val="0"/>
                <w:numId w:val="106"/>
              </w:numPr>
              <w:jc w:val="both"/>
              <w:rPr>
                <w:rFonts w:ascii="Verdana" w:hAnsi="Verdana"/>
                <w:b/>
                <w:bCs/>
                <w:sz w:val="18"/>
                <w:szCs w:val="18"/>
              </w:rPr>
            </w:pPr>
            <w:r w:rsidRPr="3B80D187">
              <w:rPr>
                <w:rFonts w:ascii="Verdana" w:hAnsi="Verdana"/>
                <w:b/>
                <w:bCs/>
                <w:sz w:val="18"/>
                <w:szCs w:val="18"/>
              </w:rPr>
              <w:t>Crop diversity on farm (number of farms by number of crops and size)</w:t>
            </w:r>
          </w:p>
          <w:p w14:paraId="340938B0" w14:textId="77777777" w:rsidR="00466E21" w:rsidRPr="00665997" w:rsidRDefault="00466E21" w:rsidP="00090490">
            <w:pPr>
              <w:pStyle w:val="ListParagraph"/>
              <w:ind w:left="360"/>
              <w:jc w:val="both"/>
              <w:rPr>
                <w:rFonts w:ascii="Verdana" w:hAnsi="Verdana"/>
                <w:sz w:val="18"/>
                <w:szCs w:val="18"/>
              </w:rPr>
            </w:pPr>
            <w:r w:rsidRPr="00665997">
              <w:rPr>
                <w:rFonts w:ascii="Verdana" w:hAnsi="Verdana"/>
                <w:sz w:val="18"/>
                <w:szCs w:val="18"/>
              </w:rPr>
              <w:t>Number and % of farms by number of crops (1, 2, 3, and &gt;3) and by size of arable land (arable land &lt; 10ha; 10ha&lt; arable land &lt; 30 ha; 30 ha &lt; 100 ha; arable land&gt;100 ha), at NUTS 2 level.</w:t>
            </w:r>
          </w:p>
          <w:p w14:paraId="60D0888F" w14:textId="77777777" w:rsidR="00466E21" w:rsidRPr="00665997" w:rsidRDefault="00466E21" w:rsidP="00090490">
            <w:pPr>
              <w:pStyle w:val="ListParagraph"/>
              <w:ind w:left="360"/>
              <w:jc w:val="both"/>
              <w:rPr>
                <w:rFonts w:ascii="Verdana" w:hAnsi="Verdana"/>
                <w:sz w:val="18"/>
                <w:szCs w:val="18"/>
              </w:rPr>
            </w:pPr>
          </w:p>
          <w:p w14:paraId="3B13C0DF" w14:textId="77777777" w:rsidR="00466E21" w:rsidRPr="00665997" w:rsidRDefault="00466E21" w:rsidP="00730BAE">
            <w:pPr>
              <w:pStyle w:val="ListParagraph"/>
              <w:numPr>
                <w:ilvl w:val="0"/>
                <w:numId w:val="106"/>
              </w:numPr>
              <w:jc w:val="both"/>
              <w:rPr>
                <w:b/>
                <w:bCs/>
              </w:rPr>
            </w:pPr>
            <w:r w:rsidRPr="3B80D187">
              <w:rPr>
                <w:rFonts w:ascii="Verdana" w:hAnsi="Verdana"/>
                <w:b/>
                <w:bCs/>
                <w:sz w:val="18"/>
                <w:szCs w:val="18"/>
              </w:rPr>
              <w:t>Crop diversity in a region</w:t>
            </w:r>
          </w:p>
          <w:p w14:paraId="7FDB0C91" w14:textId="77777777" w:rsidR="00466E21" w:rsidRPr="00665997" w:rsidRDefault="00466E21" w:rsidP="790C88FB">
            <w:pPr>
              <w:pStyle w:val="ListParagraph"/>
              <w:ind w:left="360"/>
              <w:jc w:val="both"/>
            </w:pPr>
            <w:r w:rsidRPr="00665997">
              <w:rPr>
                <w:rFonts w:ascii="Verdana" w:hAnsi="Verdana"/>
                <w:sz w:val="18"/>
                <w:szCs w:val="18"/>
              </w:rPr>
              <w:t>Average number of crops grown on a holding at NUTS 2 level as one, and broken down by arable land size classes (arable land &lt; 10ha; 10ha&lt; arable land &lt; 30 ha; arable land &gt; 30 ha).</w:t>
            </w:r>
          </w:p>
        </w:tc>
      </w:tr>
      <w:tr w:rsidR="00466E21" w:rsidRPr="004D00BF" w14:paraId="32540B93"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2A5AE8DA"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Unit of measurement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CA3C89C" w14:textId="12B052C1" w:rsidR="00466E21" w:rsidRPr="00665997" w:rsidRDefault="00466E21" w:rsidP="00090490">
            <w:pPr>
              <w:rPr>
                <w:rFonts w:ascii="Verdana" w:hAnsi="Verdana"/>
                <w:sz w:val="18"/>
                <w:szCs w:val="18"/>
              </w:rPr>
            </w:pPr>
            <w:r>
              <w:rPr>
                <w:rFonts w:ascii="Verdana" w:hAnsi="Verdana"/>
                <w:sz w:val="18"/>
                <w:szCs w:val="18"/>
              </w:rPr>
              <w:t>1,</w:t>
            </w:r>
            <w:r w:rsidR="006F76AA">
              <w:rPr>
                <w:rFonts w:ascii="Verdana" w:hAnsi="Verdana"/>
                <w:sz w:val="18"/>
                <w:szCs w:val="18"/>
              </w:rPr>
              <w:t xml:space="preserve"> </w:t>
            </w:r>
            <w:r>
              <w:rPr>
                <w:rFonts w:ascii="Verdana" w:hAnsi="Verdana"/>
                <w:sz w:val="18"/>
                <w:szCs w:val="18"/>
              </w:rPr>
              <w:t xml:space="preserve">2: Number, </w:t>
            </w:r>
            <w:r w:rsidRPr="00665997">
              <w:rPr>
                <w:rFonts w:ascii="Verdana" w:hAnsi="Verdana"/>
                <w:sz w:val="18"/>
                <w:szCs w:val="18"/>
              </w:rPr>
              <w:t>%</w:t>
            </w:r>
          </w:p>
        </w:tc>
      </w:tr>
      <w:tr w:rsidR="00466E21" w:rsidRPr="004D00BF" w14:paraId="3798B12C"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5D4CC677"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Data source</w:t>
            </w:r>
          </w:p>
        </w:tc>
        <w:tc>
          <w:tcPr>
            <w:tcW w:w="7087" w:type="dxa"/>
            <w:tcBorders>
              <w:top w:val="single" w:sz="4" w:space="0" w:color="auto"/>
              <w:left w:val="single" w:sz="4" w:space="0" w:color="auto"/>
              <w:bottom w:val="single" w:sz="4" w:space="0" w:color="auto"/>
              <w:right w:val="single" w:sz="4" w:space="0" w:color="auto"/>
            </w:tcBorders>
          </w:tcPr>
          <w:p w14:paraId="6566A8AE" w14:textId="083C7AFE" w:rsidR="00466E21" w:rsidRDefault="00721641" w:rsidP="00090490">
            <w:pPr>
              <w:spacing w:before="120" w:after="60"/>
              <w:rPr>
                <w:rFonts w:ascii="Verdana" w:hAnsi="Verdana" w:cs="Calibri"/>
                <w:sz w:val="18"/>
                <w:szCs w:val="18"/>
              </w:rPr>
            </w:pPr>
            <w:r>
              <w:rPr>
                <w:rFonts w:ascii="Verdana" w:hAnsi="Verdana" w:cs="Calibri"/>
                <w:sz w:val="18"/>
                <w:szCs w:val="18"/>
              </w:rPr>
              <w:t>1</w:t>
            </w:r>
            <w:r w:rsidR="00006DA8">
              <w:rPr>
                <w:rFonts w:ascii="Verdana" w:hAnsi="Verdana" w:cs="Calibri"/>
                <w:sz w:val="18"/>
                <w:szCs w:val="18"/>
              </w:rPr>
              <w:t>-2</w:t>
            </w:r>
            <w:r w:rsidRPr="00CD5631">
              <w:rPr>
                <w:rFonts w:ascii="Verdana" w:hAnsi="Verdana" w:cs="Calibri"/>
                <w:sz w:val="18"/>
                <w:szCs w:val="18"/>
              </w:rPr>
              <w:t>: Eurostat - Farm Structure Survey</w:t>
            </w:r>
          </w:p>
          <w:p w14:paraId="2E62192B" w14:textId="77777777" w:rsidR="00466E21" w:rsidRPr="00CD5631" w:rsidRDefault="00466E21" w:rsidP="00090490">
            <w:pPr>
              <w:spacing w:before="120" w:after="60"/>
              <w:rPr>
                <w:rFonts w:ascii="Verdana" w:hAnsi="Verdana" w:cs="Calibri"/>
                <w:sz w:val="18"/>
                <w:szCs w:val="18"/>
              </w:rPr>
            </w:pPr>
            <w:r w:rsidRPr="00CD5631">
              <w:rPr>
                <w:rFonts w:ascii="Verdana" w:hAnsi="Verdana" w:cs="Calibri"/>
                <w:sz w:val="18"/>
                <w:szCs w:val="18"/>
              </w:rPr>
              <w:t xml:space="preserve">Example: </w:t>
            </w:r>
          </w:p>
          <w:p w14:paraId="046C4710" w14:textId="77777777" w:rsidR="00466E21" w:rsidRPr="00CD5631" w:rsidRDefault="00466E21" w:rsidP="00090490">
            <w:pPr>
              <w:spacing w:before="120" w:after="60"/>
              <w:rPr>
                <w:rFonts w:ascii="Verdana" w:hAnsi="Verdana" w:cs="Calibri"/>
                <w:sz w:val="18"/>
                <w:szCs w:val="18"/>
              </w:rPr>
            </w:pPr>
            <w:r>
              <w:rPr>
                <w:rFonts w:ascii="Verdana" w:hAnsi="Verdana" w:cs="Calibri"/>
                <w:sz w:val="18"/>
                <w:szCs w:val="18"/>
              </w:rPr>
              <w:t xml:space="preserve">                                   </w:t>
            </w:r>
            <w:r w:rsidRPr="00CD5631">
              <w:rPr>
                <w:rFonts w:ascii="Verdana" w:hAnsi="Verdana" w:cs="Calibri"/>
                <w:sz w:val="18"/>
                <w:szCs w:val="18"/>
              </w:rPr>
              <w:t>% of holdings</w:t>
            </w:r>
          </w:p>
          <w:p w14:paraId="48EEEC61" w14:textId="77777777" w:rsidR="00466E21" w:rsidRPr="00CD5631" w:rsidRDefault="00466E21" w:rsidP="00090490">
            <w:pPr>
              <w:spacing w:before="120" w:after="60"/>
              <w:rPr>
                <w:rFonts w:ascii="Verdana" w:hAnsi="Verdana" w:cs="Calibri"/>
                <w:sz w:val="18"/>
                <w:szCs w:val="18"/>
              </w:rPr>
            </w:pPr>
            <w:r>
              <w:rPr>
                <w:rFonts w:ascii="Verdana" w:hAnsi="Verdana" w:cs="Calibri"/>
                <w:sz w:val="18"/>
                <w:szCs w:val="18"/>
              </w:rPr>
              <w:t xml:space="preserve">                                   1 crop 2 crops 3 crops &gt;</w:t>
            </w:r>
            <w:r w:rsidRPr="00CD5631">
              <w:rPr>
                <w:rFonts w:ascii="Verdana" w:hAnsi="Verdana" w:cs="Calibri"/>
                <w:sz w:val="18"/>
                <w:szCs w:val="18"/>
              </w:rPr>
              <w:t>3 crops Total</w:t>
            </w:r>
          </w:p>
          <w:p w14:paraId="10EF2E97"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Total    &lt;10 ha              x%     y%       z%       w%        100%</w:t>
            </w:r>
          </w:p>
          <w:p w14:paraId="42DB192B"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10&lt; &lt;30            xy%   xx%     xz%      yy%       100%</w:t>
            </w:r>
          </w:p>
          <w:p w14:paraId="6A6156F1"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30&lt; &lt;100          xy%   xx%     xz%      yy%       100%</w:t>
            </w:r>
          </w:p>
          <w:p w14:paraId="335150F7"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100&lt;                 xz%   xx%      yz%     wy%       100%</w:t>
            </w:r>
          </w:p>
          <w:p w14:paraId="519BDF68" w14:textId="77777777" w:rsidR="00466E21" w:rsidRPr="0022279B" w:rsidRDefault="00466E21" w:rsidP="00090490">
            <w:pPr>
              <w:spacing w:before="120" w:after="60"/>
              <w:rPr>
                <w:rFonts w:ascii="Verdana" w:hAnsi="Verdana" w:cs="Calibri"/>
                <w:sz w:val="18"/>
                <w:szCs w:val="18"/>
                <w:lang w:val="pl-PL"/>
              </w:rPr>
            </w:pPr>
            <w:r w:rsidRPr="0022279B">
              <w:rPr>
                <w:rFonts w:ascii="Verdana" w:hAnsi="Verdana" w:cs="Calibri"/>
                <w:sz w:val="18"/>
                <w:szCs w:val="18"/>
                <w:lang w:val="pl-PL"/>
              </w:rPr>
              <w:t xml:space="preserve">           Total                   x%     y%       z%       w%       100%</w:t>
            </w:r>
          </w:p>
          <w:p w14:paraId="63D68427" w14:textId="6AE0B867" w:rsidR="00466E21" w:rsidRPr="00022C9D" w:rsidRDefault="00006DA8" w:rsidP="00090490">
            <w:pPr>
              <w:spacing w:before="120" w:after="60"/>
              <w:rPr>
                <w:rFonts w:ascii="Verdana" w:hAnsi="Verdana" w:cs="Calibri"/>
                <w:sz w:val="18"/>
                <w:szCs w:val="18"/>
              </w:rPr>
            </w:pPr>
            <w:r w:rsidRPr="00006DA8">
              <w:rPr>
                <w:rFonts w:ascii="Verdana" w:hAnsi="Verdana" w:cs="Calibri"/>
                <w:sz w:val="18"/>
                <w:szCs w:val="18"/>
              </w:rPr>
              <w:t>Eurostat – Integrated Farm Statistics (IFS)</w:t>
            </w:r>
            <w:r>
              <w:rPr>
                <w:rFonts w:ascii="Verdana" w:hAnsi="Verdana" w:cs="Calibri"/>
                <w:sz w:val="18"/>
                <w:szCs w:val="18"/>
              </w:rPr>
              <w:t xml:space="preserve"> </w:t>
            </w:r>
            <w:r>
              <w:rPr>
                <w:rFonts w:ascii="Verdana" w:eastAsia="Times New Roman" w:hAnsi="Verdana"/>
                <w:sz w:val="18"/>
                <w:szCs w:val="18"/>
              </w:rPr>
              <w:t xml:space="preserve">as of survey year 2020. </w:t>
            </w:r>
          </w:p>
        </w:tc>
      </w:tr>
      <w:tr w:rsidR="00466E21" w:rsidRPr="004D00BF" w14:paraId="3BA1BE0E"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77D1B920"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References / location of the data</w:t>
            </w:r>
          </w:p>
        </w:tc>
        <w:tc>
          <w:tcPr>
            <w:tcW w:w="7087" w:type="dxa"/>
            <w:tcBorders>
              <w:top w:val="single" w:sz="4" w:space="0" w:color="auto"/>
              <w:left w:val="single" w:sz="4" w:space="0" w:color="auto"/>
              <w:bottom w:val="single" w:sz="4" w:space="0" w:color="auto"/>
              <w:right w:val="single" w:sz="4" w:space="0" w:color="auto"/>
            </w:tcBorders>
          </w:tcPr>
          <w:p w14:paraId="43B80027" w14:textId="77777777" w:rsidR="00466E21" w:rsidRDefault="00466E21" w:rsidP="00090490">
            <w:pPr>
              <w:spacing w:before="120" w:after="60"/>
              <w:rPr>
                <w:rFonts w:ascii="Verdana" w:hAnsi="Verdana" w:cs="Calibri"/>
                <w:sz w:val="18"/>
                <w:szCs w:val="18"/>
              </w:rPr>
            </w:pPr>
            <w:r>
              <w:rPr>
                <w:rFonts w:ascii="Verdana" w:hAnsi="Verdana" w:cs="Calibri"/>
                <w:sz w:val="18"/>
                <w:szCs w:val="18"/>
              </w:rPr>
              <w:t xml:space="preserve">1: </w:t>
            </w:r>
            <w:r w:rsidRPr="006742B8">
              <w:rPr>
                <w:rFonts w:ascii="Verdana" w:hAnsi="Verdana" w:cs="Calibri"/>
                <w:sz w:val="18"/>
                <w:szCs w:val="18"/>
              </w:rPr>
              <w:t>special request to Eurostat for extraction from Eurofarm</w:t>
            </w:r>
            <w:r>
              <w:rPr>
                <w:rFonts w:ascii="Verdana" w:hAnsi="Verdana" w:cs="Calibri"/>
                <w:sz w:val="18"/>
                <w:szCs w:val="18"/>
              </w:rPr>
              <w:t xml:space="preserve"> </w:t>
            </w:r>
            <w:r w:rsidRPr="006742B8">
              <w:rPr>
                <w:rFonts w:ascii="Verdana" w:hAnsi="Verdana" w:cs="Calibri"/>
                <w:sz w:val="18"/>
                <w:szCs w:val="18"/>
              </w:rPr>
              <w:t>Database</w:t>
            </w:r>
          </w:p>
          <w:p w14:paraId="04EAB801" w14:textId="77777777" w:rsidR="00466E21" w:rsidRPr="00022C9D" w:rsidRDefault="00466E21" w:rsidP="00090490">
            <w:pPr>
              <w:spacing w:before="120" w:after="60"/>
              <w:rPr>
                <w:rFonts w:ascii="Verdana" w:hAnsi="Verdana" w:cs="Calibri"/>
                <w:sz w:val="18"/>
                <w:szCs w:val="18"/>
              </w:rPr>
            </w:pPr>
            <w:r>
              <w:rPr>
                <w:rFonts w:ascii="Verdana" w:hAnsi="Verdana" w:cs="Calibri"/>
                <w:sz w:val="18"/>
                <w:szCs w:val="18"/>
              </w:rPr>
              <w:t xml:space="preserve">2: </w:t>
            </w:r>
            <w:r w:rsidRPr="006742B8">
              <w:rPr>
                <w:rFonts w:ascii="Verdana" w:hAnsi="Verdana" w:cs="Calibri"/>
                <w:sz w:val="18"/>
                <w:szCs w:val="18"/>
              </w:rPr>
              <w:t xml:space="preserve">from sub-indicator </w:t>
            </w:r>
            <w:r>
              <w:rPr>
                <w:rFonts w:ascii="Verdana" w:hAnsi="Verdana" w:cs="Calibri"/>
                <w:sz w:val="18"/>
                <w:szCs w:val="18"/>
              </w:rPr>
              <w:t>1</w:t>
            </w:r>
          </w:p>
        </w:tc>
      </w:tr>
      <w:tr w:rsidR="00466E21" w:rsidRPr="004D00BF" w14:paraId="1511BDDA"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4704E1B2"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Data collection / dissemination level</w:t>
            </w:r>
          </w:p>
        </w:tc>
        <w:tc>
          <w:tcPr>
            <w:tcW w:w="7087" w:type="dxa"/>
            <w:tcBorders>
              <w:top w:val="single" w:sz="4" w:space="0" w:color="auto"/>
              <w:left w:val="single" w:sz="4" w:space="0" w:color="auto"/>
              <w:bottom w:val="single" w:sz="4" w:space="0" w:color="auto"/>
              <w:right w:val="single" w:sz="4" w:space="0" w:color="auto"/>
            </w:tcBorders>
          </w:tcPr>
          <w:p w14:paraId="215355DD" w14:textId="77777777" w:rsidR="00466E21" w:rsidRPr="00022C9D" w:rsidRDefault="00466E21" w:rsidP="00090490">
            <w:pPr>
              <w:spacing w:before="120" w:after="60"/>
              <w:rPr>
                <w:rFonts w:ascii="Verdana" w:hAnsi="Verdana"/>
                <w:sz w:val="18"/>
                <w:szCs w:val="18"/>
              </w:rPr>
            </w:pPr>
            <w:r>
              <w:rPr>
                <w:rFonts w:ascii="Verdana" w:hAnsi="Verdana"/>
                <w:sz w:val="18"/>
                <w:szCs w:val="18"/>
              </w:rPr>
              <w:t>National (NUTS 0)</w:t>
            </w:r>
          </w:p>
        </w:tc>
      </w:tr>
      <w:tr w:rsidR="00466E21" w:rsidRPr="004D00BF" w14:paraId="76056F6A"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64AD215F"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 xml:space="preserve">Frequency </w:t>
            </w:r>
          </w:p>
        </w:tc>
        <w:tc>
          <w:tcPr>
            <w:tcW w:w="7087" w:type="dxa"/>
            <w:tcBorders>
              <w:top w:val="single" w:sz="4" w:space="0" w:color="auto"/>
              <w:left w:val="single" w:sz="4" w:space="0" w:color="auto"/>
              <w:bottom w:val="single" w:sz="4" w:space="0" w:color="auto"/>
              <w:right w:val="single" w:sz="4" w:space="0" w:color="auto"/>
            </w:tcBorders>
          </w:tcPr>
          <w:p w14:paraId="5C14AB0E" w14:textId="77777777" w:rsidR="00466E21" w:rsidRDefault="00466E21" w:rsidP="00090490">
            <w:pPr>
              <w:spacing w:before="120" w:after="60"/>
              <w:rPr>
                <w:rFonts w:ascii="Verdana" w:hAnsi="Verdana"/>
                <w:sz w:val="18"/>
                <w:szCs w:val="18"/>
              </w:rPr>
            </w:pPr>
            <w:r w:rsidRPr="006742B8">
              <w:rPr>
                <w:rFonts w:ascii="Verdana" w:hAnsi="Verdana"/>
                <w:sz w:val="18"/>
                <w:szCs w:val="18"/>
              </w:rPr>
              <w:t>Farm Structure Survey – every 3-4 years (2013; 2016)</w:t>
            </w:r>
          </w:p>
          <w:p w14:paraId="60E616CC" w14:textId="6309929A" w:rsidR="00466E21" w:rsidRPr="006742B8" w:rsidRDefault="00006DA8" w:rsidP="00090490">
            <w:pPr>
              <w:spacing w:before="120" w:after="60"/>
              <w:rPr>
                <w:rFonts w:ascii="Verdana" w:hAnsi="Verdana"/>
                <w:sz w:val="18"/>
                <w:szCs w:val="18"/>
              </w:rPr>
            </w:pPr>
            <w:r>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466E21" w:rsidRPr="004D00BF" w14:paraId="071CE406"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49903782" w14:textId="77777777" w:rsidR="00466E21" w:rsidRPr="004E3EB3" w:rsidRDefault="00466E21" w:rsidP="790C88FB">
            <w:pPr>
              <w:spacing w:before="120" w:after="60"/>
              <w:rPr>
                <w:rFonts w:ascii="Verdana" w:hAnsi="Verdana"/>
                <w:b/>
                <w:bCs/>
                <w:i/>
                <w:iCs/>
                <w:sz w:val="18"/>
                <w:szCs w:val="18"/>
              </w:rPr>
            </w:pPr>
            <w:r w:rsidRPr="3B80D187">
              <w:rPr>
                <w:rFonts w:ascii="Verdana" w:hAnsi="Verdana"/>
                <w:b/>
                <w:bCs/>
                <w:sz w:val="18"/>
                <w:szCs w:val="18"/>
              </w:rPr>
              <w:t>Timeliness</w:t>
            </w:r>
          </w:p>
        </w:tc>
        <w:tc>
          <w:tcPr>
            <w:tcW w:w="7087" w:type="dxa"/>
            <w:tcBorders>
              <w:top w:val="single" w:sz="4" w:space="0" w:color="auto"/>
              <w:left w:val="single" w:sz="4" w:space="0" w:color="auto"/>
              <w:bottom w:val="single" w:sz="4" w:space="0" w:color="auto"/>
              <w:right w:val="single" w:sz="4" w:space="0" w:color="auto"/>
            </w:tcBorders>
          </w:tcPr>
          <w:p w14:paraId="3CAE55C3" w14:textId="77777777" w:rsidR="00466E21" w:rsidRPr="00022C9D" w:rsidRDefault="00466E21" w:rsidP="00090490">
            <w:pPr>
              <w:spacing w:before="120" w:after="60"/>
              <w:rPr>
                <w:rFonts w:ascii="Verdana" w:hAnsi="Verdana"/>
                <w:sz w:val="18"/>
                <w:szCs w:val="18"/>
              </w:rPr>
            </w:pPr>
            <w:r w:rsidRPr="006742B8">
              <w:rPr>
                <w:rFonts w:ascii="Verdana" w:hAnsi="Verdana"/>
                <w:sz w:val="18"/>
                <w:szCs w:val="18"/>
              </w:rPr>
              <w:t>Farm Structure Survey – 2-3 years (=&gt; 2013 FSS results ar</w:t>
            </w:r>
            <w:r>
              <w:rPr>
                <w:rFonts w:ascii="Verdana" w:hAnsi="Verdana"/>
                <w:sz w:val="18"/>
                <w:szCs w:val="18"/>
              </w:rPr>
              <w:t xml:space="preserve">e available mid-2015; 2016 FSS </w:t>
            </w:r>
            <w:r w:rsidRPr="006742B8">
              <w:rPr>
                <w:rFonts w:ascii="Verdana" w:hAnsi="Verdana"/>
                <w:sz w:val="18"/>
                <w:szCs w:val="18"/>
              </w:rPr>
              <w:t>will be available in 2018)</w:t>
            </w:r>
          </w:p>
        </w:tc>
      </w:tr>
      <w:tr w:rsidR="00466E21" w:rsidRPr="004D00BF" w14:paraId="673A739E" w14:textId="77777777" w:rsidTr="0032562E">
        <w:tc>
          <w:tcPr>
            <w:tcW w:w="2660" w:type="dxa"/>
            <w:tcBorders>
              <w:top w:val="single" w:sz="4" w:space="0" w:color="auto"/>
              <w:left w:val="single" w:sz="4" w:space="0" w:color="auto"/>
              <w:bottom w:val="single" w:sz="4" w:space="0" w:color="auto"/>
              <w:right w:val="single" w:sz="4" w:space="0" w:color="auto"/>
            </w:tcBorders>
            <w:shd w:val="clear" w:color="auto" w:fill="auto"/>
          </w:tcPr>
          <w:p w14:paraId="7A6466E9" w14:textId="77777777" w:rsidR="00466E21" w:rsidRPr="004E3EB3" w:rsidRDefault="00466E21" w:rsidP="3B80D187">
            <w:pPr>
              <w:spacing w:before="120" w:after="60"/>
              <w:rPr>
                <w:rFonts w:ascii="Verdana" w:hAnsi="Verdana"/>
                <w:b/>
                <w:bCs/>
                <w:sz w:val="18"/>
                <w:szCs w:val="18"/>
              </w:rPr>
            </w:pPr>
            <w:r w:rsidRPr="3B80D187">
              <w:rPr>
                <w:rFonts w:ascii="Verdana" w:hAnsi="Verdana"/>
                <w:b/>
                <w:bCs/>
                <w:sz w:val="18"/>
                <w:szCs w:val="18"/>
              </w:rPr>
              <w:t>Comments/caveats</w:t>
            </w:r>
            <w:r w:rsidRPr="004E3EB3">
              <w:rPr>
                <w:rFonts w:ascii="Verdana" w:hAnsi="Verdana"/>
                <w:sz w:val="18"/>
                <w:szCs w:val="18"/>
              </w:rPr>
              <w:t xml:space="preserve"> </w:t>
            </w:r>
          </w:p>
        </w:tc>
        <w:tc>
          <w:tcPr>
            <w:tcW w:w="7087" w:type="dxa"/>
            <w:tcBorders>
              <w:top w:val="single" w:sz="4" w:space="0" w:color="auto"/>
              <w:left w:val="single" w:sz="4" w:space="0" w:color="auto"/>
              <w:bottom w:val="single" w:sz="4" w:space="0" w:color="auto"/>
              <w:right w:val="single" w:sz="4" w:space="0" w:color="auto"/>
            </w:tcBorders>
          </w:tcPr>
          <w:p w14:paraId="78CCE357" w14:textId="2FBDCE90" w:rsidR="00466E21" w:rsidRPr="00022C9D" w:rsidRDefault="00466E21" w:rsidP="00090490">
            <w:pPr>
              <w:spacing w:before="120" w:after="60"/>
              <w:rPr>
                <w:rFonts w:ascii="Verdana" w:hAnsi="Verdana"/>
                <w:sz w:val="18"/>
                <w:szCs w:val="18"/>
              </w:rPr>
            </w:pPr>
          </w:p>
        </w:tc>
      </w:tr>
    </w:tbl>
    <w:p w14:paraId="23440E57" w14:textId="77777777" w:rsidR="00466E21" w:rsidRDefault="00466E21" w:rsidP="00AA6E22">
      <w:pPr>
        <w:rPr>
          <w:rFonts w:ascii="Verdana" w:hAnsi="Verdana"/>
          <w:sz w:val="18"/>
          <w:szCs w:val="18"/>
        </w:rPr>
      </w:pPr>
    </w:p>
    <w:p w14:paraId="12D1EB2A" w14:textId="77777777" w:rsidR="00BD6BF6" w:rsidRPr="00C34DE9" w:rsidRDefault="00BB5AD3">
      <w:pPr>
        <w:rPr>
          <w:rFonts w:ascii="Verdana" w:hAnsi="Verdana"/>
          <w:sz w:val="18"/>
          <w:szCs w:val="18"/>
        </w:rPr>
      </w:pPr>
      <w:r w:rsidRPr="00C34DE9">
        <w:rPr>
          <w:rFonts w:ascii="Verdana" w:hAnsi="Verdana"/>
          <w:sz w:val="18"/>
          <w:szCs w:val="1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29"/>
      </w:tblGrid>
      <w:tr w:rsidR="0007671D" w:rsidRPr="00C34DE9" w14:paraId="625B97D2" w14:textId="77777777" w:rsidTr="790C88FB">
        <w:trPr>
          <w:trHeight w:val="411"/>
        </w:trPr>
        <w:tc>
          <w:tcPr>
            <w:tcW w:w="2660" w:type="dxa"/>
            <w:shd w:val="clear" w:color="auto" w:fill="auto"/>
          </w:tcPr>
          <w:p w14:paraId="1A3770B1" w14:textId="097ADEFA" w:rsidR="0007671D" w:rsidRPr="00C34DE9" w:rsidRDefault="006D0CBA" w:rsidP="00235122">
            <w:pPr>
              <w:spacing w:after="60" w:line="240" w:lineRule="auto"/>
              <w:rPr>
                <w:rFonts w:ascii="Verdana" w:hAnsi="Verdana"/>
                <w:b/>
                <w:bCs/>
                <w:sz w:val="18"/>
                <w:szCs w:val="18"/>
              </w:rPr>
            </w:pPr>
            <w:bookmarkStart w:id="29" w:name="C22"/>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2</w:t>
            </w:r>
            <w:r w:rsidR="00235122">
              <w:rPr>
                <w:rFonts w:ascii="Verdana" w:hAnsi="Verdana"/>
                <w:b/>
                <w:bCs/>
                <w:sz w:val="18"/>
                <w:szCs w:val="18"/>
              </w:rPr>
              <w:t>3</w:t>
            </w:r>
            <w:bookmarkEnd w:id="29"/>
          </w:p>
        </w:tc>
        <w:tc>
          <w:tcPr>
            <w:tcW w:w="7229" w:type="dxa"/>
            <w:shd w:val="clear" w:color="auto" w:fill="auto"/>
          </w:tcPr>
          <w:p w14:paraId="5BEB063F" w14:textId="77777777" w:rsidR="0007671D" w:rsidRPr="00C34DE9" w:rsidRDefault="0007671D" w:rsidP="00C30187">
            <w:pPr>
              <w:spacing w:after="60"/>
              <w:rPr>
                <w:rFonts w:ascii="Verdana" w:hAnsi="Verdana"/>
                <w:caps/>
                <w:sz w:val="18"/>
                <w:szCs w:val="18"/>
              </w:rPr>
            </w:pPr>
          </w:p>
        </w:tc>
      </w:tr>
      <w:tr w:rsidR="0007671D" w:rsidRPr="00C34DE9" w14:paraId="4A4BEB61" w14:textId="77777777" w:rsidTr="790C88FB">
        <w:trPr>
          <w:trHeight w:val="556"/>
        </w:trPr>
        <w:tc>
          <w:tcPr>
            <w:tcW w:w="2660" w:type="dxa"/>
            <w:shd w:val="clear" w:color="auto" w:fill="auto"/>
          </w:tcPr>
          <w:p w14:paraId="6EDC339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229" w:type="dxa"/>
            <w:shd w:val="clear" w:color="auto" w:fill="auto"/>
          </w:tcPr>
          <w:p w14:paraId="10B3518B" w14:textId="7F95691B" w:rsidR="0007671D" w:rsidRPr="00C34DE9" w:rsidRDefault="0007671D" w:rsidP="3F4AE0BD">
            <w:pPr>
              <w:spacing w:after="60" w:line="240" w:lineRule="auto"/>
              <w:jc w:val="center"/>
              <w:rPr>
                <w:rFonts w:ascii="Verdana" w:hAnsi="Verdana"/>
                <w:b/>
                <w:bCs/>
                <w:sz w:val="18"/>
                <w:szCs w:val="18"/>
              </w:rPr>
            </w:pPr>
            <w:r w:rsidRPr="3F4AE0BD">
              <w:rPr>
                <w:rFonts w:ascii="Verdana" w:hAnsi="Verdana"/>
                <w:b/>
                <w:bCs/>
                <w:sz w:val="18"/>
                <w:szCs w:val="18"/>
              </w:rPr>
              <w:t xml:space="preserve">Livestock </w:t>
            </w:r>
            <w:r w:rsidR="00EC026F" w:rsidRPr="3F4AE0BD">
              <w:rPr>
                <w:rFonts w:ascii="Verdana" w:hAnsi="Verdana"/>
                <w:b/>
                <w:bCs/>
                <w:sz w:val="18"/>
                <w:szCs w:val="18"/>
              </w:rPr>
              <w:t>units</w:t>
            </w:r>
          </w:p>
        </w:tc>
      </w:tr>
      <w:tr w:rsidR="0007671D" w:rsidRPr="00C34DE9" w14:paraId="590C9E1E" w14:textId="77777777" w:rsidTr="790C88FB">
        <w:tc>
          <w:tcPr>
            <w:tcW w:w="2660" w:type="dxa"/>
            <w:shd w:val="clear" w:color="auto" w:fill="auto"/>
          </w:tcPr>
          <w:p w14:paraId="5D91D6A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229" w:type="dxa"/>
            <w:shd w:val="clear" w:color="auto" w:fill="auto"/>
            <w:vAlign w:val="center"/>
          </w:tcPr>
          <w:p w14:paraId="3EE5C760" w14:textId="21EE1A9C" w:rsidR="0007671D" w:rsidRDefault="0007671D" w:rsidP="00161B7C">
            <w:pPr>
              <w:pStyle w:val="RD-Indicatortabletext"/>
              <w:spacing w:after="60"/>
              <w:jc w:val="both"/>
              <w:rPr>
                <w:rFonts w:cs="Times New Roman"/>
                <w:sz w:val="18"/>
                <w:szCs w:val="18"/>
              </w:rPr>
            </w:pPr>
            <w:r w:rsidRPr="00C34DE9">
              <w:rPr>
                <w:rFonts w:cs="Times New Roman"/>
                <w:sz w:val="18"/>
                <w:szCs w:val="18"/>
              </w:rPr>
              <w:t xml:space="preserve">This indicator gives </w:t>
            </w:r>
            <w:r w:rsidRPr="001C195E">
              <w:rPr>
                <w:rFonts w:cs="Times New Roman"/>
                <w:sz w:val="18"/>
                <w:szCs w:val="18"/>
              </w:rPr>
              <w:t xml:space="preserve">the total </w:t>
            </w:r>
            <w:r w:rsidRPr="3F4AE0BD">
              <w:rPr>
                <w:rFonts w:cs="Times New Roman"/>
                <w:b/>
                <w:bCs/>
                <w:sz w:val="18"/>
                <w:szCs w:val="18"/>
              </w:rPr>
              <w:t>number of livestock units (L</w:t>
            </w:r>
            <w:r w:rsidR="0011571B" w:rsidRPr="3F4AE0BD">
              <w:rPr>
                <w:rFonts w:cs="Times New Roman"/>
                <w:b/>
                <w:bCs/>
                <w:sz w:val="18"/>
                <w:szCs w:val="18"/>
              </w:rPr>
              <w:t>S</w:t>
            </w:r>
            <w:r w:rsidRPr="3F4AE0BD">
              <w:rPr>
                <w:rFonts w:cs="Times New Roman"/>
                <w:b/>
                <w:bCs/>
                <w:sz w:val="18"/>
                <w:szCs w:val="18"/>
              </w:rPr>
              <w:t>U) of the holdings with livestock</w:t>
            </w:r>
            <w:r w:rsidR="002F3CCB" w:rsidRPr="3F4AE0BD">
              <w:rPr>
                <w:rFonts w:cs="Times New Roman"/>
                <w:b/>
                <w:bCs/>
                <w:sz w:val="18"/>
                <w:szCs w:val="18"/>
              </w:rPr>
              <w:t xml:space="preserve"> and by specie</w:t>
            </w:r>
            <w:r w:rsidR="001C195E" w:rsidRPr="3F4AE0BD">
              <w:rPr>
                <w:rFonts w:cs="Times New Roman"/>
                <w:b/>
                <w:bCs/>
                <w:sz w:val="18"/>
                <w:szCs w:val="18"/>
              </w:rPr>
              <w:t>s</w:t>
            </w:r>
            <w:r w:rsidR="001C195E" w:rsidRPr="001C195E">
              <w:rPr>
                <w:rFonts w:cs="Times New Roman"/>
                <w:sz w:val="18"/>
                <w:szCs w:val="18"/>
              </w:rPr>
              <w:t>.</w:t>
            </w:r>
            <w:r w:rsidRPr="001C195E">
              <w:rPr>
                <w:rFonts w:cs="Times New Roman"/>
                <w:sz w:val="18"/>
                <w:szCs w:val="18"/>
              </w:rPr>
              <w:t xml:space="preserve"> </w:t>
            </w:r>
            <w:r w:rsidRPr="00C34DE9">
              <w:rPr>
                <w:rFonts w:cs="Times New Roman"/>
                <w:sz w:val="18"/>
                <w:szCs w:val="18"/>
              </w:rPr>
              <w:t>L</w:t>
            </w:r>
            <w:r w:rsidR="0011571B">
              <w:rPr>
                <w:rFonts w:cs="Times New Roman"/>
                <w:sz w:val="18"/>
                <w:szCs w:val="18"/>
              </w:rPr>
              <w:t>S</w:t>
            </w:r>
            <w:r w:rsidRPr="00C34DE9">
              <w:rPr>
                <w:rFonts w:cs="Times New Roman"/>
                <w:sz w:val="18"/>
                <w:szCs w:val="18"/>
              </w:rPr>
              <w:t>U coefficients are used instead of the actual number of animals in order to make comparable aggregations of different animal categories.</w:t>
            </w:r>
          </w:p>
          <w:p w14:paraId="101E7283" w14:textId="77777777" w:rsidR="002978BF" w:rsidRDefault="001C195E" w:rsidP="00161B7C">
            <w:pPr>
              <w:pStyle w:val="RD-Indicatortabletext"/>
              <w:spacing w:after="60"/>
              <w:jc w:val="both"/>
              <w:rPr>
                <w:rFonts w:cs="Times New Roman"/>
                <w:sz w:val="18"/>
                <w:szCs w:val="18"/>
              </w:rPr>
            </w:pPr>
            <w:r>
              <w:rPr>
                <w:rFonts w:cs="Times New Roman"/>
                <w:sz w:val="18"/>
                <w:szCs w:val="18"/>
              </w:rPr>
              <w:t xml:space="preserve">The indicator </w:t>
            </w:r>
            <w:r w:rsidRPr="001C195E">
              <w:rPr>
                <w:rFonts w:cs="Times New Roman"/>
                <w:sz w:val="18"/>
                <w:szCs w:val="18"/>
              </w:rPr>
              <w:t xml:space="preserve">consists of 2 </w:t>
            </w:r>
            <w:r w:rsidR="00DD478B">
              <w:rPr>
                <w:rFonts w:cs="Times New Roman"/>
                <w:sz w:val="18"/>
                <w:szCs w:val="18"/>
              </w:rPr>
              <w:t>specific indicators</w:t>
            </w:r>
            <w:r w:rsidRPr="001C195E">
              <w:rPr>
                <w:rFonts w:cs="Times New Roman"/>
                <w:sz w:val="18"/>
                <w:szCs w:val="18"/>
              </w:rPr>
              <w:t>:</w:t>
            </w:r>
          </w:p>
          <w:p w14:paraId="7B1BCDC0" w14:textId="77777777" w:rsidR="002978BF" w:rsidRPr="007D3E04" w:rsidRDefault="001C195E" w:rsidP="00665997">
            <w:pPr>
              <w:pStyle w:val="ListParagraph"/>
              <w:numPr>
                <w:ilvl w:val="0"/>
                <w:numId w:val="71"/>
              </w:numPr>
              <w:spacing w:after="0"/>
              <w:rPr>
                <w:rFonts w:ascii="Verdana" w:hAnsi="Verdana"/>
                <w:b/>
                <w:bCs/>
                <w:sz w:val="18"/>
                <w:szCs w:val="18"/>
              </w:rPr>
            </w:pPr>
            <w:r w:rsidRPr="3F4AE0BD">
              <w:rPr>
                <w:rFonts w:ascii="Verdana" w:hAnsi="Verdana"/>
                <w:b/>
                <w:bCs/>
                <w:sz w:val="18"/>
                <w:szCs w:val="18"/>
              </w:rPr>
              <w:t>t</w:t>
            </w:r>
            <w:r w:rsidR="002978BF" w:rsidRPr="3F4AE0BD">
              <w:rPr>
                <w:rFonts w:ascii="Verdana" w:hAnsi="Verdana"/>
                <w:b/>
                <w:bCs/>
                <w:sz w:val="18"/>
                <w:szCs w:val="18"/>
              </w:rPr>
              <w:t>otal</w:t>
            </w:r>
            <w:r w:rsidR="007D3E04" w:rsidRPr="3F4AE0BD">
              <w:rPr>
                <w:rFonts w:ascii="Verdana" w:hAnsi="Verdana"/>
                <w:b/>
                <w:bCs/>
                <w:sz w:val="18"/>
                <w:szCs w:val="18"/>
              </w:rPr>
              <w:t xml:space="preserve"> number of livestock units</w:t>
            </w:r>
            <w:r w:rsidRPr="3F4AE0BD">
              <w:rPr>
                <w:rFonts w:ascii="Verdana" w:hAnsi="Verdana"/>
                <w:b/>
                <w:bCs/>
                <w:sz w:val="18"/>
                <w:szCs w:val="18"/>
              </w:rPr>
              <w:t xml:space="preserve"> </w:t>
            </w:r>
          </w:p>
          <w:p w14:paraId="74B1277F" w14:textId="77777777" w:rsidR="001C195E" w:rsidRDefault="001C195E" w:rsidP="00665997">
            <w:pPr>
              <w:pStyle w:val="ListParagraph"/>
              <w:numPr>
                <w:ilvl w:val="0"/>
                <w:numId w:val="71"/>
              </w:numPr>
              <w:spacing w:after="0"/>
              <w:rPr>
                <w:rFonts w:ascii="Verdana" w:hAnsi="Verdana"/>
                <w:sz w:val="18"/>
                <w:szCs w:val="18"/>
              </w:rPr>
            </w:pPr>
            <w:r w:rsidRPr="3F4AE0BD">
              <w:rPr>
                <w:rFonts w:ascii="Verdana" w:hAnsi="Verdana"/>
                <w:b/>
                <w:bCs/>
                <w:sz w:val="18"/>
                <w:szCs w:val="18"/>
              </w:rPr>
              <w:t>total number and share of livestock units b</w:t>
            </w:r>
            <w:r w:rsidR="002978BF" w:rsidRPr="3F4AE0BD">
              <w:rPr>
                <w:rFonts w:ascii="Verdana" w:hAnsi="Verdana"/>
                <w:b/>
                <w:bCs/>
                <w:sz w:val="18"/>
                <w:szCs w:val="18"/>
              </w:rPr>
              <w:t>y species</w:t>
            </w:r>
            <w:r>
              <w:rPr>
                <w:rFonts w:ascii="Verdana" w:hAnsi="Verdana"/>
                <w:sz w:val="18"/>
                <w:szCs w:val="18"/>
              </w:rPr>
              <w:t>.</w:t>
            </w:r>
            <w:r>
              <w:t xml:space="preserve"> </w:t>
            </w:r>
            <w:r w:rsidRPr="001C195E">
              <w:rPr>
                <w:rFonts w:ascii="Verdana" w:hAnsi="Verdana"/>
                <w:sz w:val="18"/>
                <w:szCs w:val="18"/>
              </w:rPr>
              <w:t xml:space="preserve">According to the definition applied in the Eurostat database, the categories of </w:t>
            </w:r>
            <w:r>
              <w:rPr>
                <w:rFonts w:ascii="Verdana" w:hAnsi="Verdana"/>
                <w:sz w:val="18"/>
                <w:szCs w:val="18"/>
              </w:rPr>
              <w:t xml:space="preserve">livestock units </w:t>
            </w:r>
            <w:r w:rsidRPr="001C195E">
              <w:rPr>
                <w:rFonts w:ascii="Verdana" w:hAnsi="Verdana"/>
                <w:sz w:val="18"/>
                <w:szCs w:val="18"/>
              </w:rPr>
              <w:t>are as follows:</w:t>
            </w:r>
          </w:p>
          <w:p w14:paraId="4B4530F1" w14:textId="77777777" w:rsidR="001C195E" w:rsidRDefault="002978BF" w:rsidP="00665997">
            <w:pPr>
              <w:pStyle w:val="ListParagraph"/>
              <w:numPr>
                <w:ilvl w:val="0"/>
                <w:numId w:val="86"/>
              </w:numPr>
              <w:spacing w:after="0"/>
              <w:rPr>
                <w:rFonts w:ascii="Verdana" w:hAnsi="Verdana"/>
                <w:sz w:val="18"/>
                <w:szCs w:val="18"/>
              </w:rPr>
            </w:pPr>
            <w:r w:rsidRPr="001C195E">
              <w:rPr>
                <w:rFonts w:ascii="Verdana" w:hAnsi="Verdana"/>
                <w:sz w:val="18"/>
                <w:szCs w:val="18"/>
              </w:rPr>
              <w:t>bovine</w:t>
            </w:r>
          </w:p>
          <w:p w14:paraId="3873667E" w14:textId="77777777" w:rsidR="001C195E" w:rsidRDefault="002978BF" w:rsidP="00665997">
            <w:pPr>
              <w:pStyle w:val="ListParagraph"/>
              <w:numPr>
                <w:ilvl w:val="0"/>
                <w:numId w:val="86"/>
              </w:numPr>
              <w:spacing w:after="0"/>
              <w:rPr>
                <w:rFonts w:ascii="Verdana" w:hAnsi="Verdana"/>
                <w:sz w:val="18"/>
                <w:szCs w:val="18"/>
              </w:rPr>
            </w:pPr>
            <w:r w:rsidRPr="001C195E">
              <w:rPr>
                <w:rFonts w:ascii="Verdana" w:hAnsi="Verdana"/>
                <w:sz w:val="18"/>
                <w:szCs w:val="18"/>
              </w:rPr>
              <w:t>ovine</w:t>
            </w:r>
          </w:p>
          <w:p w14:paraId="3E2FBA8D" w14:textId="77777777" w:rsidR="001C195E" w:rsidRDefault="002978BF" w:rsidP="00665997">
            <w:pPr>
              <w:pStyle w:val="ListParagraph"/>
              <w:numPr>
                <w:ilvl w:val="0"/>
                <w:numId w:val="86"/>
              </w:numPr>
              <w:spacing w:after="0"/>
              <w:rPr>
                <w:rFonts w:ascii="Verdana" w:hAnsi="Verdana"/>
                <w:sz w:val="18"/>
                <w:szCs w:val="18"/>
              </w:rPr>
            </w:pPr>
            <w:r w:rsidRPr="001C195E">
              <w:rPr>
                <w:rFonts w:ascii="Verdana" w:hAnsi="Verdana"/>
                <w:sz w:val="18"/>
                <w:szCs w:val="18"/>
              </w:rPr>
              <w:t>poultry</w:t>
            </w:r>
          </w:p>
          <w:p w14:paraId="481497B4" w14:textId="77777777" w:rsidR="002978BF" w:rsidRPr="001C195E" w:rsidRDefault="002978BF" w:rsidP="00665997">
            <w:pPr>
              <w:pStyle w:val="ListParagraph"/>
              <w:numPr>
                <w:ilvl w:val="0"/>
                <w:numId w:val="86"/>
              </w:numPr>
              <w:spacing w:after="120"/>
              <w:ind w:left="1066" w:hanging="357"/>
              <w:rPr>
                <w:rFonts w:ascii="Verdana" w:hAnsi="Verdana"/>
                <w:sz w:val="18"/>
                <w:szCs w:val="18"/>
              </w:rPr>
            </w:pPr>
            <w:r w:rsidRPr="001C195E">
              <w:rPr>
                <w:rFonts w:ascii="Verdana" w:hAnsi="Verdana"/>
                <w:sz w:val="18"/>
                <w:szCs w:val="18"/>
              </w:rPr>
              <w:t>swine</w:t>
            </w:r>
          </w:p>
        </w:tc>
      </w:tr>
      <w:tr w:rsidR="0007671D" w:rsidRPr="00C34DE9" w14:paraId="49936988" w14:textId="77777777" w:rsidTr="790C88FB">
        <w:tc>
          <w:tcPr>
            <w:tcW w:w="2660" w:type="dxa"/>
            <w:shd w:val="clear" w:color="auto" w:fill="auto"/>
          </w:tcPr>
          <w:p w14:paraId="541ADAE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229" w:type="dxa"/>
            <w:shd w:val="clear" w:color="auto" w:fill="auto"/>
          </w:tcPr>
          <w:p w14:paraId="15145F29" w14:textId="1D3AD35C" w:rsidR="001C195E" w:rsidRPr="00C34DE9" w:rsidRDefault="001C195E" w:rsidP="00156141">
            <w:pPr>
              <w:spacing w:after="60" w:line="240" w:lineRule="auto"/>
              <w:jc w:val="both"/>
              <w:rPr>
                <w:rFonts w:ascii="Verdana" w:hAnsi="Verdana"/>
                <w:sz w:val="18"/>
                <w:szCs w:val="18"/>
              </w:rPr>
            </w:pPr>
            <w:r>
              <w:rPr>
                <w:rFonts w:ascii="Verdana" w:hAnsi="Verdana"/>
                <w:sz w:val="18"/>
                <w:szCs w:val="18"/>
              </w:rPr>
              <w:t>1: n</w:t>
            </w:r>
            <w:r w:rsidR="0007671D" w:rsidRPr="00C34DE9">
              <w:rPr>
                <w:rFonts w:ascii="Verdana" w:hAnsi="Verdana"/>
                <w:sz w:val="18"/>
                <w:szCs w:val="18"/>
              </w:rPr>
              <w:t>umber of L</w:t>
            </w:r>
            <w:r w:rsidR="0011571B">
              <w:rPr>
                <w:rFonts w:ascii="Verdana" w:hAnsi="Verdana"/>
                <w:sz w:val="18"/>
                <w:szCs w:val="18"/>
              </w:rPr>
              <w:t>S</w:t>
            </w:r>
            <w:r w:rsidR="0007671D" w:rsidRPr="00C34DE9">
              <w:rPr>
                <w:rFonts w:ascii="Verdana" w:hAnsi="Verdana"/>
                <w:sz w:val="18"/>
                <w:szCs w:val="18"/>
              </w:rPr>
              <w:t>U</w:t>
            </w:r>
            <w:r>
              <w:rPr>
                <w:rFonts w:ascii="Verdana" w:hAnsi="Verdana"/>
                <w:sz w:val="18"/>
                <w:szCs w:val="18"/>
              </w:rPr>
              <w:t>2: number of LSU</w:t>
            </w:r>
            <w:r w:rsidR="00156141">
              <w:rPr>
                <w:rFonts w:ascii="Verdana" w:hAnsi="Verdana"/>
                <w:sz w:val="18"/>
                <w:szCs w:val="18"/>
              </w:rPr>
              <w:t xml:space="preserve"> </w:t>
            </w:r>
            <w:r>
              <w:rPr>
                <w:rFonts w:ascii="Verdana" w:hAnsi="Verdana"/>
                <w:sz w:val="18"/>
                <w:szCs w:val="18"/>
              </w:rPr>
              <w:t xml:space="preserve">and </w:t>
            </w:r>
            <w:r w:rsidR="00156141">
              <w:rPr>
                <w:rFonts w:ascii="Verdana" w:hAnsi="Verdana"/>
                <w:sz w:val="18"/>
                <w:szCs w:val="18"/>
              </w:rPr>
              <w:t>%</w:t>
            </w:r>
          </w:p>
        </w:tc>
      </w:tr>
      <w:tr w:rsidR="0007671D" w:rsidRPr="00C34DE9" w14:paraId="638420FF" w14:textId="77777777" w:rsidTr="790C88FB">
        <w:tc>
          <w:tcPr>
            <w:tcW w:w="2660" w:type="dxa"/>
            <w:shd w:val="clear" w:color="auto" w:fill="auto"/>
          </w:tcPr>
          <w:p w14:paraId="374464B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229" w:type="dxa"/>
            <w:shd w:val="clear" w:color="auto" w:fill="auto"/>
            <w:vAlign w:val="center"/>
          </w:tcPr>
          <w:p w14:paraId="55D99ACC" w14:textId="77777777" w:rsidR="0007671D" w:rsidRDefault="0007671D" w:rsidP="005B5547">
            <w:pPr>
              <w:pStyle w:val="RD-Indicatortabletext"/>
              <w:spacing w:after="60"/>
              <w:rPr>
                <w:rFonts w:cs="Times New Roman"/>
                <w:sz w:val="18"/>
                <w:szCs w:val="18"/>
              </w:rPr>
            </w:pPr>
            <w:r w:rsidRPr="00C34DE9">
              <w:rPr>
                <w:rFonts w:cs="Times New Roman"/>
                <w:sz w:val="18"/>
                <w:szCs w:val="18"/>
              </w:rPr>
              <w:t>Eurostat – Farm Structure Survey (FSS)</w:t>
            </w:r>
          </w:p>
          <w:p w14:paraId="181472C8" w14:textId="77777777" w:rsidR="0011571B" w:rsidRPr="00C34DE9" w:rsidRDefault="0011571B" w:rsidP="005B5547">
            <w:pPr>
              <w:pStyle w:val="RD-Indicatortabletext"/>
              <w:spacing w:after="60"/>
              <w:rPr>
                <w:rFonts w:cs="Times New Roman"/>
                <w:sz w:val="18"/>
                <w:szCs w:val="18"/>
              </w:rPr>
            </w:pPr>
            <w:r>
              <w:rPr>
                <w:rFonts w:cs="Times New Roman"/>
                <w:sz w:val="18"/>
                <w:szCs w:val="18"/>
              </w:rPr>
              <w:t>Eurostat – Integrated Farm Statistics (IFS)</w:t>
            </w:r>
          </w:p>
        </w:tc>
      </w:tr>
      <w:tr w:rsidR="0007671D" w:rsidRPr="00C34DE9" w14:paraId="2D4BA7AB" w14:textId="77777777" w:rsidTr="790C88FB">
        <w:tc>
          <w:tcPr>
            <w:tcW w:w="2660" w:type="dxa"/>
            <w:shd w:val="clear" w:color="auto" w:fill="auto"/>
          </w:tcPr>
          <w:p w14:paraId="5EF2B54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229" w:type="dxa"/>
            <w:shd w:val="clear" w:color="auto" w:fill="auto"/>
          </w:tcPr>
          <w:p w14:paraId="202101B8" w14:textId="4A0F29F3"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For national and regional data:</w:t>
            </w:r>
            <w:r w:rsidR="0038258B">
              <w:rPr>
                <w:rFonts w:ascii="Verdana" w:hAnsi="Verdana"/>
                <w:sz w:val="18"/>
                <w:szCs w:val="18"/>
              </w:rPr>
              <w:t xml:space="preserve"> table </w:t>
            </w:r>
            <w:hyperlink r:id="rId88" w:history="1">
              <w:r w:rsidR="0038258B">
                <w:rPr>
                  <w:rFonts w:ascii="Verdana" w:hAnsi="Verdana"/>
                  <w:sz w:val="18"/>
                  <w:szCs w:val="18"/>
                </w:rPr>
                <w:t xml:space="preserve"> [</w:t>
              </w:r>
              <w:r w:rsidR="006A3B3B" w:rsidRPr="0038258B">
                <w:rPr>
                  <w:rStyle w:val="Hyperlink"/>
                </w:rPr>
                <w:t>ef_lsk_main</w:t>
              </w:r>
            </w:hyperlink>
            <w:r w:rsidR="0038258B">
              <w:rPr>
                <w:rFonts w:ascii="Verdana" w:hAnsi="Verdana"/>
                <w:sz w:val="18"/>
                <w:szCs w:val="18"/>
              </w:rPr>
              <w:t>]</w:t>
            </w:r>
          </w:p>
        </w:tc>
      </w:tr>
      <w:tr w:rsidR="0007671D" w:rsidRPr="00C34DE9" w14:paraId="041FA7F7" w14:textId="77777777" w:rsidTr="790C88FB">
        <w:tc>
          <w:tcPr>
            <w:tcW w:w="2660" w:type="dxa"/>
            <w:shd w:val="clear" w:color="auto" w:fill="auto"/>
          </w:tcPr>
          <w:p w14:paraId="4A6C0AF6"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229" w:type="dxa"/>
            <w:shd w:val="clear" w:color="auto" w:fill="auto"/>
          </w:tcPr>
          <w:p w14:paraId="2DED4FEB"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38258B">
              <w:rPr>
                <w:rFonts w:ascii="Verdana" w:hAnsi="Verdana"/>
                <w:sz w:val="18"/>
                <w:szCs w:val="18"/>
              </w:rPr>
              <w:t>N</w:t>
            </w:r>
            <w:r w:rsidRPr="00C34DE9">
              <w:rPr>
                <w:rFonts w:ascii="Verdana" w:hAnsi="Verdana"/>
                <w:sz w:val="18"/>
                <w:szCs w:val="18"/>
              </w:rPr>
              <w:t>ational (NUTS 0)</w:t>
            </w:r>
            <w:r w:rsidR="0038258B">
              <w:rPr>
                <w:rFonts w:ascii="Verdana" w:hAnsi="Verdana"/>
                <w:sz w:val="18"/>
                <w:szCs w:val="18"/>
              </w:rPr>
              <w:t>, R</w:t>
            </w:r>
            <w:r w:rsidRPr="00C34DE9">
              <w:rPr>
                <w:rFonts w:ascii="Verdana" w:hAnsi="Verdana"/>
                <w:sz w:val="18"/>
                <w:szCs w:val="18"/>
              </w:rPr>
              <w:t>egional (NUTS 1 and 2)</w:t>
            </w:r>
          </w:p>
        </w:tc>
      </w:tr>
      <w:tr w:rsidR="0007671D" w:rsidRPr="00C34DE9" w14:paraId="21362437" w14:textId="77777777" w:rsidTr="790C88FB">
        <w:tc>
          <w:tcPr>
            <w:tcW w:w="2660" w:type="dxa"/>
            <w:shd w:val="clear" w:color="auto" w:fill="auto"/>
          </w:tcPr>
          <w:p w14:paraId="4D7B6E0B"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229" w:type="dxa"/>
            <w:shd w:val="clear" w:color="auto" w:fill="auto"/>
          </w:tcPr>
          <w:p w14:paraId="1339887F" w14:textId="77777777" w:rsidR="0007671D" w:rsidRPr="00C34DE9" w:rsidRDefault="0007671D" w:rsidP="005B5547">
            <w:pPr>
              <w:spacing w:before="30" w:after="60"/>
              <w:rPr>
                <w:rFonts w:ascii="Verdana" w:eastAsia="Times New Roman" w:hAnsi="Verdana"/>
                <w:sz w:val="18"/>
                <w:szCs w:val="18"/>
              </w:rPr>
            </w:pPr>
            <w:r w:rsidRPr="00C34DE9">
              <w:rPr>
                <w:rFonts w:ascii="Verdana" w:eastAsia="Times New Roman" w:hAnsi="Verdana"/>
                <w:sz w:val="18"/>
                <w:szCs w:val="18"/>
              </w:rPr>
              <w:t>FSS</w:t>
            </w:r>
            <w:r w:rsidR="0011571B">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07671D" w:rsidRPr="00C34DE9" w14:paraId="18D8174B" w14:textId="77777777" w:rsidTr="790C88FB">
        <w:tc>
          <w:tcPr>
            <w:tcW w:w="2660" w:type="dxa"/>
            <w:shd w:val="clear" w:color="auto" w:fill="auto"/>
          </w:tcPr>
          <w:p w14:paraId="35180EAC"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229" w:type="dxa"/>
            <w:shd w:val="clear" w:color="auto" w:fill="auto"/>
          </w:tcPr>
          <w:p w14:paraId="76F7BB44"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2 years</w:t>
            </w:r>
          </w:p>
        </w:tc>
      </w:tr>
      <w:tr w:rsidR="0007671D" w:rsidRPr="00C34DE9" w14:paraId="145BF3AC" w14:textId="77777777" w:rsidTr="790C88FB">
        <w:tc>
          <w:tcPr>
            <w:tcW w:w="2660" w:type="dxa"/>
            <w:shd w:val="clear" w:color="auto" w:fill="auto"/>
          </w:tcPr>
          <w:p w14:paraId="350247D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229" w:type="dxa"/>
            <w:shd w:val="clear" w:color="auto" w:fill="auto"/>
          </w:tcPr>
          <w:p w14:paraId="338A509B" w14:textId="77777777" w:rsidR="00190011" w:rsidRDefault="00D24F34" w:rsidP="0013277C">
            <w:pPr>
              <w:spacing w:after="60" w:line="240" w:lineRule="auto"/>
              <w:rPr>
                <w:rFonts w:ascii="Verdana" w:eastAsia="Times New Roman" w:hAnsi="Verdana"/>
                <w:sz w:val="18"/>
                <w:szCs w:val="18"/>
              </w:rPr>
            </w:pPr>
            <w:r>
              <w:rPr>
                <w:rFonts w:ascii="Verdana" w:eastAsia="Times New Roman" w:hAnsi="Verdana"/>
                <w:sz w:val="18"/>
                <w:szCs w:val="18"/>
              </w:rPr>
              <w:t>IFS as of survey year 2020</w:t>
            </w:r>
            <w:r w:rsidR="00190011">
              <w:rPr>
                <w:rFonts w:ascii="Verdana" w:eastAsia="Times New Roman" w:hAnsi="Verdana"/>
                <w:sz w:val="18"/>
                <w:szCs w:val="18"/>
              </w:rPr>
              <w:t>.</w:t>
            </w:r>
          </w:p>
          <w:p w14:paraId="5C4313D0" w14:textId="77777777" w:rsidR="0007671D" w:rsidRPr="00C34DE9" w:rsidRDefault="0007671D" w:rsidP="0013277C">
            <w:pPr>
              <w:spacing w:after="60" w:line="240" w:lineRule="auto"/>
              <w:rPr>
                <w:rFonts w:ascii="Verdana" w:eastAsia="Times New Roman" w:hAnsi="Verdana"/>
                <w:sz w:val="18"/>
                <w:szCs w:val="18"/>
              </w:rPr>
            </w:pPr>
            <w:r w:rsidRPr="00C34DE9">
              <w:rPr>
                <w:rFonts w:ascii="Verdana" w:eastAsia="Times New Roman" w:hAnsi="Verdana"/>
                <w:sz w:val="18"/>
                <w:szCs w:val="18"/>
              </w:rPr>
              <w:t>For the coefficients used to calculate the L</w:t>
            </w:r>
            <w:r w:rsidR="0011571B">
              <w:rPr>
                <w:rFonts w:ascii="Verdana" w:eastAsia="Times New Roman" w:hAnsi="Verdana"/>
                <w:sz w:val="18"/>
                <w:szCs w:val="18"/>
              </w:rPr>
              <w:t>S</w:t>
            </w:r>
            <w:r w:rsidRPr="00C34DE9">
              <w:rPr>
                <w:rFonts w:ascii="Verdana" w:eastAsia="Times New Roman" w:hAnsi="Verdana"/>
                <w:sz w:val="18"/>
                <w:szCs w:val="18"/>
              </w:rPr>
              <w:t>U in FSS</w:t>
            </w:r>
            <w:r w:rsidR="0011571B">
              <w:rPr>
                <w:rFonts w:ascii="Verdana" w:eastAsia="Times New Roman" w:hAnsi="Verdana"/>
                <w:sz w:val="18"/>
                <w:szCs w:val="18"/>
              </w:rPr>
              <w:t>/IFS</w:t>
            </w:r>
            <w:r w:rsidRPr="00C34DE9">
              <w:rPr>
                <w:rFonts w:ascii="Verdana" w:eastAsia="Times New Roman" w:hAnsi="Verdana"/>
                <w:sz w:val="18"/>
                <w:szCs w:val="18"/>
              </w:rPr>
              <w:t xml:space="preserve">, see Annex I of Commission Regulation (EC) No </w:t>
            </w:r>
            <w:r w:rsidR="006A3B3B" w:rsidRPr="00C34DE9">
              <w:rPr>
                <w:rFonts w:ascii="Verdana" w:eastAsia="Times New Roman" w:hAnsi="Verdana"/>
                <w:sz w:val="18"/>
                <w:szCs w:val="18"/>
              </w:rPr>
              <w:t>1091/2018</w:t>
            </w:r>
            <w:r w:rsidRPr="00C34DE9">
              <w:rPr>
                <w:rFonts w:ascii="Verdana" w:eastAsia="Times New Roman" w:hAnsi="Verdana"/>
                <w:sz w:val="18"/>
                <w:szCs w:val="18"/>
              </w:rPr>
              <w:t xml:space="preserve">: </w:t>
            </w:r>
            <w:hyperlink r:id="rId89" w:history="1">
              <w:r w:rsidR="0013277C" w:rsidRPr="00C34DE9">
                <w:rPr>
                  <w:rStyle w:val="Hyperlink"/>
                  <w:rFonts w:ascii="Verdana" w:eastAsia="Times New Roman" w:hAnsi="Verdana"/>
                  <w:sz w:val="18"/>
                  <w:szCs w:val="18"/>
                </w:rPr>
                <w:t>http://data.europa.eu/eli/reg/2018/1091/oj</w:t>
              </w:r>
            </w:hyperlink>
          </w:p>
        </w:tc>
      </w:tr>
    </w:tbl>
    <w:p w14:paraId="269FD08C" w14:textId="77777777" w:rsidR="00BD6BF6" w:rsidRPr="00C34DE9" w:rsidRDefault="00BD6BF6">
      <w:pPr>
        <w:rPr>
          <w:rFonts w:ascii="Verdana" w:hAnsi="Verdana"/>
          <w:sz w:val="18"/>
          <w:szCs w:val="18"/>
        </w:rPr>
      </w:pPr>
    </w:p>
    <w:p w14:paraId="5C105423" w14:textId="77777777" w:rsidR="0087584F" w:rsidRPr="00C34DE9" w:rsidRDefault="00BD6BF6">
      <w:pPr>
        <w:rPr>
          <w:rFonts w:ascii="Verdana" w:hAnsi="Verdana"/>
          <w:sz w:val="18"/>
          <w:szCs w:val="18"/>
        </w:rPr>
      </w:pPr>
      <w:r w:rsidRPr="00C34DE9">
        <w:rPr>
          <w:rFonts w:ascii="Verdana" w:hAnsi="Verdana"/>
          <w:sz w:val="18"/>
          <w:szCs w:val="1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7"/>
      </w:tblGrid>
      <w:tr w:rsidR="0087584F" w:rsidRPr="00C34DE9" w14:paraId="7BD2CE48" w14:textId="77777777" w:rsidTr="790C88FB">
        <w:trPr>
          <w:trHeight w:val="411"/>
        </w:trPr>
        <w:tc>
          <w:tcPr>
            <w:tcW w:w="2802" w:type="dxa"/>
            <w:shd w:val="clear" w:color="auto" w:fill="auto"/>
          </w:tcPr>
          <w:p w14:paraId="7978B547" w14:textId="29C981EF" w:rsidR="0087584F" w:rsidRPr="00C34DE9" w:rsidRDefault="0038258B" w:rsidP="00235122">
            <w:pPr>
              <w:spacing w:after="60" w:line="240" w:lineRule="auto"/>
              <w:rPr>
                <w:rFonts w:ascii="Verdana" w:hAnsi="Verdana"/>
                <w:b/>
                <w:bCs/>
                <w:sz w:val="18"/>
                <w:szCs w:val="18"/>
              </w:rPr>
            </w:pPr>
            <w:bookmarkStart w:id="30" w:name="C23"/>
            <w:r w:rsidRPr="5CB4B133">
              <w:rPr>
                <w:rFonts w:ascii="Verdana" w:hAnsi="Verdana"/>
                <w:b/>
                <w:bCs/>
                <w:smallCaps/>
                <w:sz w:val="18"/>
                <w:szCs w:val="18"/>
              </w:rPr>
              <w:lastRenderedPageBreak/>
              <w:t>Indicator</w:t>
            </w:r>
            <w:r w:rsidR="0087584F" w:rsidRPr="5CB4B133">
              <w:rPr>
                <w:rFonts w:ascii="Verdana" w:hAnsi="Verdana"/>
                <w:b/>
                <w:bCs/>
                <w:sz w:val="18"/>
                <w:szCs w:val="18"/>
              </w:rPr>
              <w:t xml:space="preserve"> </w:t>
            </w:r>
            <w:r w:rsidR="0087584F" w:rsidRPr="5CB4B133">
              <w:rPr>
                <w:rFonts w:ascii="Verdana" w:hAnsi="Verdana"/>
                <w:b/>
                <w:bCs/>
                <w:smallCaps/>
                <w:sz w:val="18"/>
                <w:szCs w:val="18"/>
              </w:rPr>
              <w:t>C.</w:t>
            </w:r>
            <w:r w:rsidR="0087584F" w:rsidRPr="5CB4B133">
              <w:rPr>
                <w:rFonts w:ascii="Verdana" w:hAnsi="Verdana"/>
                <w:b/>
                <w:bCs/>
                <w:sz w:val="18"/>
                <w:szCs w:val="18"/>
              </w:rPr>
              <w:t>2</w:t>
            </w:r>
            <w:r w:rsidR="00235122">
              <w:rPr>
                <w:rFonts w:ascii="Verdana" w:hAnsi="Verdana"/>
                <w:b/>
                <w:bCs/>
                <w:sz w:val="18"/>
                <w:szCs w:val="18"/>
              </w:rPr>
              <w:t>4</w:t>
            </w:r>
            <w:bookmarkEnd w:id="30"/>
          </w:p>
        </w:tc>
        <w:tc>
          <w:tcPr>
            <w:tcW w:w="7087" w:type="dxa"/>
            <w:shd w:val="clear" w:color="auto" w:fill="auto"/>
          </w:tcPr>
          <w:p w14:paraId="26CF5A95" w14:textId="77777777" w:rsidR="0087584F" w:rsidRPr="00C34DE9" w:rsidRDefault="0087584F" w:rsidP="00142D2C">
            <w:pPr>
              <w:spacing w:after="60"/>
              <w:rPr>
                <w:rFonts w:ascii="Verdana" w:hAnsi="Verdana"/>
                <w:caps/>
                <w:sz w:val="18"/>
                <w:szCs w:val="18"/>
              </w:rPr>
            </w:pPr>
          </w:p>
        </w:tc>
      </w:tr>
      <w:tr w:rsidR="0087584F" w:rsidRPr="00C34DE9" w14:paraId="2F592B55" w14:textId="77777777" w:rsidTr="790C88FB">
        <w:trPr>
          <w:trHeight w:val="556"/>
        </w:trPr>
        <w:tc>
          <w:tcPr>
            <w:tcW w:w="2802" w:type="dxa"/>
            <w:shd w:val="clear" w:color="auto" w:fill="auto"/>
          </w:tcPr>
          <w:p w14:paraId="61409D49"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7" w:type="dxa"/>
            <w:shd w:val="clear" w:color="auto" w:fill="auto"/>
          </w:tcPr>
          <w:p w14:paraId="06DEE08D" w14:textId="77777777" w:rsidR="0087584F" w:rsidRPr="00C34DE9" w:rsidRDefault="0087584F" w:rsidP="5CB4B133">
            <w:pPr>
              <w:spacing w:after="60" w:line="240" w:lineRule="auto"/>
              <w:jc w:val="center"/>
              <w:rPr>
                <w:rFonts w:ascii="Verdana" w:hAnsi="Verdana"/>
                <w:b/>
                <w:bCs/>
                <w:sz w:val="18"/>
                <w:szCs w:val="18"/>
              </w:rPr>
            </w:pPr>
            <w:r w:rsidRPr="5CB4B133">
              <w:rPr>
                <w:rFonts w:ascii="Verdana" w:hAnsi="Verdana"/>
                <w:b/>
                <w:bCs/>
                <w:sz w:val="18"/>
                <w:szCs w:val="18"/>
              </w:rPr>
              <w:t>Livestock density</w:t>
            </w:r>
          </w:p>
        </w:tc>
      </w:tr>
      <w:tr w:rsidR="0087584F" w:rsidRPr="00C34DE9" w14:paraId="3237CA6C" w14:textId="77777777" w:rsidTr="790C88FB">
        <w:tc>
          <w:tcPr>
            <w:tcW w:w="2802" w:type="dxa"/>
            <w:shd w:val="clear" w:color="auto" w:fill="auto"/>
          </w:tcPr>
          <w:p w14:paraId="0AE038DE"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7" w:type="dxa"/>
            <w:shd w:val="clear" w:color="auto" w:fill="auto"/>
            <w:vAlign w:val="center"/>
          </w:tcPr>
          <w:p w14:paraId="56F26015" w14:textId="77777777" w:rsidR="00161B7C" w:rsidRDefault="00161B7C" w:rsidP="00161B7C">
            <w:pPr>
              <w:pStyle w:val="RD-Indicatortabletext"/>
              <w:spacing w:after="60"/>
              <w:rPr>
                <w:rFonts w:cs="Calibri"/>
                <w:sz w:val="18"/>
                <w:szCs w:val="18"/>
              </w:rPr>
            </w:pPr>
            <w:r>
              <w:rPr>
                <w:rFonts w:cs="Calibri"/>
                <w:sz w:val="18"/>
                <w:szCs w:val="18"/>
              </w:rPr>
              <w:t>The livestock density is an indicator for the pressure of livestock farming on the environment.</w:t>
            </w:r>
          </w:p>
          <w:p w14:paraId="2B5CF1C1" w14:textId="77777777" w:rsidR="0087584F" w:rsidRPr="00C34DE9" w:rsidRDefault="0087584F" w:rsidP="0087584F">
            <w:pPr>
              <w:pStyle w:val="RD-Indicatortabletext"/>
              <w:spacing w:after="60"/>
              <w:rPr>
                <w:rFonts w:cs="Calibri"/>
                <w:sz w:val="18"/>
                <w:szCs w:val="18"/>
              </w:rPr>
            </w:pPr>
            <w:r w:rsidRPr="00C34DE9">
              <w:rPr>
                <w:rFonts w:cs="Calibri"/>
                <w:sz w:val="18"/>
                <w:szCs w:val="18"/>
              </w:rPr>
              <w:t xml:space="preserve">This indicator consists of </w:t>
            </w:r>
            <w:r w:rsidRPr="001C195E">
              <w:rPr>
                <w:rFonts w:cs="Calibri"/>
                <w:sz w:val="18"/>
                <w:szCs w:val="18"/>
              </w:rPr>
              <w:t xml:space="preserve">2 </w:t>
            </w:r>
            <w:r w:rsidR="00DD478B">
              <w:rPr>
                <w:rFonts w:cs="Calibri"/>
                <w:sz w:val="18"/>
                <w:szCs w:val="18"/>
              </w:rPr>
              <w:t>specific indicators</w:t>
            </w:r>
            <w:r w:rsidRPr="00C34DE9">
              <w:rPr>
                <w:rFonts w:cs="Calibri"/>
                <w:sz w:val="18"/>
                <w:szCs w:val="18"/>
              </w:rPr>
              <w:t>:</w:t>
            </w:r>
          </w:p>
          <w:p w14:paraId="27B330B6" w14:textId="77777777" w:rsidR="0087584F" w:rsidRPr="00C34DE9" w:rsidRDefault="00AA07F1" w:rsidP="00A85A9D">
            <w:pPr>
              <w:pStyle w:val="RD-Indicatortabletext"/>
              <w:numPr>
                <w:ilvl w:val="0"/>
                <w:numId w:val="27"/>
              </w:numPr>
              <w:spacing w:after="60"/>
              <w:ind w:left="386" w:hanging="283"/>
              <w:jc w:val="both"/>
              <w:rPr>
                <w:rFonts w:eastAsia="Calibri" w:cs="Times New Roman"/>
                <w:sz w:val="18"/>
                <w:szCs w:val="18"/>
                <w:lang w:eastAsia="en-US"/>
              </w:rPr>
            </w:pPr>
            <w:hyperlink r:id="rId90" w:history="1">
              <w:r w:rsidR="0087584F" w:rsidRPr="5CB4B133">
                <w:rPr>
                  <w:rFonts w:eastAsia="Calibri" w:cs="Times New Roman"/>
                  <w:b/>
                  <w:bCs/>
                  <w:sz w:val="18"/>
                  <w:szCs w:val="18"/>
                  <w:lang w:eastAsia="en-US"/>
                </w:rPr>
                <w:t>Total livestock density</w:t>
              </w:r>
            </w:hyperlink>
            <w:r w:rsidR="0087584F" w:rsidRPr="00C34DE9">
              <w:rPr>
                <w:rFonts w:eastAsia="Calibri" w:cs="Times New Roman"/>
                <w:sz w:val="18"/>
                <w:szCs w:val="18"/>
                <w:lang w:eastAsia="en-US"/>
              </w:rPr>
              <w:t xml:space="preserve"> - LSU/ha of </w:t>
            </w:r>
            <w:hyperlink r:id="rId91" w:history="1">
              <w:r w:rsidR="0087584F" w:rsidRPr="00C34DE9">
                <w:rPr>
                  <w:rFonts w:eastAsia="Calibri" w:cs="Times New Roman"/>
                  <w:sz w:val="18"/>
                  <w:szCs w:val="18"/>
                  <w:lang w:eastAsia="en-US"/>
                </w:rPr>
                <w:t>utilised agricultural area (UAA)</w:t>
              </w:r>
            </w:hyperlink>
            <w:r w:rsidR="00B93EF2" w:rsidRPr="00C34DE9">
              <w:rPr>
                <w:rFonts w:eastAsia="Calibri" w:cs="Times New Roman"/>
                <w:sz w:val="18"/>
                <w:szCs w:val="18"/>
                <w:lang w:eastAsia="en-US"/>
              </w:rPr>
              <w:t>: it measures the stock of animals (</w:t>
            </w:r>
            <w:hyperlink r:id="rId92" w:history="1">
              <w:r w:rsidR="00B93EF2" w:rsidRPr="00C34DE9">
                <w:rPr>
                  <w:rFonts w:eastAsia="Calibri" w:cs="Times New Roman"/>
                  <w:sz w:val="18"/>
                  <w:szCs w:val="18"/>
                  <w:lang w:eastAsia="en-US"/>
                </w:rPr>
                <w:t>cattle</w:t>
              </w:r>
            </w:hyperlink>
            <w:r w:rsidR="00B93EF2" w:rsidRPr="00C34DE9">
              <w:rPr>
                <w:rFonts w:eastAsia="Calibri" w:cs="Times New Roman"/>
                <w:sz w:val="18"/>
                <w:szCs w:val="18"/>
                <w:lang w:eastAsia="en-US"/>
              </w:rPr>
              <w:t xml:space="preserve">, </w:t>
            </w:r>
            <w:hyperlink r:id="rId93" w:history="1">
              <w:r w:rsidR="00B93EF2" w:rsidRPr="00C34DE9">
                <w:rPr>
                  <w:rFonts w:eastAsia="Calibri" w:cs="Times New Roman"/>
                  <w:sz w:val="18"/>
                  <w:szCs w:val="18"/>
                  <w:lang w:eastAsia="en-US"/>
                </w:rPr>
                <w:t>sheep</w:t>
              </w:r>
            </w:hyperlink>
            <w:r w:rsidR="00B93EF2" w:rsidRPr="00C34DE9">
              <w:rPr>
                <w:rFonts w:eastAsia="Calibri" w:cs="Times New Roman"/>
                <w:sz w:val="18"/>
                <w:szCs w:val="18"/>
                <w:lang w:eastAsia="en-US"/>
              </w:rPr>
              <w:t xml:space="preserve">, </w:t>
            </w:r>
            <w:hyperlink r:id="rId94" w:history="1">
              <w:r w:rsidR="00B93EF2" w:rsidRPr="00C34DE9">
                <w:rPr>
                  <w:rFonts w:eastAsia="Calibri" w:cs="Times New Roman"/>
                  <w:sz w:val="18"/>
                  <w:szCs w:val="18"/>
                  <w:lang w:eastAsia="en-US"/>
                </w:rPr>
                <w:t>goats</w:t>
              </w:r>
            </w:hyperlink>
            <w:r w:rsidR="00B93EF2" w:rsidRPr="00C34DE9">
              <w:rPr>
                <w:rFonts w:eastAsia="Calibri" w:cs="Times New Roman"/>
                <w:sz w:val="18"/>
                <w:szCs w:val="18"/>
                <w:lang w:eastAsia="en-US"/>
              </w:rPr>
              <w:t xml:space="preserve">, </w:t>
            </w:r>
            <w:hyperlink r:id="rId95" w:history="1">
              <w:r w:rsidR="00B93EF2" w:rsidRPr="00C34DE9">
                <w:rPr>
                  <w:rFonts w:eastAsia="Calibri" w:cs="Times New Roman"/>
                  <w:sz w:val="18"/>
                  <w:szCs w:val="18"/>
                  <w:lang w:eastAsia="en-US"/>
                </w:rPr>
                <w:t>equidae</w:t>
              </w:r>
            </w:hyperlink>
            <w:r w:rsidR="00B93EF2" w:rsidRPr="00C34DE9">
              <w:rPr>
                <w:rFonts w:eastAsia="Calibri" w:cs="Times New Roman"/>
                <w:sz w:val="18"/>
                <w:szCs w:val="18"/>
                <w:lang w:eastAsia="en-US"/>
              </w:rPr>
              <w:t>,</w:t>
            </w:r>
            <w:r w:rsidR="007A33E8">
              <w:rPr>
                <w:rFonts w:eastAsia="Calibri" w:cs="Times New Roman"/>
                <w:sz w:val="18"/>
                <w:szCs w:val="18"/>
                <w:lang w:eastAsia="en-US"/>
              </w:rPr>
              <w:t xml:space="preserve"> </w:t>
            </w:r>
            <w:hyperlink r:id="rId96" w:history="1">
              <w:r w:rsidR="00B93EF2" w:rsidRPr="00C34DE9">
                <w:rPr>
                  <w:rFonts w:eastAsia="Calibri" w:cs="Times New Roman"/>
                  <w:sz w:val="18"/>
                  <w:szCs w:val="18"/>
                  <w:lang w:eastAsia="en-US"/>
                </w:rPr>
                <w:t>pigs</w:t>
              </w:r>
            </w:hyperlink>
            <w:r w:rsidR="00B93EF2" w:rsidRPr="00C34DE9">
              <w:rPr>
                <w:rFonts w:eastAsia="Calibri" w:cs="Times New Roman"/>
                <w:sz w:val="18"/>
                <w:szCs w:val="18"/>
                <w:lang w:eastAsia="en-US"/>
              </w:rPr>
              <w:t xml:space="preserve">, </w:t>
            </w:r>
            <w:hyperlink r:id="rId97" w:history="1">
              <w:r w:rsidR="00B93EF2" w:rsidRPr="00C34DE9">
                <w:rPr>
                  <w:rFonts w:eastAsia="Calibri" w:cs="Times New Roman"/>
                  <w:sz w:val="18"/>
                  <w:szCs w:val="18"/>
                  <w:lang w:eastAsia="en-US"/>
                </w:rPr>
                <w:t>poultry</w:t>
              </w:r>
            </w:hyperlink>
            <w:r w:rsidR="00B93EF2" w:rsidRPr="00C34DE9">
              <w:rPr>
                <w:rFonts w:eastAsia="Calibri" w:cs="Times New Roman"/>
                <w:sz w:val="18"/>
                <w:szCs w:val="18"/>
                <w:lang w:eastAsia="en-US"/>
              </w:rPr>
              <w:t xml:space="preserve"> and rabbits) converted in </w:t>
            </w:r>
            <w:hyperlink r:id="rId98" w:history="1">
              <w:r w:rsidR="00B93EF2" w:rsidRPr="00C34DE9">
                <w:rPr>
                  <w:rFonts w:eastAsia="Calibri" w:cs="Times New Roman"/>
                  <w:sz w:val="18"/>
                  <w:szCs w:val="18"/>
                  <w:lang w:eastAsia="en-US"/>
                </w:rPr>
                <w:t>livestock units (LSUs)</w:t>
              </w:r>
            </w:hyperlink>
            <w:r w:rsidR="00B93EF2" w:rsidRPr="00C34DE9">
              <w:rPr>
                <w:rFonts w:eastAsia="Calibri" w:cs="Times New Roman"/>
                <w:sz w:val="18"/>
                <w:szCs w:val="18"/>
                <w:lang w:eastAsia="en-US"/>
              </w:rPr>
              <w:t xml:space="preserve"> per hectare of </w:t>
            </w:r>
            <w:hyperlink r:id="rId99" w:history="1">
              <w:r w:rsidR="00B93EF2" w:rsidRPr="00C34DE9">
                <w:rPr>
                  <w:rFonts w:eastAsia="Calibri" w:cs="Times New Roman"/>
                  <w:sz w:val="18"/>
                  <w:szCs w:val="18"/>
                  <w:lang w:eastAsia="en-US"/>
                </w:rPr>
                <w:t>utilised agricultural area (UAA)</w:t>
              </w:r>
            </w:hyperlink>
            <w:r w:rsidR="00B93EF2" w:rsidRPr="00C34DE9">
              <w:rPr>
                <w:rFonts w:eastAsia="Calibri" w:cs="Times New Roman"/>
                <w:sz w:val="18"/>
                <w:szCs w:val="18"/>
                <w:lang w:eastAsia="en-US"/>
              </w:rPr>
              <w:t>. </w:t>
            </w:r>
          </w:p>
          <w:p w14:paraId="2060876B" w14:textId="77777777" w:rsidR="0087584F" w:rsidRPr="0038258B" w:rsidRDefault="00AA07F1" w:rsidP="00A85A9D">
            <w:pPr>
              <w:pStyle w:val="RD-Indicatortabletext"/>
              <w:numPr>
                <w:ilvl w:val="0"/>
                <w:numId w:val="27"/>
              </w:numPr>
              <w:spacing w:after="60"/>
              <w:ind w:left="386" w:hanging="283"/>
              <w:jc w:val="both"/>
              <w:rPr>
                <w:rFonts w:cs="Times New Roman"/>
                <w:sz w:val="18"/>
                <w:szCs w:val="18"/>
              </w:rPr>
            </w:pPr>
            <w:hyperlink r:id="rId100" w:history="1">
              <w:r w:rsidR="0087584F" w:rsidRPr="5CB4B133">
                <w:rPr>
                  <w:rFonts w:eastAsia="Calibri" w:cs="Times New Roman"/>
                  <w:b/>
                  <w:bCs/>
                  <w:sz w:val="18"/>
                  <w:szCs w:val="18"/>
                  <w:lang w:eastAsia="en-US"/>
                </w:rPr>
                <w:t>Grazing livestock density</w:t>
              </w:r>
            </w:hyperlink>
            <w:r w:rsidR="0087584F" w:rsidRPr="00C34DE9">
              <w:rPr>
                <w:rFonts w:eastAsia="Calibri" w:cs="Times New Roman"/>
                <w:sz w:val="18"/>
                <w:szCs w:val="18"/>
                <w:lang w:eastAsia="en-US"/>
              </w:rPr>
              <w:t xml:space="preserve"> (grazing LSU/ha of </w:t>
            </w:r>
            <w:hyperlink r:id="rId101" w:history="1">
              <w:r w:rsidR="0087584F" w:rsidRPr="00C34DE9">
                <w:rPr>
                  <w:rFonts w:eastAsia="Calibri" w:cs="Times New Roman"/>
                  <w:sz w:val="18"/>
                  <w:szCs w:val="18"/>
                  <w:lang w:eastAsia="en-US"/>
                </w:rPr>
                <w:t>fodder area</w:t>
              </w:r>
            </w:hyperlink>
            <w:r w:rsidR="00B93EF2" w:rsidRPr="00C34DE9">
              <w:rPr>
                <w:rFonts w:eastAsia="Calibri" w:cs="Times New Roman"/>
                <w:sz w:val="18"/>
                <w:szCs w:val="18"/>
                <w:lang w:eastAsia="en-US"/>
              </w:rPr>
              <w:t>): it measures the stock of grazing animals (</w:t>
            </w:r>
            <w:hyperlink r:id="rId102" w:history="1">
              <w:r w:rsidR="00B93EF2" w:rsidRPr="00C34DE9">
                <w:rPr>
                  <w:rFonts w:eastAsia="Calibri" w:cs="Times New Roman"/>
                  <w:sz w:val="18"/>
                  <w:szCs w:val="18"/>
                  <w:lang w:eastAsia="en-US"/>
                </w:rPr>
                <w:t>cattle</w:t>
              </w:r>
            </w:hyperlink>
            <w:r w:rsidR="00B93EF2" w:rsidRPr="00C34DE9">
              <w:rPr>
                <w:rFonts w:eastAsia="Calibri" w:cs="Times New Roman"/>
                <w:sz w:val="18"/>
                <w:szCs w:val="18"/>
                <w:lang w:eastAsia="en-US"/>
              </w:rPr>
              <w:t xml:space="preserve">, </w:t>
            </w:r>
            <w:hyperlink r:id="rId103" w:history="1">
              <w:r w:rsidR="00B93EF2" w:rsidRPr="00C34DE9">
                <w:rPr>
                  <w:rFonts w:eastAsia="Calibri" w:cs="Times New Roman"/>
                  <w:sz w:val="18"/>
                  <w:szCs w:val="18"/>
                  <w:lang w:eastAsia="en-US"/>
                </w:rPr>
                <w:t>sheep</w:t>
              </w:r>
            </w:hyperlink>
            <w:r w:rsidR="00B93EF2" w:rsidRPr="00C34DE9">
              <w:rPr>
                <w:rFonts w:eastAsia="Calibri" w:cs="Times New Roman"/>
                <w:sz w:val="18"/>
                <w:szCs w:val="18"/>
                <w:lang w:eastAsia="en-US"/>
              </w:rPr>
              <w:t xml:space="preserve">, </w:t>
            </w:r>
            <w:hyperlink r:id="rId104" w:history="1">
              <w:r w:rsidR="00B93EF2" w:rsidRPr="00C34DE9">
                <w:rPr>
                  <w:rFonts w:eastAsia="Calibri" w:cs="Times New Roman"/>
                  <w:sz w:val="18"/>
                  <w:szCs w:val="18"/>
                  <w:lang w:eastAsia="en-US"/>
                </w:rPr>
                <w:t>goats</w:t>
              </w:r>
            </w:hyperlink>
            <w:r w:rsidR="00B93EF2" w:rsidRPr="00C34DE9">
              <w:rPr>
                <w:rFonts w:eastAsia="Calibri" w:cs="Times New Roman"/>
                <w:sz w:val="18"/>
                <w:szCs w:val="18"/>
                <w:lang w:eastAsia="en-US"/>
              </w:rPr>
              <w:t xml:space="preserve"> and </w:t>
            </w:r>
            <w:hyperlink r:id="rId105" w:history="1">
              <w:r w:rsidR="00B93EF2" w:rsidRPr="00C34DE9">
                <w:rPr>
                  <w:rFonts w:eastAsia="Calibri" w:cs="Times New Roman"/>
                  <w:sz w:val="18"/>
                  <w:szCs w:val="18"/>
                  <w:lang w:eastAsia="en-US"/>
                </w:rPr>
                <w:t>equidae</w:t>
              </w:r>
            </w:hyperlink>
            <w:r w:rsidR="00B93EF2" w:rsidRPr="00C34DE9">
              <w:rPr>
                <w:rFonts w:eastAsia="Calibri" w:cs="Times New Roman"/>
                <w:sz w:val="18"/>
                <w:szCs w:val="18"/>
                <w:lang w:eastAsia="en-US"/>
              </w:rPr>
              <w:t xml:space="preserve">) per fodder area (consisting of fodder crops grown on </w:t>
            </w:r>
            <w:hyperlink r:id="rId106" w:history="1">
              <w:r w:rsidR="00B93EF2" w:rsidRPr="00C34DE9">
                <w:rPr>
                  <w:rFonts w:eastAsia="Calibri" w:cs="Times New Roman"/>
                  <w:sz w:val="18"/>
                  <w:szCs w:val="18"/>
                  <w:lang w:eastAsia="en-US"/>
                </w:rPr>
                <w:t>arable land</w:t>
              </w:r>
            </w:hyperlink>
            <w:r w:rsidR="00B93EF2" w:rsidRPr="00C34DE9">
              <w:rPr>
                <w:rFonts w:eastAsia="Calibri" w:cs="Times New Roman"/>
                <w:sz w:val="18"/>
                <w:szCs w:val="18"/>
                <w:lang w:eastAsia="en-US"/>
              </w:rPr>
              <w:t xml:space="preserve"> as well as </w:t>
            </w:r>
            <w:hyperlink r:id="rId107" w:history="1">
              <w:r w:rsidR="00B93EF2" w:rsidRPr="00C34DE9">
                <w:rPr>
                  <w:rFonts w:eastAsia="Calibri" w:cs="Times New Roman"/>
                  <w:sz w:val="18"/>
                  <w:szCs w:val="18"/>
                  <w:lang w:eastAsia="en-US"/>
                </w:rPr>
                <w:t>permanent grassland</w:t>
              </w:r>
            </w:hyperlink>
            <w:r w:rsidR="00B93EF2" w:rsidRPr="00C34DE9">
              <w:rPr>
                <w:rFonts w:eastAsia="Calibri" w:cs="Times New Roman"/>
                <w:sz w:val="18"/>
                <w:szCs w:val="18"/>
                <w:lang w:eastAsia="en-US"/>
              </w:rPr>
              <w:t xml:space="preserve">). It is the ratio of the number of </w:t>
            </w:r>
            <w:hyperlink r:id="rId108" w:history="1">
              <w:r w:rsidR="00B93EF2" w:rsidRPr="00C34DE9">
                <w:rPr>
                  <w:rFonts w:eastAsia="Calibri" w:cs="Times New Roman"/>
                  <w:sz w:val="18"/>
                  <w:szCs w:val="18"/>
                  <w:lang w:eastAsia="en-US"/>
                </w:rPr>
                <w:t>livestock units (LSUs)</w:t>
              </w:r>
            </w:hyperlink>
            <w:r w:rsidR="00B93EF2" w:rsidRPr="00C34DE9">
              <w:rPr>
                <w:rFonts w:eastAsia="Calibri" w:cs="Times New Roman"/>
                <w:sz w:val="18"/>
                <w:szCs w:val="18"/>
                <w:lang w:eastAsia="en-US"/>
              </w:rPr>
              <w:t xml:space="preserve"> (converted from the number of animals using standard coefficients </w:t>
            </w:r>
            <w:r w:rsidR="00263438" w:rsidRPr="00CC7B0A">
              <w:rPr>
                <w:rFonts w:eastAsia="Calibri" w:cs="Times New Roman"/>
                <w:sz w:val="18"/>
                <w:szCs w:val="18"/>
                <w:lang w:val="en-IE" w:eastAsia="en-US"/>
              </w:rPr>
              <w:t>published by EUROSTAT</w:t>
            </w:r>
            <w:r w:rsidR="00ED38D8">
              <w:rPr>
                <w:rStyle w:val="FootnoteReference"/>
                <w:rFonts w:eastAsia="Calibri" w:cs="Times New Roman"/>
                <w:sz w:val="18"/>
                <w:szCs w:val="18"/>
                <w:lang w:val="en-IE" w:eastAsia="en-US"/>
              </w:rPr>
              <w:footnoteReference w:id="4"/>
            </w:r>
            <w:r w:rsidR="00263438" w:rsidRPr="00CC7B0A">
              <w:rPr>
                <w:rFonts w:eastAsia="Calibri" w:cs="Times New Roman"/>
                <w:sz w:val="18"/>
                <w:szCs w:val="18"/>
                <w:lang w:val="en-IE" w:eastAsia="en-US"/>
              </w:rPr>
              <w:t xml:space="preserve">, </w:t>
            </w:r>
            <w:r w:rsidR="00B93EF2" w:rsidRPr="00C34DE9">
              <w:rPr>
                <w:rFonts w:eastAsia="Calibri" w:cs="Times New Roman"/>
                <w:sz w:val="18"/>
                <w:szCs w:val="18"/>
                <w:lang w:eastAsia="en-US"/>
              </w:rPr>
              <w:t>per hectare of fodder area.</w:t>
            </w:r>
          </w:p>
        </w:tc>
      </w:tr>
      <w:tr w:rsidR="0087584F" w:rsidRPr="00C34DE9" w14:paraId="669580A6" w14:textId="77777777" w:rsidTr="790C88FB">
        <w:tc>
          <w:tcPr>
            <w:tcW w:w="2802" w:type="dxa"/>
            <w:shd w:val="clear" w:color="auto" w:fill="auto"/>
          </w:tcPr>
          <w:p w14:paraId="215D4DB4"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7" w:type="dxa"/>
            <w:shd w:val="clear" w:color="auto" w:fill="auto"/>
          </w:tcPr>
          <w:p w14:paraId="137ABC46" w14:textId="1C162A42" w:rsidR="0087584F" w:rsidRPr="00C34DE9" w:rsidRDefault="008908FF" w:rsidP="00D01F92">
            <w:pPr>
              <w:spacing w:after="60" w:line="240" w:lineRule="auto"/>
              <w:jc w:val="both"/>
              <w:rPr>
                <w:rFonts w:ascii="Verdana" w:hAnsi="Verdana"/>
                <w:sz w:val="18"/>
                <w:szCs w:val="18"/>
              </w:rPr>
            </w:pPr>
            <w:r>
              <w:rPr>
                <w:rFonts w:ascii="Verdana" w:hAnsi="Verdana"/>
                <w:sz w:val="18"/>
                <w:szCs w:val="18"/>
              </w:rPr>
              <w:t>1 – 2:</w:t>
            </w:r>
            <w:r w:rsidR="001C195E">
              <w:rPr>
                <w:rFonts w:ascii="Verdana" w:hAnsi="Verdana"/>
                <w:sz w:val="18"/>
                <w:szCs w:val="18"/>
              </w:rPr>
              <w:t xml:space="preserve"> </w:t>
            </w:r>
            <w:r w:rsidR="0087584F" w:rsidRPr="00C34DE9">
              <w:rPr>
                <w:rFonts w:ascii="Verdana" w:hAnsi="Verdana"/>
                <w:sz w:val="18"/>
                <w:szCs w:val="18"/>
              </w:rPr>
              <w:t>LSU</w:t>
            </w:r>
            <w:r>
              <w:rPr>
                <w:rFonts w:ascii="Verdana" w:hAnsi="Verdana"/>
                <w:sz w:val="18"/>
                <w:szCs w:val="18"/>
              </w:rPr>
              <w:t>/ha</w:t>
            </w:r>
          </w:p>
        </w:tc>
      </w:tr>
      <w:tr w:rsidR="0087584F" w:rsidRPr="00C34DE9" w14:paraId="220AB08F" w14:textId="77777777" w:rsidTr="790C88FB">
        <w:tc>
          <w:tcPr>
            <w:tcW w:w="2802" w:type="dxa"/>
            <w:shd w:val="clear" w:color="auto" w:fill="auto"/>
          </w:tcPr>
          <w:p w14:paraId="10755B7D" w14:textId="77777777" w:rsidR="0087584F" w:rsidRPr="00C34DE9" w:rsidRDefault="0087584F"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7" w:type="dxa"/>
            <w:shd w:val="clear" w:color="auto" w:fill="auto"/>
            <w:vAlign w:val="center"/>
          </w:tcPr>
          <w:p w14:paraId="01439591" w14:textId="77777777" w:rsidR="0087584F" w:rsidRDefault="0087584F" w:rsidP="00D01F92">
            <w:pPr>
              <w:pStyle w:val="RD-Indicatortabletext"/>
              <w:spacing w:after="60"/>
              <w:rPr>
                <w:rFonts w:cs="Times New Roman"/>
                <w:sz w:val="18"/>
                <w:szCs w:val="18"/>
              </w:rPr>
            </w:pPr>
            <w:r w:rsidRPr="00C34DE9">
              <w:rPr>
                <w:rFonts w:cs="Times New Roman"/>
                <w:sz w:val="18"/>
                <w:szCs w:val="18"/>
              </w:rPr>
              <w:t>Eurostat – Farm Structure Survey (FSS)</w:t>
            </w:r>
          </w:p>
          <w:p w14:paraId="18CD9646" w14:textId="77777777" w:rsidR="00017034" w:rsidRPr="00C34DE9" w:rsidRDefault="00017034" w:rsidP="00D01F92">
            <w:pPr>
              <w:pStyle w:val="RD-Indicatortabletext"/>
              <w:spacing w:after="60"/>
              <w:rPr>
                <w:rFonts w:cs="Times New Roman"/>
                <w:sz w:val="18"/>
                <w:szCs w:val="18"/>
              </w:rPr>
            </w:pPr>
            <w:r>
              <w:rPr>
                <w:rFonts w:cs="Times New Roman"/>
                <w:sz w:val="18"/>
                <w:szCs w:val="18"/>
              </w:rPr>
              <w:t>Eurostat – Integrated Farm Statistics (IFS)</w:t>
            </w:r>
          </w:p>
        </w:tc>
      </w:tr>
      <w:tr w:rsidR="00DE120F" w:rsidRPr="00605E91" w14:paraId="14810B63" w14:textId="77777777" w:rsidTr="790C88FB">
        <w:tc>
          <w:tcPr>
            <w:tcW w:w="2802" w:type="dxa"/>
            <w:shd w:val="clear" w:color="auto" w:fill="auto"/>
          </w:tcPr>
          <w:p w14:paraId="0F24149D"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7" w:type="dxa"/>
            <w:shd w:val="clear" w:color="auto" w:fill="auto"/>
          </w:tcPr>
          <w:p w14:paraId="781B6715" w14:textId="541BF8D7" w:rsidR="00D255E5" w:rsidRPr="57B276B7" w:rsidRDefault="00DE120F" w:rsidP="00D255E5">
            <w:pPr>
              <w:rPr>
                <w:rFonts w:ascii="Verdana" w:hAnsi="Verdana" w:cs="Tahoma"/>
                <w:color w:val="000000" w:themeColor="text1"/>
                <w:sz w:val="18"/>
                <w:szCs w:val="18"/>
              </w:rPr>
            </w:pPr>
            <w:r w:rsidRPr="00C34DE9">
              <w:rPr>
                <w:rFonts w:ascii="Verdana" w:hAnsi="Verdana"/>
                <w:sz w:val="18"/>
                <w:szCs w:val="18"/>
              </w:rPr>
              <w:t>For national and regional data:</w:t>
            </w:r>
            <w:r w:rsidR="00F81CBB" w:rsidRPr="57B276B7">
              <w:t xml:space="preserve"> </w:t>
            </w:r>
            <w:hyperlink r:id="rId109" w:history="1">
              <w:r w:rsidR="00F81CBB" w:rsidRPr="00D255E5">
                <w:rPr>
                  <w:rFonts w:ascii="Verdana" w:hAnsi="Verdana"/>
                  <w:sz w:val="18"/>
                  <w:szCs w:val="18"/>
                </w:rPr>
                <w:t xml:space="preserve"> </w:t>
              </w:r>
              <w:r w:rsidR="00F81CBB" w:rsidRPr="00D255E5">
                <w:rPr>
                  <w:bCs/>
                </w:rPr>
                <w:t>[</w:t>
              </w:r>
              <w:r w:rsidR="00F81CBB" w:rsidRPr="3F2573B5">
                <w:rPr>
                  <w:rStyle w:val="Hyperlink"/>
                  <w:rFonts w:ascii="Verdana" w:hAnsi="Verdana"/>
                  <w:sz w:val="18"/>
                  <w:szCs w:val="18"/>
                </w:rPr>
                <w:t>ef_kvftaa</w:t>
              </w:r>
            </w:hyperlink>
            <w:r w:rsidR="00D255E5">
              <w:t>]</w:t>
            </w:r>
            <w:r w:rsidR="00D96965">
              <w:t xml:space="preserve"> </w:t>
            </w:r>
            <w:r w:rsidR="00D96965" w:rsidRPr="00F70433">
              <w:rPr>
                <w:rFonts w:ascii="Arial" w:hAnsi="Arial" w:cs="Arial"/>
                <w:bCs/>
                <w:color w:val="000000"/>
                <w:shd w:val="clear" w:color="auto" w:fill="FCFCFC"/>
              </w:rPr>
              <w:t>[</w:t>
            </w:r>
            <w:r w:rsidR="00D96965" w:rsidRPr="00D96965">
              <w:rPr>
                <w:rStyle w:val="Hyperlink"/>
                <w:rFonts w:ascii="Verdana" w:hAnsi="Verdana"/>
                <w:sz w:val="18"/>
                <w:szCs w:val="18"/>
              </w:rPr>
              <w:t>ef_lsk_main]</w:t>
            </w:r>
          </w:p>
          <w:p w14:paraId="4A0748CF" w14:textId="7C3F9F31" w:rsidR="00DE120F" w:rsidRPr="00C34DE9" w:rsidRDefault="3F2573B5" w:rsidP="00D255E5">
            <w:pPr>
              <w:rPr>
                <w:rFonts w:ascii="Verdana" w:hAnsi="Verdana"/>
                <w:sz w:val="18"/>
                <w:szCs w:val="18"/>
                <w:lang w:val="nn-NO"/>
              </w:rPr>
            </w:pPr>
            <w:r w:rsidRPr="57B276B7">
              <w:rPr>
                <w:rFonts w:ascii="Verdana" w:hAnsi="Verdana" w:cs="Tahoma"/>
                <w:color w:val="000000" w:themeColor="text1"/>
                <w:sz w:val="18"/>
                <w:szCs w:val="18"/>
              </w:rPr>
              <w:t>[</w:t>
            </w:r>
            <w:hyperlink r:id="rId110" w:history="1">
              <w:r w:rsidR="57B276B7" w:rsidRPr="00D96965">
                <w:rPr>
                  <w:rStyle w:val="Hyperlink"/>
                  <w:rFonts w:ascii="Verdana" w:hAnsi="Verdana"/>
                  <w:sz w:val="18"/>
                  <w:szCs w:val="18"/>
                </w:rPr>
                <w:t>ef_m_farmleg</w:t>
              </w:r>
            </w:hyperlink>
            <w:r w:rsidR="00D255E5" w:rsidRPr="790C88FB">
              <w:t>]</w:t>
            </w:r>
          </w:p>
        </w:tc>
      </w:tr>
      <w:tr w:rsidR="00DE120F" w:rsidRPr="00C34DE9" w14:paraId="0EBA5A8F" w14:textId="77777777" w:rsidTr="790C88FB">
        <w:tc>
          <w:tcPr>
            <w:tcW w:w="2802" w:type="dxa"/>
            <w:shd w:val="clear" w:color="auto" w:fill="auto"/>
          </w:tcPr>
          <w:p w14:paraId="359E94CE"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7" w:type="dxa"/>
            <w:shd w:val="clear" w:color="auto" w:fill="auto"/>
          </w:tcPr>
          <w:p w14:paraId="1FBF7363" w14:textId="77777777" w:rsidR="00DE120F" w:rsidRPr="00C34DE9" w:rsidRDefault="00DE120F" w:rsidP="00DE120F">
            <w:pPr>
              <w:spacing w:after="60" w:line="240" w:lineRule="auto"/>
              <w:jc w:val="both"/>
              <w:rPr>
                <w:rFonts w:ascii="Verdana" w:hAnsi="Verdana"/>
                <w:sz w:val="18"/>
                <w:szCs w:val="18"/>
              </w:rPr>
            </w:pPr>
            <w:r w:rsidRPr="00C34DE9">
              <w:rPr>
                <w:rFonts w:ascii="Verdana" w:hAnsi="Verdana"/>
                <w:sz w:val="18"/>
                <w:szCs w:val="18"/>
              </w:rPr>
              <w:t xml:space="preserve">EU, </w:t>
            </w:r>
            <w:r w:rsidR="0038258B">
              <w:rPr>
                <w:rFonts w:ascii="Verdana" w:hAnsi="Verdana"/>
                <w:sz w:val="18"/>
                <w:szCs w:val="18"/>
              </w:rPr>
              <w:t>N</w:t>
            </w:r>
            <w:r w:rsidRPr="00C34DE9">
              <w:rPr>
                <w:rFonts w:ascii="Verdana" w:hAnsi="Verdana"/>
                <w:sz w:val="18"/>
                <w:szCs w:val="18"/>
              </w:rPr>
              <w:t>ational (NUTS 0)</w:t>
            </w:r>
            <w:r w:rsidR="0038258B">
              <w:rPr>
                <w:rFonts w:ascii="Verdana" w:hAnsi="Verdana"/>
                <w:sz w:val="18"/>
                <w:szCs w:val="18"/>
              </w:rPr>
              <w:t>, R</w:t>
            </w:r>
            <w:r w:rsidRPr="00C34DE9">
              <w:rPr>
                <w:rFonts w:ascii="Verdana" w:hAnsi="Verdana"/>
                <w:sz w:val="18"/>
                <w:szCs w:val="18"/>
              </w:rPr>
              <w:t>egional (NUTS 1 and 2)</w:t>
            </w:r>
          </w:p>
        </w:tc>
      </w:tr>
      <w:tr w:rsidR="00DE120F" w:rsidRPr="00C34DE9" w14:paraId="050A612F" w14:textId="77777777" w:rsidTr="790C88FB">
        <w:tc>
          <w:tcPr>
            <w:tcW w:w="2802" w:type="dxa"/>
            <w:shd w:val="clear" w:color="auto" w:fill="auto"/>
          </w:tcPr>
          <w:p w14:paraId="1E30DF44"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7" w:type="dxa"/>
            <w:shd w:val="clear" w:color="auto" w:fill="auto"/>
          </w:tcPr>
          <w:p w14:paraId="53F1F9D6" w14:textId="77777777" w:rsidR="00DE120F" w:rsidRPr="00C34DE9" w:rsidRDefault="00DE120F" w:rsidP="00DE120F">
            <w:pPr>
              <w:spacing w:before="30" w:after="60"/>
              <w:rPr>
                <w:rFonts w:ascii="Verdana" w:eastAsia="Times New Roman" w:hAnsi="Verdana"/>
                <w:sz w:val="18"/>
                <w:szCs w:val="18"/>
              </w:rPr>
            </w:pPr>
            <w:r w:rsidRPr="00C34DE9">
              <w:rPr>
                <w:rFonts w:ascii="Verdana" w:eastAsia="Times New Roman" w:hAnsi="Verdana"/>
                <w:sz w:val="18"/>
                <w:szCs w:val="18"/>
              </w:rPr>
              <w:t>FSS</w:t>
            </w:r>
            <w:r w:rsidR="00017034">
              <w:rPr>
                <w:rFonts w:ascii="Verdana" w:eastAsia="Times New Roman" w:hAnsi="Verdana"/>
                <w:sz w:val="18"/>
                <w:szCs w:val="18"/>
              </w:rPr>
              <w:t>/IFS</w:t>
            </w:r>
            <w:r w:rsidRPr="00C34DE9">
              <w:rPr>
                <w:rFonts w:ascii="Verdana" w:eastAsia="Times New Roman" w:hAnsi="Verdana"/>
                <w:sz w:val="18"/>
                <w:szCs w:val="18"/>
              </w:rPr>
              <w:t>: full census every 10 years, intermediate surveys 2 times in-between.</w:t>
            </w:r>
          </w:p>
        </w:tc>
      </w:tr>
      <w:tr w:rsidR="00DE120F" w:rsidRPr="00C34DE9" w14:paraId="3C070835" w14:textId="77777777" w:rsidTr="790C88FB">
        <w:tc>
          <w:tcPr>
            <w:tcW w:w="2802" w:type="dxa"/>
            <w:shd w:val="clear" w:color="auto" w:fill="auto"/>
          </w:tcPr>
          <w:p w14:paraId="7A3F04C3"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7" w:type="dxa"/>
            <w:shd w:val="clear" w:color="auto" w:fill="auto"/>
          </w:tcPr>
          <w:p w14:paraId="5EA6B1FC" w14:textId="77777777" w:rsidR="00DE120F" w:rsidRPr="00C34DE9" w:rsidRDefault="00DE120F" w:rsidP="00DE120F">
            <w:pPr>
              <w:spacing w:after="60" w:line="240" w:lineRule="auto"/>
              <w:jc w:val="both"/>
              <w:rPr>
                <w:rFonts w:ascii="Verdana" w:hAnsi="Verdana"/>
                <w:sz w:val="18"/>
                <w:szCs w:val="18"/>
              </w:rPr>
            </w:pPr>
            <w:r w:rsidRPr="00C34DE9">
              <w:rPr>
                <w:rFonts w:ascii="Verdana" w:hAnsi="Verdana"/>
                <w:sz w:val="18"/>
                <w:szCs w:val="18"/>
              </w:rPr>
              <w:t>2 years</w:t>
            </w:r>
          </w:p>
        </w:tc>
      </w:tr>
      <w:tr w:rsidR="00DE120F" w:rsidRPr="00C34DE9" w14:paraId="7E393340" w14:textId="77777777" w:rsidTr="790C88FB">
        <w:tc>
          <w:tcPr>
            <w:tcW w:w="2802" w:type="dxa"/>
            <w:shd w:val="clear" w:color="auto" w:fill="auto"/>
          </w:tcPr>
          <w:p w14:paraId="74D2B629" w14:textId="77777777" w:rsidR="00DE120F" w:rsidRPr="00C34DE9" w:rsidRDefault="00DE120F"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7" w:type="dxa"/>
            <w:shd w:val="clear" w:color="auto" w:fill="auto"/>
          </w:tcPr>
          <w:p w14:paraId="52A34C16" w14:textId="77777777" w:rsidR="00017034" w:rsidRDefault="00D24F34" w:rsidP="00DE120F">
            <w:pPr>
              <w:spacing w:after="60" w:line="240" w:lineRule="auto"/>
              <w:jc w:val="both"/>
              <w:rPr>
                <w:rFonts w:ascii="Verdana" w:hAnsi="Verdana"/>
                <w:sz w:val="18"/>
                <w:szCs w:val="18"/>
              </w:rPr>
            </w:pPr>
            <w:r>
              <w:rPr>
                <w:rFonts w:ascii="Verdana" w:hAnsi="Verdana"/>
                <w:sz w:val="18"/>
                <w:szCs w:val="18"/>
              </w:rPr>
              <w:t>IFS as of survey year 2020</w:t>
            </w:r>
            <w:r w:rsidR="00017034">
              <w:rPr>
                <w:rFonts w:ascii="Verdana" w:hAnsi="Verdana"/>
                <w:sz w:val="18"/>
                <w:szCs w:val="18"/>
              </w:rPr>
              <w:t>.</w:t>
            </w:r>
          </w:p>
          <w:p w14:paraId="5DAAD84F" w14:textId="77777777" w:rsidR="00DE120F" w:rsidRPr="00C34DE9" w:rsidRDefault="00DE120F" w:rsidP="00263438">
            <w:pPr>
              <w:spacing w:after="60" w:line="240" w:lineRule="auto"/>
              <w:jc w:val="both"/>
              <w:rPr>
                <w:rFonts w:ascii="Verdana" w:eastAsia="Times New Roman" w:hAnsi="Verdana"/>
                <w:sz w:val="18"/>
                <w:szCs w:val="18"/>
              </w:rPr>
            </w:pPr>
            <w:r w:rsidRPr="00C34DE9">
              <w:rPr>
                <w:rFonts w:ascii="Verdana" w:hAnsi="Verdana"/>
                <w:sz w:val="18"/>
                <w:szCs w:val="18"/>
              </w:rPr>
              <w:t>LSU (or sometimes as LU) is a reference unit which facilitates the aggregation of livestock from various species and age as per convention, via the use of specific coefficients</w:t>
            </w:r>
            <w:r w:rsidR="00ED38D8">
              <w:rPr>
                <w:rStyle w:val="FootnoteReference"/>
                <w:rFonts w:ascii="Verdana" w:hAnsi="Verdana"/>
                <w:sz w:val="18"/>
                <w:szCs w:val="18"/>
              </w:rPr>
              <w:footnoteReference w:id="5"/>
            </w:r>
            <w:r w:rsidRPr="00C34DE9">
              <w:rPr>
                <w:rFonts w:ascii="Verdana" w:hAnsi="Verdana"/>
                <w:sz w:val="18"/>
                <w:szCs w:val="18"/>
              </w:rPr>
              <w:t xml:space="preserve"> established initially on the basis of the nutritional or feed requirement of each type of animal</w:t>
            </w:r>
            <w:r w:rsidR="00263438">
              <w:rPr>
                <w:rFonts w:ascii="Verdana" w:hAnsi="Verdana"/>
                <w:sz w:val="18"/>
                <w:szCs w:val="18"/>
              </w:rPr>
              <w:t>. Grazing livestock density is not published in the dataset but can be calculated separately.</w:t>
            </w:r>
          </w:p>
        </w:tc>
      </w:tr>
    </w:tbl>
    <w:p w14:paraId="7370154F" w14:textId="77777777" w:rsidR="00BD6BF6" w:rsidRPr="00C34DE9" w:rsidRDefault="00BD6BF6">
      <w:pPr>
        <w:rPr>
          <w:rFonts w:ascii="Verdana" w:hAnsi="Verdana"/>
          <w:sz w:val="18"/>
          <w:szCs w:val="18"/>
        </w:rPr>
      </w:pPr>
    </w:p>
    <w:p w14:paraId="2DEE69AB" w14:textId="77777777" w:rsidR="0087584F" w:rsidRPr="00C34DE9" w:rsidRDefault="0087584F">
      <w:pPr>
        <w:rPr>
          <w:rFonts w:ascii="Verdana" w:hAnsi="Verdana"/>
          <w:sz w:val="18"/>
          <w:szCs w:val="18"/>
        </w:rPr>
      </w:pPr>
      <w:r w:rsidRPr="00C34DE9">
        <w:rPr>
          <w:rFonts w:ascii="Verdana" w:hAnsi="Verdana"/>
          <w:sz w:val="18"/>
          <w:szCs w:val="1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7"/>
      </w:tblGrid>
      <w:tr w:rsidR="0007671D" w:rsidRPr="00C34DE9" w14:paraId="428E9B62" w14:textId="77777777" w:rsidTr="240ABBB4">
        <w:trPr>
          <w:trHeight w:val="411"/>
        </w:trPr>
        <w:tc>
          <w:tcPr>
            <w:tcW w:w="2802" w:type="dxa"/>
            <w:shd w:val="clear" w:color="auto" w:fill="00B0F0"/>
          </w:tcPr>
          <w:p w14:paraId="2E58833D" w14:textId="5150B5BE" w:rsidR="0007671D" w:rsidRPr="00C34DE9" w:rsidRDefault="0038258B" w:rsidP="00235122">
            <w:pPr>
              <w:spacing w:after="60" w:line="240" w:lineRule="auto"/>
              <w:rPr>
                <w:rFonts w:ascii="Verdana" w:hAnsi="Verdana"/>
                <w:b/>
                <w:bCs/>
                <w:sz w:val="18"/>
                <w:szCs w:val="18"/>
              </w:rPr>
            </w:pPr>
            <w:bookmarkStart w:id="31" w:name="C24"/>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2</w:t>
            </w:r>
            <w:r w:rsidR="00235122">
              <w:rPr>
                <w:rFonts w:ascii="Verdana" w:hAnsi="Verdana"/>
                <w:b/>
                <w:bCs/>
                <w:sz w:val="18"/>
                <w:szCs w:val="18"/>
              </w:rPr>
              <w:t>5</w:t>
            </w:r>
            <w:bookmarkEnd w:id="31"/>
          </w:p>
        </w:tc>
        <w:tc>
          <w:tcPr>
            <w:tcW w:w="7087" w:type="dxa"/>
            <w:shd w:val="clear" w:color="auto" w:fill="00B0F0"/>
          </w:tcPr>
          <w:p w14:paraId="14AF84E4" w14:textId="77777777" w:rsidR="007A33E8" w:rsidRPr="007A33E8" w:rsidRDefault="007A33E8" w:rsidP="5CB4B133">
            <w:pPr>
              <w:spacing w:after="60"/>
              <w:rPr>
                <w:rFonts w:ascii="Verdana" w:hAnsi="Verdana"/>
                <w:b/>
                <w:bCs/>
                <w:caps/>
                <w:sz w:val="18"/>
                <w:szCs w:val="18"/>
              </w:rPr>
            </w:pPr>
            <w:bookmarkStart w:id="32" w:name="I03"/>
            <w:r w:rsidRPr="5CB4B133">
              <w:rPr>
                <w:rFonts w:ascii="Verdana" w:hAnsi="Verdana"/>
                <w:b/>
                <w:bCs/>
                <w:sz w:val="18"/>
                <w:szCs w:val="18"/>
              </w:rPr>
              <w:t>Indicator I.3</w:t>
            </w:r>
            <w:bookmarkEnd w:id="32"/>
            <w:r w:rsidRPr="5CB4B133">
              <w:rPr>
                <w:rFonts w:ascii="Verdana" w:hAnsi="Verdana"/>
                <w:b/>
                <w:bCs/>
                <w:sz w:val="18"/>
                <w:szCs w:val="18"/>
              </w:rPr>
              <w:t xml:space="preserve"> Reducing farm income variability:</w:t>
            </w:r>
          </w:p>
          <w:p w14:paraId="2C89EE7A" w14:textId="77777777" w:rsidR="0007671D" w:rsidRPr="007A33E8" w:rsidRDefault="007A33E8" w:rsidP="007A33E8">
            <w:pPr>
              <w:spacing w:after="60"/>
              <w:rPr>
                <w:rFonts w:ascii="Verdana" w:hAnsi="Verdana"/>
                <w:caps/>
                <w:sz w:val="18"/>
                <w:szCs w:val="18"/>
              </w:rPr>
            </w:pPr>
            <w:r w:rsidRPr="007A33E8">
              <w:rPr>
                <w:rFonts w:ascii="Verdana" w:hAnsi="Verdana"/>
                <w:sz w:val="18"/>
                <w:szCs w:val="18"/>
              </w:rPr>
              <w:t xml:space="preserve">Evolution of agricultural income </w:t>
            </w:r>
          </w:p>
        </w:tc>
      </w:tr>
      <w:tr w:rsidR="0007671D" w:rsidRPr="00C34DE9" w14:paraId="6E462F3E" w14:textId="77777777" w:rsidTr="240ABBB4">
        <w:trPr>
          <w:trHeight w:val="556"/>
        </w:trPr>
        <w:tc>
          <w:tcPr>
            <w:tcW w:w="2802" w:type="dxa"/>
            <w:shd w:val="clear" w:color="auto" w:fill="auto"/>
          </w:tcPr>
          <w:p w14:paraId="31282C17"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7" w:type="dxa"/>
            <w:shd w:val="clear" w:color="auto" w:fill="auto"/>
          </w:tcPr>
          <w:p w14:paraId="6D303AA1"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Agricultural factor income</w:t>
            </w:r>
          </w:p>
        </w:tc>
      </w:tr>
      <w:tr w:rsidR="0007671D" w:rsidRPr="00C34DE9" w14:paraId="20529010" w14:textId="77777777" w:rsidTr="240ABBB4">
        <w:tc>
          <w:tcPr>
            <w:tcW w:w="2802" w:type="dxa"/>
            <w:shd w:val="clear" w:color="auto" w:fill="auto"/>
          </w:tcPr>
          <w:p w14:paraId="158F4800"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7" w:type="dxa"/>
            <w:shd w:val="clear" w:color="auto" w:fill="auto"/>
            <w:vAlign w:val="center"/>
          </w:tcPr>
          <w:p w14:paraId="34C9DFD3" w14:textId="77777777" w:rsidR="0007671D" w:rsidRPr="00C34DE9" w:rsidRDefault="0007671D" w:rsidP="790C88FB">
            <w:pPr>
              <w:spacing w:before="100" w:beforeAutospacing="1" w:after="60"/>
              <w:jc w:val="both"/>
              <w:rPr>
                <w:rFonts w:ascii="Verdana" w:hAnsi="Verdana"/>
                <w:sz w:val="18"/>
                <w:szCs w:val="18"/>
              </w:rPr>
            </w:pPr>
            <w:r w:rsidRPr="5CB4B133">
              <w:rPr>
                <w:rFonts w:ascii="Verdana" w:hAnsi="Verdana"/>
                <w:b/>
                <w:bCs/>
                <w:sz w:val="18"/>
                <w:szCs w:val="18"/>
              </w:rPr>
              <w:t>Agricultural factor income</w:t>
            </w:r>
            <w:r w:rsidRPr="00C34DE9">
              <w:rPr>
                <w:rFonts w:ascii="Verdana" w:hAnsi="Verdana"/>
                <w:sz w:val="18"/>
                <w:szCs w:val="18"/>
              </w:rPr>
              <w:t xml:space="preserve"> measures the remuneration of all factors of production (land, capital, labour) regardless of whether they are owned or borrowed/rented and represents all the value generated by a unit engaged in an agricultural production activity.</w:t>
            </w:r>
          </w:p>
          <w:p w14:paraId="3F9C617E" w14:textId="77777777" w:rsidR="0007671D" w:rsidRPr="00C34DE9" w:rsidRDefault="0007671D" w:rsidP="790C88FB">
            <w:pPr>
              <w:spacing w:before="100" w:beforeAutospacing="1" w:after="60"/>
              <w:jc w:val="both"/>
              <w:rPr>
                <w:rFonts w:ascii="Verdana" w:hAnsi="Verdana"/>
                <w:sz w:val="18"/>
                <w:szCs w:val="18"/>
              </w:rPr>
            </w:pPr>
            <w:r w:rsidRPr="00C34DE9">
              <w:rPr>
                <w:rFonts w:ascii="Verdana" w:hAnsi="Verdana"/>
                <w:sz w:val="18"/>
                <w:szCs w:val="18"/>
              </w:rPr>
              <w:t xml:space="preserve">It corresponds to the </w:t>
            </w:r>
            <w:r w:rsidRPr="5CB4B133">
              <w:rPr>
                <w:rFonts w:ascii="Verdana" w:hAnsi="Verdana"/>
                <w:b/>
                <w:bCs/>
                <w:sz w:val="18"/>
                <w:szCs w:val="18"/>
              </w:rPr>
              <w:t>net value added at factor cost.</w:t>
            </w:r>
          </w:p>
          <w:p w14:paraId="6D54EF52" w14:textId="77777777" w:rsidR="0007671D" w:rsidRPr="00C34DE9" w:rsidRDefault="0007671D" w:rsidP="005B5547">
            <w:pPr>
              <w:autoSpaceDE w:val="0"/>
              <w:autoSpaceDN w:val="0"/>
              <w:adjustRightInd w:val="0"/>
              <w:spacing w:after="60" w:line="240" w:lineRule="auto"/>
              <w:rPr>
                <w:rFonts w:ascii="Verdana" w:hAnsi="Verdana"/>
                <w:color w:val="000000"/>
                <w:sz w:val="18"/>
                <w:szCs w:val="18"/>
              </w:rPr>
            </w:pPr>
            <w:r w:rsidRPr="00C34DE9">
              <w:rPr>
                <w:rFonts w:ascii="Verdana" w:hAnsi="Verdana"/>
                <w:color w:val="000000"/>
                <w:sz w:val="18"/>
                <w:szCs w:val="18"/>
              </w:rPr>
              <w:t>Value of agricultural production</w:t>
            </w:r>
          </w:p>
          <w:p w14:paraId="6E6E00BE" w14:textId="2FCB06EC"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xml:space="preserve">- </w:t>
            </w:r>
            <w:r w:rsidR="00F47E7B" w:rsidRPr="00F47E7B">
              <w:rPr>
                <w:rFonts w:ascii="Verdana" w:hAnsi="Verdana"/>
                <w:color w:val="000000"/>
                <w:sz w:val="18"/>
                <w:szCs w:val="18"/>
              </w:rPr>
              <w:t>intermediate consumption as defined in Eurostat’s ‘Manual on the economic accounts for Agriculture and Forestry</w:t>
            </w:r>
          </w:p>
          <w:p w14:paraId="0D1F5EDB" w14:textId="77777777"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depreciation</w:t>
            </w:r>
          </w:p>
          <w:p w14:paraId="0786A558" w14:textId="77777777"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total taxes (on products and production)</w:t>
            </w:r>
          </w:p>
          <w:p w14:paraId="5381D3C5" w14:textId="77777777" w:rsidR="0007671D" w:rsidRPr="00C34DE9" w:rsidRDefault="0007671D" w:rsidP="005B5547">
            <w:pPr>
              <w:autoSpaceDE w:val="0"/>
              <w:autoSpaceDN w:val="0"/>
              <w:adjustRightInd w:val="0"/>
              <w:spacing w:after="60" w:line="240" w:lineRule="auto"/>
              <w:ind w:left="720"/>
              <w:rPr>
                <w:rFonts w:ascii="Verdana" w:hAnsi="Verdana"/>
                <w:color w:val="000000"/>
                <w:sz w:val="18"/>
                <w:szCs w:val="18"/>
              </w:rPr>
            </w:pPr>
            <w:r w:rsidRPr="00C34DE9">
              <w:rPr>
                <w:rFonts w:ascii="Verdana" w:hAnsi="Verdana"/>
                <w:color w:val="000000"/>
                <w:sz w:val="18"/>
                <w:szCs w:val="18"/>
              </w:rPr>
              <w:t>+ total subsidies (on products and production)</w:t>
            </w:r>
          </w:p>
          <w:p w14:paraId="36A60C40" w14:textId="77777777" w:rsidR="0007671D" w:rsidRPr="00C34DE9" w:rsidRDefault="0007671D" w:rsidP="005B5547">
            <w:pPr>
              <w:autoSpaceDE w:val="0"/>
              <w:autoSpaceDN w:val="0"/>
              <w:adjustRightInd w:val="0"/>
              <w:spacing w:after="60" w:line="240" w:lineRule="auto"/>
              <w:rPr>
                <w:rFonts w:ascii="Verdana" w:hAnsi="Verdana"/>
                <w:color w:val="000000"/>
                <w:sz w:val="18"/>
                <w:szCs w:val="18"/>
              </w:rPr>
            </w:pPr>
            <w:r w:rsidRPr="00C34DE9">
              <w:rPr>
                <w:rFonts w:ascii="Verdana" w:hAnsi="Verdana"/>
                <w:b/>
                <w:bCs/>
                <w:color w:val="000000"/>
                <w:sz w:val="18"/>
                <w:szCs w:val="18"/>
              </w:rPr>
              <w:t>= agricultural factor income (net value added at factor costs)</w:t>
            </w:r>
          </w:p>
          <w:p w14:paraId="1B30CB5E" w14:textId="77777777" w:rsidR="0007671D" w:rsidRPr="00D86F58" w:rsidRDefault="0007671D" w:rsidP="790C88FB">
            <w:pPr>
              <w:spacing w:before="100" w:beforeAutospacing="1" w:after="60" w:line="240" w:lineRule="auto"/>
              <w:jc w:val="both"/>
              <w:rPr>
                <w:rFonts w:ascii="Verdana" w:hAnsi="Verdana"/>
                <w:sz w:val="18"/>
                <w:szCs w:val="18"/>
              </w:rPr>
            </w:pPr>
            <w:r w:rsidRPr="00D86F58">
              <w:rPr>
                <w:rFonts w:ascii="Verdana" w:hAnsi="Verdana"/>
                <w:sz w:val="18"/>
                <w:szCs w:val="18"/>
              </w:rPr>
              <w:t xml:space="preserve">The indicator consists of </w:t>
            </w:r>
            <w:r w:rsidR="001D6460">
              <w:rPr>
                <w:rFonts w:ascii="Verdana" w:hAnsi="Verdana"/>
                <w:sz w:val="18"/>
                <w:szCs w:val="18"/>
              </w:rPr>
              <w:t xml:space="preserve">3 </w:t>
            </w:r>
            <w:r w:rsidR="00DD478B">
              <w:rPr>
                <w:rFonts w:ascii="Verdana" w:hAnsi="Verdana"/>
                <w:sz w:val="18"/>
                <w:szCs w:val="18"/>
              </w:rPr>
              <w:t>specific indicators</w:t>
            </w:r>
            <w:r w:rsidRPr="00D86F58">
              <w:rPr>
                <w:rFonts w:ascii="Verdana" w:hAnsi="Verdana"/>
                <w:sz w:val="18"/>
                <w:szCs w:val="18"/>
              </w:rPr>
              <w:t>:</w:t>
            </w:r>
          </w:p>
          <w:p w14:paraId="45650B72" w14:textId="3A72FE2B" w:rsidR="00881011" w:rsidRPr="00881011" w:rsidRDefault="0007671D" w:rsidP="00665997">
            <w:pPr>
              <w:pStyle w:val="ListParagraph"/>
              <w:numPr>
                <w:ilvl w:val="0"/>
                <w:numId w:val="72"/>
              </w:numPr>
              <w:spacing w:after="0" w:line="240" w:lineRule="auto"/>
              <w:ind w:left="641" w:hanging="357"/>
              <w:jc w:val="both"/>
              <w:rPr>
                <w:rFonts w:ascii="Verdana" w:hAnsi="Verdana"/>
                <w:sz w:val="18"/>
                <w:szCs w:val="18"/>
              </w:rPr>
            </w:pPr>
            <w:r w:rsidRPr="3F2573B5">
              <w:rPr>
                <w:rFonts w:ascii="Verdana" w:hAnsi="Verdana"/>
                <w:b/>
                <w:bCs/>
                <w:sz w:val="18"/>
                <w:szCs w:val="18"/>
              </w:rPr>
              <w:t>Agricultural factor income per annual work unit (AWU)</w:t>
            </w:r>
            <w:r w:rsidRPr="00881011">
              <w:rPr>
                <w:rFonts w:ascii="Verdana" w:hAnsi="Verdana"/>
                <w:sz w:val="18"/>
                <w:szCs w:val="18"/>
              </w:rPr>
              <w:t xml:space="preserve">. </w:t>
            </w:r>
            <w:r w:rsidR="00135DA7" w:rsidRPr="00881011">
              <w:rPr>
                <w:rFonts w:ascii="Verdana" w:hAnsi="Verdana"/>
                <w:sz w:val="18"/>
                <w:szCs w:val="18"/>
              </w:rPr>
              <w:t>It measures the income generated by a farm (as defined above) per annual working unit, where a</w:t>
            </w:r>
            <w:r w:rsidRPr="00881011">
              <w:rPr>
                <w:rFonts w:ascii="Verdana" w:hAnsi="Verdana"/>
                <w:sz w:val="18"/>
                <w:szCs w:val="18"/>
              </w:rPr>
              <w:t xml:space="preserve">n AWU in agriculture </w:t>
            </w:r>
            <w:r w:rsidRPr="00881011">
              <w:rPr>
                <w:rFonts w:ascii="Verdana" w:hAnsi="Verdana"/>
                <w:sz w:val="18"/>
                <w:szCs w:val="18"/>
                <w:lang w:val="en"/>
              </w:rPr>
              <w:t>corresponds to the work performed by one person who is occupied on an agricultural holding on a full-time basis. For this indicator, total (paid and unpaid) AWU are used.</w:t>
            </w:r>
          </w:p>
          <w:p w14:paraId="1B98B474" w14:textId="4D60F28E" w:rsidR="00881011" w:rsidRPr="00881011" w:rsidRDefault="0007671D" w:rsidP="790C88FB">
            <w:pPr>
              <w:pStyle w:val="ListParagraph"/>
              <w:numPr>
                <w:ilvl w:val="0"/>
                <w:numId w:val="72"/>
              </w:numPr>
              <w:spacing w:before="100" w:beforeAutospacing="1" w:after="60" w:line="240" w:lineRule="auto"/>
              <w:jc w:val="both"/>
            </w:pPr>
            <w:r w:rsidRPr="3F4AE0BD">
              <w:rPr>
                <w:rFonts w:ascii="Verdana" w:hAnsi="Verdana"/>
                <w:b/>
                <w:bCs/>
                <w:sz w:val="18"/>
                <w:szCs w:val="18"/>
              </w:rPr>
              <w:t>The</w:t>
            </w:r>
            <w:r w:rsidRPr="00D86F58">
              <w:rPr>
                <w:rFonts w:ascii="Verdana" w:hAnsi="Verdana"/>
                <w:sz w:val="18"/>
                <w:szCs w:val="18"/>
              </w:rPr>
              <w:t xml:space="preserve"> </w:t>
            </w:r>
            <w:r w:rsidRPr="3F4AE0BD">
              <w:rPr>
                <w:rFonts w:ascii="Verdana" w:hAnsi="Verdana"/>
                <w:b/>
                <w:bCs/>
                <w:sz w:val="18"/>
                <w:szCs w:val="18"/>
              </w:rPr>
              <w:t>index of agricultural factor income per AWU</w:t>
            </w:r>
            <w:r w:rsidRPr="00D86F58">
              <w:rPr>
                <w:rFonts w:ascii="Verdana" w:hAnsi="Verdana"/>
                <w:sz w:val="18"/>
                <w:szCs w:val="18"/>
              </w:rPr>
              <w:t xml:space="preserve"> is already available in Eurostat's Economic Accounts for Agriculture as </w:t>
            </w:r>
            <w:r w:rsidR="00DD478B">
              <w:rPr>
                <w:rFonts w:ascii="Verdana" w:hAnsi="Verdana"/>
                <w:sz w:val="18"/>
                <w:szCs w:val="18"/>
              </w:rPr>
              <w:t xml:space="preserve"> specific </w:t>
            </w:r>
            <w:r w:rsidR="007E4E47" w:rsidRPr="00D86F58">
              <w:rPr>
                <w:rFonts w:ascii="Verdana" w:hAnsi="Verdana"/>
                <w:sz w:val="18"/>
                <w:szCs w:val="18"/>
              </w:rPr>
              <w:t>i</w:t>
            </w:r>
            <w:r w:rsidRPr="00D86F58">
              <w:rPr>
                <w:rFonts w:ascii="Verdana" w:hAnsi="Verdana"/>
                <w:sz w:val="18"/>
                <w:szCs w:val="18"/>
              </w:rPr>
              <w:t xml:space="preserve">ndicator </w:t>
            </w:r>
            <w:r w:rsidR="007E4E47" w:rsidRPr="00D86F58">
              <w:rPr>
                <w:rFonts w:ascii="Verdana" w:hAnsi="Verdana"/>
                <w:sz w:val="18"/>
                <w:szCs w:val="18"/>
              </w:rPr>
              <w:t>1</w:t>
            </w:r>
            <w:r w:rsidRPr="00D86F58">
              <w:rPr>
                <w:rFonts w:ascii="Verdana" w:hAnsi="Verdana"/>
                <w:sz w:val="18"/>
                <w:szCs w:val="18"/>
              </w:rPr>
              <w:t>.</w:t>
            </w:r>
            <w:r w:rsidRPr="3F4AE0BD">
              <w:rPr>
                <w:rFonts w:ascii="Verdana" w:hAnsi="Verdana"/>
                <w:b/>
                <w:bCs/>
                <w:sz w:val="18"/>
                <w:szCs w:val="18"/>
              </w:rPr>
              <w:t xml:space="preserve"> </w:t>
            </w:r>
            <w:r w:rsidRPr="00D86F58">
              <w:rPr>
                <w:rFonts w:ascii="Verdana" w:hAnsi="Verdana"/>
                <w:sz w:val="18"/>
                <w:szCs w:val="18"/>
              </w:rPr>
              <w:t>This index</w:t>
            </w:r>
            <w:r w:rsidRPr="3F4AE0BD">
              <w:rPr>
                <w:rFonts w:ascii="Verdana" w:hAnsi="Verdana"/>
                <w:b/>
                <w:bCs/>
                <w:sz w:val="18"/>
                <w:szCs w:val="18"/>
              </w:rPr>
              <w:t xml:space="preserve"> </w:t>
            </w:r>
            <w:r w:rsidR="005A5FCB" w:rsidRPr="00D86F58">
              <w:rPr>
                <w:rFonts w:ascii="Verdana" w:hAnsi="Verdana"/>
                <w:sz w:val="18"/>
                <w:szCs w:val="18"/>
              </w:rPr>
              <w:t>is a measure of relative labour productivity and</w:t>
            </w:r>
            <w:r w:rsidR="005A5FCB" w:rsidRPr="3F4AE0BD">
              <w:rPr>
                <w:rFonts w:ascii="Verdana" w:hAnsi="Verdana"/>
                <w:b/>
                <w:bCs/>
                <w:sz w:val="18"/>
                <w:szCs w:val="18"/>
              </w:rPr>
              <w:t xml:space="preserve"> </w:t>
            </w:r>
            <w:r w:rsidRPr="00D86F58">
              <w:rPr>
                <w:rFonts w:ascii="Verdana" w:hAnsi="Verdana"/>
                <w:sz w:val="18"/>
                <w:szCs w:val="18"/>
              </w:rPr>
              <w:t>is particularly suited for showing developments over time.</w:t>
            </w:r>
            <w:r w:rsidR="00881011" w:rsidRPr="5D021C1E">
              <w:t xml:space="preserve"> </w:t>
            </w:r>
          </w:p>
          <w:p w14:paraId="4C4F7BF0" w14:textId="77777777" w:rsidR="000A0E7B" w:rsidRPr="006F1D90" w:rsidRDefault="000A0E7B" w:rsidP="790C88FB">
            <w:pPr>
              <w:pStyle w:val="ListParagraph"/>
              <w:numPr>
                <w:ilvl w:val="0"/>
                <w:numId w:val="72"/>
              </w:numPr>
              <w:spacing w:before="100" w:beforeAutospacing="1" w:after="60" w:line="240" w:lineRule="auto"/>
              <w:jc w:val="both"/>
              <w:rPr>
                <w:rFonts w:ascii="Verdana" w:hAnsi="Verdana"/>
                <w:sz w:val="18"/>
                <w:szCs w:val="18"/>
              </w:rPr>
            </w:pPr>
            <w:r w:rsidRPr="5CB4B133">
              <w:rPr>
                <w:rFonts w:ascii="Verdana" w:hAnsi="Verdana"/>
                <w:b/>
                <w:bCs/>
                <w:sz w:val="18"/>
                <w:szCs w:val="18"/>
                <w:shd w:val="clear" w:color="auto" w:fill="00B0F0"/>
              </w:rPr>
              <w:t>Indicator I.3</w:t>
            </w:r>
            <w:r w:rsidRPr="006F1D90">
              <w:rPr>
                <w:rFonts w:ascii="Verdana" w:hAnsi="Verdana"/>
                <w:sz w:val="18"/>
                <w:szCs w:val="18"/>
                <w:shd w:val="clear" w:color="auto" w:fill="00B0F0"/>
              </w:rPr>
              <w:t>: % variation of the Index compared to the last 3-year average.</w:t>
            </w:r>
          </w:p>
        </w:tc>
      </w:tr>
      <w:tr w:rsidR="0007671D" w:rsidRPr="00C34DE9" w14:paraId="31054D35" w14:textId="77777777" w:rsidTr="240ABBB4">
        <w:tc>
          <w:tcPr>
            <w:tcW w:w="2802" w:type="dxa"/>
            <w:shd w:val="clear" w:color="auto" w:fill="auto"/>
          </w:tcPr>
          <w:p w14:paraId="1A6D828B"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7" w:type="dxa"/>
            <w:shd w:val="clear" w:color="auto" w:fill="auto"/>
          </w:tcPr>
          <w:p w14:paraId="7635C1F8" w14:textId="1B460715" w:rsidR="0007671D" w:rsidRPr="00C34DE9" w:rsidRDefault="007E4E47" w:rsidP="005B5547">
            <w:pPr>
              <w:spacing w:after="60" w:line="240" w:lineRule="auto"/>
              <w:jc w:val="both"/>
              <w:rPr>
                <w:rFonts w:ascii="Verdana" w:hAnsi="Verdana"/>
                <w:sz w:val="18"/>
                <w:szCs w:val="18"/>
              </w:rPr>
            </w:pPr>
            <w:r>
              <w:rPr>
                <w:rFonts w:ascii="Verdana" w:hAnsi="Verdana"/>
                <w:sz w:val="18"/>
                <w:szCs w:val="18"/>
              </w:rPr>
              <w:t>1</w:t>
            </w:r>
            <w:r w:rsidR="00D86F58">
              <w:rPr>
                <w:rFonts w:ascii="Verdana" w:hAnsi="Verdana"/>
                <w:sz w:val="18"/>
                <w:szCs w:val="18"/>
              </w:rPr>
              <w:t>:</w:t>
            </w:r>
            <w:r w:rsidR="0007671D" w:rsidRPr="00C34DE9">
              <w:rPr>
                <w:rFonts w:ascii="Verdana" w:hAnsi="Verdana"/>
                <w:sz w:val="18"/>
                <w:szCs w:val="18"/>
              </w:rPr>
              <w:t xml:space="preserve"> EUR (in real terms)/AWU</w:t>
            </w:r>
          </w:p>
          <w:p w14:paraId="075F3F22" w14:textId="688A6DC5" w:rsidR="0007671D" w:rsidRDefault="007E4E47" w:rsidP="006A3B3B">
            <w:pPr>
              <w:spacing w:after="60" w:line="240" w:lineRule="auto"/>
              <w:jc w:val="both"/>
              <w:rPr>
                <w:rFonts w:ascii="Verdana" w:hAnsi="Verdana"/>
                <w:sz w:val="18"/>
                <w:szCs w:val="18"/>
              </w:rPr>
            </w:pPr>
            <w:r>
              <w:rPr>
                <w:rFonts w:ascii="Verdana" w:hAnsi="Verdana"/>
                <w:sz w:val="18"/>
                <w:szCs w:val="18"/>
              </w:rPr>
              <w:t>2</w:t>
            </w:r>
            <w:r w:rsidR="00D86F58">
              <w:rPr>
                <w:rFonts w:ascii="Verdana" w:hAnsi="Verdana"/>
                <w:sz w:val="18"/>
                <w:szCs w:val="18"/>
              </w:rPr>
              <w:t>:</w:t>
            </w:r>
            <w:r w:rsidR="0007671D" w:rsidRPr="00C34DE9">
              <w:rPr>
                <w:rFonts w:ascii="Verdana" w:hAnsi="Verdana"/>
                <w:sz w:val="18"/>
                <w:szCs w:val="18"/>
              </w:rPr>
              <w:t xml:space="preserve"> Index 20</w:t>
            </w:r>
            <w:r w:rsidR="006A3B3B" w:rsidRPr="00C34DE9">
              <w:rPr>
                <w:rFonts w:ascii="Verdana" w:hAnsi="Verdana"/>
                <w:sz w:val="18"/>
                <w:szCs w:val="18"/>
              </w:rPr>
              <w:t>1</w:t>
            </w:r>
            <w:r w:rsidR="0007671D" w:rsidRPr="00C34DE9">
              <w:rPr>
                <w:rFonts w:ascii="Verdana" w:hAnsi="Verdana"/>
                <w:sz w:val="18"/>
                <w:szCs w:val="18"/>
              </w:rPr>
              <w:t>0 =100</w:t>
            </w:r>
          </w:p>
          <w:p w14:paraId="6C05AE86" w14:textId="5F0570F8" w:rsidR="000F4CE8" w:rsidRPr="00C34DE9" w:rsidRDefault="004917FD" w:rsidP="005A49BC">
            <w:pPr>
              <w:spacing w:after="60" w:line="240" w:lineRule="auto"/>
              <w:jc w:val="both"/>
              <w:rPr>
                <w:rFonts w:ascii="Verdana" w:hAnsi="Verdana"/>
                <w:sz w:val="18"/>
                <w:szCs w:val="18"/>
              </w:rPr>
            </w:pPr>
            <w:r>
              <w:rPr>
                <w:rFonts w:ascii="Verdana" w:hAnsi="Verdana"/>
                <w:sz w:val="18"/>
                <w:szCs w:val="18"/>
              </w:rPr>
              <w:t>3</w:t>
            </w:r>
            <w:r w:rsidR="00D86F58">
              <w:rPr>
                <w:rFonts w:ascii="Verdana" w:hAnsi="Verdana"/>
                <w:sz w:val="18"/>
                <w:szCs w:val="18"/>
              </w:rPr>
              <w:t>:</w:t>
            </w:r>
            <w:r>
              <w:rPr>
                <w:rFonts w:ascii="Verdana" w:hAnsi="Verdana"/>
                <w:sz w:val="18"/>
                <w:szCs w:val="18"/>
              </w:rPr>
              <w:t xml:space="preserve"> </w:t>
            </w:r>
            <w:r w:rsidR="00156141">
              <w:rPr>
                <w:rFonts w:ascii="Verdana" w:hAnsi="Verdana"/>
                <w:sz w:val="18"/>
                <w:szCs w:val="18"/>
              </w:rPr>
              <w:t>%</w:t>
            </w:r>
          </w:p>
        </w:tc>
      </w:tr>
      <w:tr w:rsidR="0007671D" w:rsidRPr="00C34DE9" w14:paraId="181A140E" w14:textId="77777777" w:rsidTr="240ABBB4">
        <w:tc>
          <w:tcPr>
            <w:tcW w:w="2802" w:type="dxa"/>
            <w:shd w:val="clear" w:color="auto" w:fill="auto"/>
          </w:tcPr>
          <w:p w14:paraId="336FADE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7" w:type="dxa"/>
            <w:shd w:val="clear" w:color="auto" w:fill="auto"/>
            <w:vAlign w:val="center"/>
          </w:tcPr>
          <w:p w14:paraId="5E6FC4AB" w14:textId="6ECBB248" w:rsidR="0007671D" w:rsidRPr="00C34DE9" w:rsidRDefault="007E4E47" w:rsidP="005B5547">
            <w:pPr>
              <w:pStyle w:val="RD-Indicatortabletext"/>
              <w:spacing w:after="60"/>
              <w:rPr>
                <w:rFonts w:cs="Times New Roman"/>
                <w:sz w:val="18"/>
                <w:szCs w:val="18"/>
              </w:rPr>
            </w:pPr>
            <w:r>
              <w:rPr>
                <w:rFonts w:cs="Times New Roman"/>
                <w:sz w:val="18"/>
                <w:szCs w:val="18"/>
              </w:rPr>
              <w:t>1</w:t>
            </w:r>
            <w:r w:rsidR="00D86F58">
              <w:rPr>
                <w:rFonts w:cs="Times New Roman"/>
                <w:sz w:val="18"/>
                <w:szCs w:val="18"/>
              </w:rPr>
              <w:t>:</w:t>
            </w:r>
            <w:r w:rsidR="0007671D" w:rsidRPr="00C34DE9">
              <w:rPr>
                <w:rFonts w:cs="Times New Roman"/>
                <w:sz w:val="18"/>
                <w:szCs w:val="18"/>
              </w:rPr>
              <w:t xml:space="preserve"> Eurostat, Economic Accounts for Agriculture and Agricultural Labour Input Statistics</w:t>
            </w:r>
          </w:p>
          <w:p w14:paraId="00D8CC16" w14:textId="17836C58" w:rsidR="0007671D" w:rsidRPr="00C34DE9" w:rsidRDefault="007E4E47" w:rsidP="005B5547">
            <w:pPr>
              <w:pStyle w:val="RD-Indicatortabletext"/>
              <w:spacing w:after="60"/>
              <w:rPr>
                <w:rFonts w:cs="Times New Roman"/>
                <w:sz w:val="18"/>
                <w:szCs w:val="18"/>
              </w:rPr>
            </w:pPr>
            <w:r>
              <w:rPr>
                <w:rFonts w:cs="Times New Roman"/>
                <w:sz w:val="18"/>
                <w:szCs w:val="18"/>
              </w:rPr>
              <w:t>2</w:t>
            </w:r>
            <w:r w:rsidR="004917FD">
              <w:rPr>
                <w:rFonts w:cs="Times New Roman"/>
                <w:sz w:val="18"/>
                <w:szCs w:val="18"/>
              </w:rPr>
              <w:t xml:space="preserve"> - 3</w:t>
            </w:r>
            <w:r w:rsidR="00D86F58">
              <w:rPr>
                <w:rFonts w:cs="Times New Roman"/>
                <w:sz w:val="18"/>
                <w:szCs w:val="18"/>
              </w:rPr>
              <w:t>:</w:t>
            </w:r>
            <w:r w:rsidR="0007671D" w:rsidRPr="00C34DE9">
              <w:rPr>
                <w:rFonts w:cs="Times New Roman"/>
                <w:sz w:val="18"/>
                <w:szCs w:val="18"/>
              </w:rPr>
              <w:t xml:space="preserve"> Eurostat, Economic Accounts for Agriculture </w:t>
            </w:r>
            <w:r w:rsidR="000F4CE8">
              <w:rPr>
                <w:rFonts w:cs="Times New Roman"/>
                <w:sz w:val="18"/>
                <w:szCs w:val="18"/>
              </w:rPr>
              <w:t>(EAA)</w:t>
            </w:r>
          </w:p>
        </w:tc>
      </w:tr>
      <w:tr w:rsidR="0007671D" w:rsidRPr="00C34DE9" w14:paraId="1411484D" w14:textId="77777777" w:rsidTr="240ABBB4">
        <w:tc>
          <w:tcPr>
            <w:tcW w:w="2802" w:type="dxa"/>
            <w:shd w:val="clear" w:color="auto" w:fill="auto"/>
          </w:tcPr>
          <w:p w14:paraId="3B80091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7" w:type="dxa"/>
            <w:shd w:val="clear" w:color="auto" w:fill="auto"/>
          </w:tcPr>
          <w:p w14:paraId="39E8CE6B" w14:textId="77777777" w:rsidR="0007671D" w:rsidRPr="00881011" w:rsidRDefault="0007671D" w:rsidP="5CB4B133">
            <w:pPr>
              <w:pStyle w:val="ListParagraph"/>
              <w:numPr>
                <w:ilvl w:val="0"/>
                <w:numId w:val="73"/>
              </w:numPr>
              <w:spacing w:after="60"/>
              <w:rPr>
                <w:rFonts w:ascii="Verdana" w:hAnsi="Verdana"/>
                <w:b/>
                <w:bCs/>
                <w:sz w:val="18"/>
                <w:szCs w:val="18"/>
              </w:rPr>
            </w:pPr>
            <w:r w:rsidRPr="5CB4B133">
              <w:rPr>
                <w:rFonts w:ascii="Verdana" w:hAnsi="Verdana"/>
                <w:b/>
                <w:bCs/>
                <w:sz w:val="18"/>
                <w:szCs w:val="18"/>
              </w:rPr>
              <w:t>Agricultural factor income:</w:t>
            </w:r>
          </w:p>
          <w:p w14:paraId="3343BCFB" w14:textId="77777777" w:rsidR="0007671D" w:rsidRPr="00C34DE9" w:rsidRDefault="0007671D" w:rsidP="790C88FB">
            <w:pPr>
              <w:spacing w:after="60"/>
              <w:rPr>
                <w:rFonts w:ascii="Verdana" w:hAnsi="Verdana"/>
                <w:i/>
                <w:iCs/>
                <w:sz w:val="18"/>
                <w:szCs w:val="18"/>
              </w:rPr>
            </w:pPr>
            <w:r w:rsidRPr="790C88FB">
              <w:rPr>
                <w:rFonts w:ascii="Verdana" w:hAnsi="Verdana"/>
                <w:i/>
                <w:iCs/>
                <w:sz w:val="18"/>
                <w:szCs w:val="18"/>
              </w:rPr>
              <w:t xml:space="preserve">Economic accounts for agriculture - values at real prices </w:t>
            </w:r>
            <w:r w:rsidR="0038258B">
              <w:rPr>
                <w:rFonts w:ascii="Verdana" w:hAnsi="Verdana"/>
                <w:sz w:val="18"/>
                <w:szCs w:val="18"/>
              </w:rPr>
              <w:t>[</w:t>
            </w:r>
            <w:hyperlink r:id="rId111" w:history="1">
              <w:r w:rsidRPr="0038258B">
                <w:rPr>
                  <w:rStyle w:val="Hyperlink"/>
                  <w:rFonts w:ascii="Verdana" w:hAnsi="Verdana"/>
                  <w:sz w:val="18"/>
                  <w:szCs w:val="18"/>
                </w:rPr>
                <w:t>aact_eaa04</w:t>
              </w:r>
            </w:hyperlink>
            <w:r w:rsidR="0038258B">
              <w:rPr>
                <w:rFonts w:ascii="Verdana" w:hAnsi="Verdana"/>
                <w:sz w:val="18"/>
                <w:szCs w:val="18"/>
              </w:rPr>
              <w:t>]</w:t>
            </w:r>
          </w:p>
          <w:p w14:paraId="48B5C86B" w14:textId="77777777" w:rsidR="0007671D" w:rsidRPr="00C34DE9" w:rsidRDefault="0007671D" w:rsidP="00A85A9D">
            <w:pPr>
              <w:numPr>
                <w:ilvl w:val="0"/>
                <w:numId w:val="24"/>
              </w:numPr>
              <w:spacing w:after="60"/>
              <w:ind w:right="-108"/>
              <w:rPr>
                <w:rFonts w:ascii="Verdana" w:eastAsia="Times New Roman" w:hAnsi="Verdana"/>
                <w:sz w:val="18"/>
                <w:szCs w:val="18"/>
              </w:rPr>
            </w:pPr>
            <w:r w:rsidRPr="00C34DE9">
              <w:rPr>
                <w:rFonts w:ascii="Verdana" w:eastAsia="Times New Roman" w:hAnsi="Verdana"/>
                <w:sz w:val="18"/>
                <w:szCs w:val="18"/>
              </w:rPr>
              <w:t>Production value at basic price</w:t>
            </w:r>
          </w:p>
          <w:p w14:paraId="00D6858B" w14:textId="77777777" w:rsidR="0007671D" w:rsidRPr="00C34DE9" w:rsidRDefault="0007671D" w:rsidP="00A85A9D">
            <w:pPr>
              <w:numPr>
                <w:ilvl w:val="0"/>
                <w:numId w:val="24"/>
              </w:numPr>
              <w:spacing w:after="60"/>
              <w:ind w:right="-108"/>
              <w:rPr>
                <w:rFonts w:ascii="Verdana" w:eastAsia="Times New Roman" w:hAnsi="Verdana"/>
                <w:sz w:val="18"/>
                <w:szCs w:val="18"/>
              </w:rPr>
            </w:pPr>
            <w:r w:rsidRPr="00C34DE9">
              <w:rPr>
                <w:rFonts w:ascii="Verdana" w:eastAsia="Times New Roman" w:hAnsi="Verdana"/>
                <w:sz w:val="18"/>
                <w:szCs w:val="18"/>
              </w:rPr>
              <w:t>Factor income: code 26000</w:t>
            </w:r>
          </w:p>
          <w:p w14:paraId="40CDE2B6" w14:textId="77777777" w:rsidR="0007671D" w:rsidRPr="00881011" w:rsidRDefault="0007671D" w:rsidP="5CB4B133">
            <w:pPr>
              <w:pStyle w:val="ListParagraph"/>
              <w:numPr>
                <w:ilvl w:val="0"/>
                <w:numId w:val="73"/>
              </w:numPr>
              <w:spacing w:after="60"/>
              <w:rPr>
                <w:rFonts w:ascii="Verdana" w:hAnsi="Verdana"/>
                <w:b/>
                <w:bCs/>
                <w:sz w:val="18"/>
                <w:szCs w:val="18"/>
              </w:rPr>
            </w:pPr>
            <w:r w:rsidRPr="5CB4B133">
              <w:rPr>
                <w:rFonts w:ascii="Verdana" w:hAnsi="Verdana"/>
                <w:b/>
                <w:bCs/>
                <w:sz w:val="18"/>
                <w:szCs w:val="18"/>
              </w:rPr>
              <w:t>Agricultural labour input:</w:t>
            </w:r>
          </w:p>
          <w:p w14:paraId="357F4952" w14:textId="77777777" w:rsidR="0007671D" w:rsidRPr="00C34DE9" w:rsidRDefault="0007671D" w:rsidP="005B5547">
            <w:pPr>
              <w:spacing w:after="60"/>
              <w:rPr>
                <w:rFonts w:ascii="Verdana" w:hAnsi="Verdana"/>
                <w:sz w:val="18"/>
                <w:szCs w:val="18"/>
              </w:rPr>
            </w:pPr>
            <w:r w:rsidRPr="790C88FB">
              <w:rPr>
                <w:rFonts w:ascii="Verdana" w:hAnsi="Verdana"/>
                <w:i/>
                <w:iCs/>
                <w:sz w:val="18"/>
                <w:szCs w:val="18"/>
              </w:rPr>
              <w:t xml:space="preserve">Agricultural Labour Input Statistics: absolute figures (1 000 annual work units) </w:t>
            </w:r>
            <w:r w:rsidR="0038258B">
              <w:rPr>
                <w:rFonts w:ascii="Verdana" w:hAnsi="Verdana"/>
                <w:sz w:val="18"/>
                <w:szCs w:val="18"/>
              </w:rPr>
              <w:t>[</w:t>
            </w:r>
            <w:hyperlink r:id="rId112" w:history="1">
              <w:r w:rsidRPr="0038258B">
                <w:rPr>
                  <w:rStyle w:val="Hyperlink"/>
                  <w:rFonts w:ascii="Verdana" w:hAnsi="Verdana"/>
                  <w:sz w:val="18"/>
                  <w:szCs w:val="18"/>
                </w:rPr>
                <w:t>aact_ali01</w:t>
              </w:r>
            </w:hyperlink>
            <w:r w:rsidR="0038258B">
              <w:rPr>
                <w:rFonts w:ascii="Verdana" w:hAnsi="Verdana"/>
                <w:sz w:val="18"/>
                <w:szCs w:val="18"/>
              </w:rPr>
              <w:t>]</w:t>
            </w:r>
          </w:p>
          <w:p w14:paraId="6F2C8EA0" w14:textId="40A3BF12" w:rsidR="0007671D" w:rsidRPr="00C34DE9" w:rsidRDefault="0007671D" w:rsidP="00665997">
            <w:pPr>
              <w:pStyle w:val="FootnoteText"/>
              <w:numPr>
                <w:ilvl w:val="0"/>
                <w:numId w:val="73"/>
              </w:numPr>
              <w:spacing w:after="60"/>
              <w:jc w:val="left"/>
              <w:rPr>
                <w:rFonts w:ascii="Verdana" w:hAnsi="Verdana"/>
                <w:sz w:val="18"/>
                <w:szCs w:val="18"/>
                <w:lang w:val="en-GB"/>
              </w:rPr>
            </w:pPr>
            <w:r w:rsidRPr="3F4AE0BD">
              <w:rPr>
                <w:rFonts w:ascii="Verdana" w:hAnsi="Verdana"/>
                <w:b/>
                <w:bCs/>
                <w:sz w:val="18"/>
                <w:szCs w:val="18"/>
                <w:lang w:val="en-GB"/>
              </w:rPr>
              <w:t>Index of agricultural factor income/AWU (</w:t>
            </w:r>
            <w:r w:rsidRPr="5CB4B133">
              <w:rPr>
                <w:rFonts w:ascii="Verdana" w:hAnsi="Verdana"/>
                <w:b/>
                <w:bCs/>
                <w:sz w:val="18"/>
                <w:szCs w:val="18"/>
                <w:lang w:val="en-GB"/>
              </w:rPr>
              <w:t>I</w:t>
            </w:r>
            <w:r w:rsidRPr="3F4AE0BD">
              <w:rPr>
                <w:rFonts w:ascii="Verdana" w:hAnsi="Verdana"/>
                <w:b/>
                <w:bCs/>
                <w:sz w:val="18"/>
                <w:szCs w:val="18"/>
                <w:lang w:val="en-GB"/>
              </w:rPr>
              <w:t xml:space="preserve">ndicator </w:t>
            </w:r>
            <w:r w:rsidRPr="5CB4B133">
              <w:rPr>
                <w:rFonts w:ascii="Verdana" w:hAnsi="Verdana"/>
                <w:b/>
                <w:bCs/>
                <w:sz w:val="18"/>
                <w:szCs w:val="18"/>
                <w:lang w:val="en-GB"/>
              </w:rPr>
              <w:t>A</w:t>
            </w:r>
            <w:r w:rsidRPr="3F4AE0BD">
              <w:rPr>
                <w:rFonts w:ascii="Verdana" w:hAnsi="Verdana"/>
                <w:b/>
                <w:bCs/>
                <w:sz w:val="18"/>
                <w:szCs w:val="18"/>
                <w:lang w:val="en-GB"/>
              </w:rPr>
              <w:t xml:space="preserve">): </w:t>
            </w:r>
          </w:p>
          <w:p w14:paraId="1B68870A" w14:textId="5B4C4730" w:rsidR="0007671D" w:rsidRPr="00C34DE9" w:rsidRDefault="0007671D" w:rsidP="005B5547">
            <w:pPr>
              <w:spacing w:after="60" w:line="240" w:lineRule="auto"/>
              <w:jc w:val="both"/>
              <w:rPr>
                <w:rFonts w:ascii="Verdana" w:hAnsi="Verdana"/>
                <w:sz w:val="18"/>
                <w:szCs w:val="18"/>
              </w:rPr>
            </w:pPr>
            <w:r w:rsidRPr="790C88FB">
              <w:rPr>
                <w:rFonts w:ascii="Verdana" w:hAnsi="Verdana"/>
                <w:i/>
                <w:iCs/>
                <w:sz w:val="18"/>
                <w:szCs w:val="18"/>
              </w:rPr>
              <w:t xml:space="preserve">Economic accounts for agriculture - agricultural income (indicator A) </w:t>
            </w:r>
            <w:r w:rsidR="0038258B">
              <w:rPr>
                <w:rFonts w:ascii="Verdana" w:hAnsi="Verdana"/>
                <w:sz w:val="18"/>
                <w:szCs w:val="18"/>
              </w:rPr>
              <w:t>[</w:t>
            </w:r>
            <w:hyperlink r:id="rId113" w:history="1">
              <w:r w:rsidRPr="0038258B">
                <w:rPr>
                  <w:rStyle w:val="Hyperlink"/>
                  <w:rFonts w:ascii="Verdana" w:hAnsi="Verdana"/>
                  <w:sz w:val="18"/>
                  <w:szCs w:val="18"/>
                </w:rPr>
                <w:t>aact_eaa06</w:t>
              </w:r>
            </w:hyperlink>
            <w:r w:rsidR="0038258B">
              <w:rPr>
                <w:rFonts w:ascii="Verdana" w:hAnsi="Verdana"/>
                <w:sz w:val="18"/>
                <w:szCs w:val="18"/>
              </w:rPr>
              <w:t>]</w:t>
            </w:r>
          </w:p>
        </w:tc>
      </w:tr>
      <w:tr w:rsidR="0007671D" w:rsidRPr="00FA7243" w14:paraId="695A919C" w14:textId="77777777" w:rsidTr="240ABBB4">
        <w:tc>
          <w:tcPr>
            <w:tcW w:w="2802" w:type="dxa"/>
            <w:shd w:val="clear" w:color="auto" w:fill="auto"/>
          </w:tcPr>
          <w:p w14:paraId="760F7841"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 xml:space="preserve">Data collection / </w:t>
            </w:r>
            <w:r w:rsidRPr="5CB4B133">
              <w:rPr>
                <w:rFonts w:ascii="Verdana" w:hAnsi="Verdana"/>
                <w:b/>
                <w:bCs/>
                <w:sz w:val="18"/>
                <w:szCs w:val="18"/>
              </w:rPr>
              <w:lastRenderedPageBreak/>
              <w:t>dissemination level</w:t>
            </w:r>
          </w:p>
        </w:tc>
        <w:tc>
          <w:tcPr>
            <w:tcW w:w="7087" w:type="dxa"/>
            <w:shd w:val="clear" w:color="auto" w:fill="auto"/>
          </w:tcPr>
          <w:p w14:paraId="4A853DFD" w14:textId="1853D4B5" w:rsidR="0007671D" w:rsidRPr="00C34DE9" w:rsidRDefault="007E4E47" w:rsidP="005B5547">
            <w:pPr>
              <w:spacing w:after="60" w:line="240" w:lineRule="auto"/>
              <w:jc w:val="both"/>
              <w:rPr>
                <w:rFonts w:ascii="Verdana" w:hAnsi="Verdana"/>
                <w:sz w:val="18"/>
                <w:szCs w:val="18"/>
              </w:rPr>
            </w:pPr>
            <w:r>
              <w:rPr>
                <w:rFonts w:ascii="Verdana" w:hAnsi="Verdana"/>
                <w:sz w:val="18"/>
                <w:szCs w:val="18"/>
              </w:rPr>
              <w:lastRenderedPageBreak/>
              <w:t>1</w:t>
            </w:r>
            <w:r w:rsidR="0007671D" w:rsidRPr="00C34DE9">
              <w:rPr>
                <w:rFonts w:ascii="Verdana" w:hAnsi="Verdana"/>
                <w:sz w:val="18"/>
                <w:szCs w:val="18"/>
              </w:rPr>
              <w:t xml:space="preserve">. EU, </w:t>
            </w:r>
            <w:r w:rsidR="0038258B">
              <w:rPr>
                <w:rFonts w:ascii="Verdana" w:hAnsi="Verdana"/>
                <w:sz w:val="18"/>
                <w:szCs w:val="18"/>
              </w:rPr>
              <w:t>N</w:t>
            </w:r>
            <w:r w:rsidR="0007671D" w:rsidRPr="00C34DE9">
              <w:rPr>
                <w:rFonts w:ascii="Verdana" w:hAnsi="Verdana"/>
                <w:sz w:val="18"/>
                <w:szCs w:val="18"/>
              </w:rPr>
              <w:t>ational (NUTS 0)</w:t>
            </w:r>
            <w:r w:rsidR="0038258B">
              <w:rPr>
                <w:rFonts w:ascii="Verdana" w:hAnsi="Verdana"/>
                <w:sz w:val="18"/>
                <w:szCs w:val="18"/>
              </w:rPr>
              <w:t>, R</w:t>
            </w:r>
            <w:r w:rsidR="0007671D" w:rsidRPr="00C34DE9">
              <w:rPr>
                <w:rFonts w:ascii="Verdana" w:hAnsi="Verdana"/>
                <w:sz w:val="18"/>
                <w:szCs w:val="18"/>
              </w:rPr>
              <w:t xml:space="preserve">egional (NUTS 1 and 2) – where data are </w:t>
            </w:r>
            <w:r w:rsidR="0007671D" w:rsidRPr="00C34DE9">
              <w:rPr>
                <w:rFonts w:ascii="Verdana" w:hAnsi="Verdana"/>
                <w:sz w:val="18"/>
                <w:szCs w:val="18"/>
              </w:rPr>
              <w:lastRenderedPageBreak/>
              <w:t>available</w:t>
            </w:r>
          </w:p>
          <w:p w14:paraId="74A7EDCC" w14:textId="6313D62E" w:rsidR="0007671D" w:rsidRPr="00C34DE9" w:rsidRDefault="007E4E47" w:rsidP="005B5547">
            <w:pPr>
              <w:spacing w:after="60" w:line="240" w:lineRule="auto"/>
              <w:jc w:val="both"/>
              <w:rPr>
                <w:rFonts w:ascii="Verdana" w:hAnsi="Verdana"/>
                <w:sz w:val="18"/>
                <w:szCs w:val="18"/>
                <w:lang w:val="de-DE"/>
              </w:rPr>
            </w:pPr>
            <w:r>
              <w:rPr>
                <w:rFonts w:ascii="Verdana" w:hAnsi="Verdana"/>
                <w:sz w:val="18"/>
                <w:szCs w:val="18"/>
                <w:lang w:val="de-DE"/>
              </w:rPr>
              <w:t>2</w:t>
            </w:r>
            <w:r w:rsidR="0007671D" w:rsidRPr="00C34DE9">
              <w:rPr>
                <w:rFonts w:ascii="Verdana" w:hAnsi="Verdana"/>
                <w:sz w:val="18"/>
                <w:szCs w:val="18"/>
                <w:lang w:val="de-DE"/>
              </w:rPr>
              <w:t>. EU</w:t>
            </w:r>
            <w:r w:rsidR="0038258B">
              <w:rPr>
                <w:rFonts w:ascii="Verdana" w:hAnsi="Verdana"/>
                <w:sz w:val="18"/>
                <w:szCs w:val="18"/>
                <w:lang w:val="de-DE"/>
              </w:rPr>
              <w:t>, N</w:t>
            </w:r>
            <w:r w:rsidR="0007671D" w:rsidRPr="00C34DE9">
              <w:rPr>
                <w:rFonts w:ascii="Verdana" w:hAnsi="Verdana"/>
                <w:sz w:val="18"/>
                <w:szCs w:val="18"/>
                <w:lang w:val="de-DE"/>
              </w:rPr>
              <w:t>ational (NUTS 0)</w:t>
            </w:r>
          </w:p>
        </w:tc>
      </w:tr>
      <w:tr w:rsidR="0007671D" w:rsidRPr="00C34DE9" w14:paraId="42799E9D" w14:textId="77777777" w:rsidTr="240ABBB4">
        <w:tc>
          <w:tcPr>
            <w:tcW w:w="2802" w:type="dxa"/>
            <w:shd w:val="clear" w:color="auto" w:fill="auto"/>
          </w:tcPr>
          <w:p w14:paraId="5290FA1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lastRenderedPageBreak/>
              <w:t>Frequency</w:t>
            </w:r>
          </w:p>
        </w:tc>
        <w:tc>
          <w:tcPr>
            <w:tcW w:w="7087" w:type="dxa"/>
            <w:shd w:val="clear" w:color="auto" w:fill="auto"/>
          </w:tcPr>
          <w:p w14:paraId="1ED73E31" w14:textId="77777777" w:rsidR="0007671D" w:rsidRPr="00C34DE9" w:rsidRDefault="0007671D"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78A14E13" w14:textId="77777777" w:rsidTr="240ABBB4">
        <w:tc>
          <w:tcPr>
            <w:tcW w:w="2802" w:type="dxa"/>
            <w:shd w:val="clear" w:color="auto" w:fill="auto"/>
          </w:tcPr>
          <w:p w14:paraId="4EC6CB72"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7" w:type="dxa"/>
            <w:shd w:val="clear" w:color="auto" w:fill="auto"/>
          </w:tcPr>
          <w:p w14:paraId="3B77A929"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lang w:val="en-US"/>
              </w:rPr>
              <w:t>1 year</w:t>
            </w:r>
          </w:p>
        </w:tc>
      </w:tr>
      <w:tr w:rsidR="0007671D" w:rsidRPr="00C34DE9" w14:paraId="12AE2BB4" w14:textId="77777777" w:rsidTr="240ABBB4">
        <w:tc>
          <w:tcPr>
            <w:tcW w:w="2802" w:type="dxa"/>
            <w:shd w:val="clear" w:color="auto" w:fill="auto"/>
          </w:tcPr>
          <w:p w14:paraId="5F3D3A5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7" w:type="dxa"/>
            <w:shd w:val="clear" w:color="auto" w:fill="auto"/>
          </w:tcPr>
          <w:p w14:paraId="4AF41D28" w14:textId="77777777" w:rsidR="0007671D" w:rsidRDefault="0007671D" w:rsidP="005B5547">
            <w:pPr>
              <w:spacing w:after="60"/>
              <w:jc w:val="both"/>
              <w:rPr>
                <w:rFonts w:ascii="Verdana" w:hAnsi="Verdana"/>
                <w:sz w:val="18"/>
                <w:szCs w:val="18"/>
              </w:rPr>
            </w:pPr>
            <w:r w:rsidRPr="00C34DE9">
              <w:rPr>
                <w:rFonts w:ascii="Verdana" w:hAnsi="Verdana"/>
                <w:sz w:val="18"/>
                <w:szCs w:val="18"/>
              </w:rPr>
              <w:t>Agricultural factor income is best suited for evaluating the impact of changes in the level of public support (i.e. direct payments) on the capacity of farmers to reimburse capital, pay for wages and rented land as well as to reward their own production factors. In this context one should note that the proportion of own and external production factors varies in some cases significantly between and within Member States and that the remuneration of own and external production factors is often unequal at farm level.</w:t>
            </w:r>
          </w:p>
          <w:p w14:paraId="120F638C" w14:textId="77777777" w:rsidR="005A5FCB" w:rsidRDefault="005A5FCB" w:rsidP="005A5FCB">
            <w:pPr>
              <w:spacing w:after="60"/>
              <w:jc w:val="both"/>
              <w:rPr>
                <w:rFonts w:ascii="Verdana" w:hAnsi="Verdana"/>
                <w:sz w:val="18"/>
                <w:szCs w:val="18"/>
                <w:lang w:val="x-none"/>
              </w:rPr>
            </w:pPr>
            <w:r>
              <w:rPr>
                <w:rFonts w:ascii="Verdana" w:hAnsi="Verdana"/>
                <w:sz w:val="18"/>
                <w:szCs w:val="18"/>
                <w:lang w:val="x-none"/>
              </w:rPr>
              <w:t xml:space="preserve">Caution should be exercised when comparing absolute levels of agricultural factor income per AWU as they are influenced by different calculations </w:t>
            </w:r>
            <w:r w:rsidR="009D51B4" w:rsidRPr="009D51B4">
              <w:rPr>
                <w:rFonts w:ascii="Verdana" w:hAnsi="Verdana"/>
                <w:sz w:val="18"/>
                <w:szCs w:val="18"/>
              </w:rPr>
              <w:t xml:space="preserve">of </w:t>
            </w:r>
            <w:r w:rsidR="009D51B4">
              <w:rPr>
                <w:rFonts w:ascii="Verdana" w:hAnsi="Verdana"/>
                <w:sz w:val="18"/>
                <w:szCs w:val="18"/>
              </w:rPr>
              <w:t xml:space="preserve">AWU </w:t>
            </w:r>
            <w:r>
              <w:rPr>
                <w:rFonts w:ascii="Verdana" w:hAnsi="Verdana"/>
                <w:sz w:val="18"/>
                <w:szCs w:val="18"/>
                <w:lang w:val="x-none"/>
              </w:rPr>
              <w:t>depending on national rules and are not specifically designed to be comparable across countries.</w:t>
            </w:r>
          </w:p>
          <w:p w14:paraId="736AA76E" w14:textId="77777777" w:rsidR="0007671D" w:rsidRDefault="0007671D" w:rsidP="005B5547">
            <w:pPr>
              <w:spacing w:after="60"/>
              <w:jc w:val="both"/>
              <w:rPr>
                <w:rFonts w:ascii="Verdana" w:hAnsi="Verdana"/>
                <w:sz w:val="18"/>
                <w:szCs w:val="18"/>
              </w:rPr>
            </w:pPr>
            <w:r w:rsidRPr="00C34DE9">
              <w:rPr>
                <w:rFonts w:ascii="Verdana" w:hAnsi="Verdana"/>
                <w:sz w:val="18"/>
                <w:szCs w:val="18"/>
              </w:rPr>
              <w:t>Regional data are not available for all Member States.</w:t>
            </w:r>
          </w:p>
          <w:p w14:paraId="5DA6224B" w14:textId="77777777" w:rsidR="000F4CE8" w:rsidRDefault="000F4CE8" w:rsidP="000F4CE8">
            <w:pPr>
              <w:spacing w:after="60"/>
              <w:jc w:val="both"/>
              <w:rPr>
                <w:rFonts w:ascii="Verdana" w:hAnsi="Verdana"/>
                <w:sz w:val="18"/>
                <w:szCs w:val="18"/>
              </w:rPr>
            </w:pPr>
            <w:r>
              <w:rPr>
                <w:rFonts w:ascii="Verdana" w:hAnsi="Verdana"/>
                <w:sz w:val="18"/>
                <w:szCs w:val="18"/>
              </w:rPr>
              <w:t>The EAA provide timely data, however to assess income development and variability by region or farm type, Member States might complement the analysis using FADN data.</w:t>
            </w:r>
          </w:p>
          <w:p w14:paraId="497E707C" w14:textId="77777777" w:rsidR="00D34F97" w:rsidRPr="00C34DE9" w:rsidRDefault="00D34F97" w:rsidP="000F4CE8">
            <w:pPr>
              <w:spacing w:after="60"/>
              <w:jc w:val="both"/>
              <w:rPr>
                <w:rFonts w:ascii="Verdana" w:eastAsia="Times New Roman" w:hAnsi="Verdana"/>
                <w:sz w:val="18"/>
                <w:szCs w:val="18"/>
              </w:rPr>
            </w:pPr>
            <w:r w:rsidRPr="5CB4B133">
              <w:rPr>
                <w:rFonts w:ascii="Verdana" w:hAnsi="Verdana"/>
                <w:b/>
                <w:bCs/>
                <w:sz w:val="18"/>
                <w:szCs w:val="18"/>
              </w:rPr>
              <w:t>This indicator is also used for the EU reporting on UN Sustainable Development Goals.</w:t>
            </w:r>
          </w:p>
        </w:tc>
      </w:tr>
    </w:tbl>
    <w:p w14:paraId="3ECF4606" w14:textId="77777777" w:rsidR="00BD6BF6" w:rsidRPr="00C34DE9" w:rsidRDefault="00BD6BF6">
      <w:pPr>
        <w:rPr>
          <w:rFonts w:ascii="Verdana" w:hAnsi="Verdana"/>
          <w:sz w:val="18"/>
          <w:szCs w:val="18"/>
        </w:rPr>
      </w:pPr>
    </w:p>
    <w:p w14:paraId="30BE1F69" w14:textId="77777777" w:rsidR="00BD6BF6" w:rsidRPr="00C34DE9" w:rsidRDefault="00BD6BF6">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88"/>
      </w:tblGrid>
      <w:tr w:rsidR="00EF6D86" w:rsidRPr="00C34DE9" w14:paraId="1EB7D6E7" w14:textId="77777777" w:rsidTr="240ABBB4">
        <w:trPr>
          <w:trHeight w:val="411"/>
        </w:trPr>
        <w:tc>
          <w:tcPr>
            <w:tcW w:w="2943" w:type="dxa"/>
            <w:shd w:val="clear" w:color="auto" w:fill="00B0F0"/>
          </w:tcPr>
          <w:p w14:paraId="08C7C0B6" w14:textId="699A0A88" w:rsidR="00EF6D86" w:rsidRPr="00C34DE9" w:rsidRDefault="00A6594A" w:rsidP="002D72D6">
            <w:pPr>
              <w:spacing w:after="60" w:line="240" w:lineRule="auto"/>
              <w:rPr>
                <w:rFonts w:ascii="Verdana" w:hAnsi="Verdana"/>
                <w:b/>
                <w:bCs/>
                <w:sz w:val="18"/>
                <w:szCs w:val="18"/>
              </w:rPr>
            </w:pPr>
            <w:bookmarkStart w:id="33" w:name="C25"/>
            <w:r w:rsidRPr="5CB4B133">
              <w:rPr>
                <w:rFonts w:ascii="Verdana" w:hAnsi="Verdana"/>
                <w:b/>
                <w:bCs/>
                <w:smallCaps/>
                <w:sz w:val="18"/>
                <w:szCs w:val="18"/>
              </w:rPr>
              <w:lastRenderedPageBreak/>
              <w:t>Indicator</w:t>
            </w:r>
            <w:r w:rsidR="00EF6D86" w:rsidRPr="5CB4B133">
              <w:rPr>
                <w:rFonts w:ascii="Verdana" w:hAnsi="Verdana"/>
                <w:b/>
                <w:bCs/>
                <w:sz w:val="18"/>
                <w:szCs w:val="18"/>
              </w:rPr>
              <w:t xml:space="preserve"> </w:t>
            </w:r>
            <w:r w:rsidR="00EF6D86" w:rsidRPr="5CB4B133">
              <w:rPr>
                <w:rFonts w:ascii="Verdana" w:hAnsi="Verdana"/>
                <w:b/>
                <w:bCs/>
                <w:smallCaps/>
                <w:sz w:val="18"/>
                <w:szCs w:val="18"/>
              </w:rPr>
              <w:t>C.</w:t>
            </w:r>
            <w:r w:rsidR="00EF6D86" w:rsidRPr="5CB4B133">
              <w:rPr>
                <w:rFonts w:ascii="Verdana" w:hAnsi="Verdana"/>
                <w:b/>
                <w:bCs/>
                <w:sz w:val="18"/>
                <w:szCs w:val="18"/>
              </w:rPr>
              <w:t>2</w:t>
            </w:r>
            <w:r w:rsidR="002D72D6">
              <w:rPr>
                <w:rFonts w:ascii="Verdana" w:hAnsi="Verdana"/>
                <w:b/>
                <w:bCs/>
                <w:sz w:val="18"/>
                <w:szCs w:val="18"/>
              </w:rPr>
              <w:t>6</w:t>
            </w:r>
            <w:bookmarkEnd w:id="33"/>
          </w:p>
        </w:tc>
        <w:tc>
          <w:tcPr>
            <w:tcW w:w="7088" w:type="dxa"/>
            <w:shd w:val="clear" w:color="auto" w:fill="00B0F0"/>
          </w:tcPr>
          <w:p w14:paraId="7238B71E" w14:textId="77777777" w:rsidR="00EF6D86" w:rsidRPr="000A0E7B" w:rsidRDefault="00EF6D86" w:rsidP="5CB4B133">
            <w:pPr>
              <w:spacing w:after="60"/>
              <w:rPr>
                <w:rFonts w:ascii="Verdana" w:hAnsi="Verdana"/>
                <w:b/>
                <w:bCs/>
                <w:caps/>
                <w:sz w:val="18"/>
                <w:szCs w:val="18"/>
              </w:rPr>
            </w:pPr>
            <w:bookmarkStart w:id="34" w:name="I02"/>
            <w:r w:rsidRPr="5CB4B133">
              <w:rPr>
                <w:rFonts w:ascii="Verdana" w:hAnsi="Verdana"/>
                <w:b/>
                <w:bCs/>
                <w:sz w:val="18"/>
                <w:szCs w:val="18"/>
              </w:rPr>
              <w:t>Indicator</w:t>
            </w:r>
            <w:r w:rsidRPr="5CB4B133">
              <w:rPr>
                <w:b/>
                <w:bCs/>
              </w:rPr>
              <w:t xml:space="preserve"> </w:t>
            </w:r>
            <w:r w:rsidRPr="5CB4B133">
              <w:rPr>
                <w:rFonts w:ascii="Verdana" w:hAnsi="Verdana"/>
                <w:b/>
                <w:bCs/>
                <w:caps/>
                <w:sz w:val="18"/>
                <w:szCs w:val="18"/>
              </w:rPr>
              <w:t>I.2</w:t>
            </w:r>
            <w:bookmarkEnd w:id="34"/>
            <w:r w:rsidRPr="5CB4B133">
              <w:rPr>
                <w:rFonts w:ascii="Verdana" w:hAnsi="Verdana"/>
                <w:b/>
                <w:bCs/>
                <w:caps/>
                <w:sz w:val="18"/>
                <w:szCs w:val="18"/>
              </w:rPr>
              <w:t xml:space="preserve"> </w:t>
            </w:r>
            <w:r w:rsidRPr="5CB4B133">
              <w:rPr>
                <w:rFonts w:ascii="Verdana" w:hAnsi="Verdana"/>
                <w:b/>
                <w:bCs/>
                <w:sz w:val="18"/>
                <w:szCs w:val="18"/>
              </w:rPr>
              <w:t xml:space="preserve">Reducing income disparities: </w:t>
            </w:r>
          </w:p>
          <w:p w14:paraId="04D5F22A" w14:textId="1BCD4CDB" w:rsidR="00EF6D86" w:rsidRPr="00C34DE9" w:rsidRDefault="00EF6D86" w:rsidP="00B3636B">
            <w:pPr>
              <w:spacing w:after="60"/>
              <w:rPr>
                <w:rFonts w:ascii="Verdana" w:hAnsi="Verdana"/>
                <w:caps/>
                <w:sz w:val="18"/>
                <w:szCs w:val="18"/>
              </w:rPr>
            </w:pPr>
            <w:r>
              <w:rPr>
                <w:rFonts w:ascii="Verdana" w:hAnsi="Verdana"/>
                <w:sz w:val="18"/>
                <w:szCs w:val="18"/>
              </w:rPr>
              <w:t>E</w:t>
            </w:r>
            <w:r w:rsidRPr="000A0E7B">
              <w:rPr>
                <w:rFonts w:ascii="Verdana" w:hAnsi="Verdana"/>
                <w:sz w:val="18"/>
                <w:szCs w:val="18"/>
              </w:rPr>
              <w:t xml:space="preserve">volution of agricultural income compared to </w:t>
            </w:r>
            <w:r w:rsidR="00925042">
              <w:rPr>
                <w:rFonts w:ascii="Verdana" w:hAnsi="Verdana"/>
                <w:sz w:val="18"/>
                <w:szCs w:val="18"/>
              </w:rPr>
              <w:t xml:space="preserve">the </w:t>
            </w:r>
            <w:r w:rsidRPr="000A0E7B">
              <w:rPr>
                <w:rFonts w:ascii="Verdana" w:hAnsi="Verdana"/>
                <w:sz w:val="18"/>
                <w:szCs w:val="18"/>
              </w:rPr>
              <w:t>general economy</w:t>
            </w:r>
          </w:p>
        </w:tc>
      </w:tr>
      <w:tr w:rsidR="00EF6D86" w:rsidRPr="00C34DE9" w14:paraId="51458534" w14:textId="77777777" w:rsidTr="240ABBB4">
        <w:trPr>
          <w:trHeight w:val="556"/>
        </w:trPr>
        <w:tc>
          <w:tcPr>
            <w:tcW w:w="2943" w:type="dxa"/>
            <w:shd w:val="clear" w:color="auto" w:fill="auto"/>
          </w:tcPr>
          <w:p w14:paraId="793E4751"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8" w:type="dxa"/>
            <w:shd w:val="clear" w:color="auto" w:fill="auto"/>
          </w:tcPr>
          <w:p w14:paraId="6542DDD8" w14:textId="1445CC48" w:rsidR="00EF6D86" w:rsidRPr="00C34DE9" w:rsidRDefault="00EC026F" w:rsidP="002D72D6">
            <w:pPr>
              <w:spacing w:before="120" w:after="120" w:line="240" w:lineRule="auto"/>
              <w:jc w:val="center"/>
              <w:rPr>
                <w:rFonts w:ascii="Verdana" w:hAnsi="Verdana"/>
                <w:b/>
                <w:bCs/>
                <w:sz w:val="18"/>
                <w:szCs w:val="18"/>
              </w:rPr>
            </w:pPr>
            <w:r w:rsidRPr="3F4AE0BD">
              <w:rPr>
                <w:rFonts w:ascii="Verdana" w:hAnsi="Verdana"/>
                <w:b/>
                <w:bCs/>
                <w:sz w:val="18"/>
                <w:szCs w:val="18"/>
              </w:rPr>
              <w:t>Comparison of agricultural income with non-agricultural labour cost</w:t>
            </w:r>
          </w:p>
        </w:tc>
      </w:tr>
      <w:tr w:rsidR="00EF6D86" w:rsidRPr="00C34DE9" w14:paraId="5488D649" w14:textId="77777777" w:rsidTr="240ABBB4">
        <w:tc>
          <w:tcPr>
            <w:tcW w:w="2943" w:type="dxa"/>
            <w:shd w:val="clear" w:color="auto" w:fill="auto"/>
          </w:tcPr>
          <w:p w14:paraId="7313FEA5"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8" w:type="dxa"/>
            <w:shd w:val="clear" w:color="auto" w:fill="auto"/>
            <w:vAlign w:val="center"/>
          </w:tcPr>
          <w:p w14:paraId="611CE937"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Labour costs (wages and salaries plus non-wage costs such as employers’ social contributions)</w:t>
            </w:r>
            <w:r w:rsidRPr="006F1D90">
              <w:rPr>
                <w:rStyle w:val="FootnoteReference"/>
                <w:rFonts w:ascii="Verdana" w:hAnsi="Verdana"/>
                <w:sz w:val="18"/>
                <w:szCs w:val="18"/>
              </w:rPr>
              <w:footnoteReference w:id="6"/>
            </w:r>
            <w:r w:rsidRPr="006F1D90">
              <w:rPr>
                <w:rFonts w:ascii="Verdana" w:hAnsi="Verdana"/>
                <w:sz w:val="18"/>
                <w:szCs w:val="18"/>
              </w:rPr>
              <w:t xml:space="preserve"> in industry, construction and services are compared to </w:t>
            </w:r>
            <w:r w:rsidR="001D6460" w:rsidRPr="3F4AE0BD">
              <w:rPr>
                <w:rFonts w:ascii="Verdana" w:hAnsi="Verdana"/>
                <w:b/>
                <w:bCs/>
                <w:sz w:val="18"/>
                <w:szCs w:val="18"/>
              </w:rPr>
              <w:t xml:space="preserve">3 </w:t>
            </w:r>
            <w:r w:rsidR="00DD478B" w:rsidRPr="3F4AE0BD">
              <w:rPr>
                <w:rFonts w:ascii="Verdana" w:hAnsi="Verdana"/>
                <w:b/>
                <w:bCs/>
                <w:sz w:val="18"/>
                <w:szCs w:val="18"/>
              </w:rPr>
              <w:t>specific indicators</w:t>
            </w:r>
            <w:r w:rsidRPr="006F1D90">
              <w:rPr>
                <w:rFonts w:ascii="Verdana" w:hAnsi="Verdana"/>
                <w:sz w:val="18"/>
                <w:szCs w:val="18"/>
              </w:rPr>
              <w:t xml:space="preserve"> for agricultural income:</w:t>
            </w:r>
          </w:p>
          <w:p w14:paraId="2D2BC4C3" w14:textId="77777777" w:rsidR="00EF6D86" w:rsidRPr="006F1D90" w:rsidRDefault="00EF6D86" w:rsidP="5CB4B133">
            <w:pPr>
              <w:numPr>
                <w:ilvl w:val="0"/>
                <w:numId w:val="52"/>
              </w:numPr>
              <w:spacing w:after="60"/>
              <w:jc w:val="both"/>
              <w:rPr>
                <w:rFonts w:ascii="Verdana" w:hAnsi="Verdana"/>
                <w:b/>
                <w:bCs/>
                <w:color w:val="1F497D"/>
                <w:sz w:val="18"/>
                <w:szCs w:val="18"/>
              </w:rPr>
            </w:pPr>
            <w:r w:rsidRPr="5CB4B133">
              <w:rPr>
                <w:rFonts w:ascii="Verdana" w:hAnsi="Verdana"/>
                <w:b/>
                <w:bCs/>
                <w:color w:val="000000" w:themeColor="text1"/>
                <w:sz w:val="18"/>
                <w:szCs w:val="18"/>
              </w:rPr>
              <w:t>Agricultural entrepreneurial income plus compensation of employees per annual work unit</w:t>
            </w:r>
          </w:p>
          <w:p w14:paraId="03284842" w14:textId="1D6F24A6"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This s</w:t>
            </w:r>
            <w:r w:rsidR="00DD478B">
              <w:rPr>
                <w:rFonts w:ascii="Verdana" w:hAnsi="Verdana"/>
                <w:sz w:val="18"/>
                <w:szCs w:val="18"/>
              </w:rPr>
              <w:t>pecific</w:t>
            </w:r>
            <w:r w:rsidR="007A2CA7">
              <w:rPr>
                <w:rFonts w:ascii="Verdana" w:hAnsi="Verdana"/>
                <w:sz w:val="18"/>
                <w:szCs w:val="18"/>
              </w:rPr>
              <w:t xml:space="preserve"> </w:t>
            </w:r>
            <w:r w:rsidRPr="006F1D90">
              <w:rPr>
                <w:rFonts w:ascii="Verdana" w:hAnsi="Verdana"/>
                <w:sz w:val="18"/>
                <w:szCs w:val="18"/>
              </w:rPr>
              <w:t>indicator is based on data from the economic accounts for agriculture provided by Eurostat for the agricultural sector of the EU as a whole and of individual Member States.</w:t>
            </w:r>
          </w:p>
          <w:p w14:paraId="3B68B02B" w14:textId="77777777" w:rsidR="00EF6D86" w:rsidRPr="006F1D90" w:rsidRDefault="00EF6D86" w:rsidP="00B3636B">
            <w:pPr>
              <w:spacing w:after="60"/>
              <w:jc w:val="both"/>
              <w:rPr>
                <w:rFonts w:ascii="Verdana" w:hAnsi="Verdana"/>
                <w:sz w:val="18"/>
                <w:szCs w:val="18"/>
              </w:rPr>
            </w:pPr>
            <w:r w:rsidRPr="006F1D90">
              <w:rPr>
                <w:rFonts w:ascii="Verdana" w:hAnsi="Verdana"/>
                <w:sz w:val="18"/>
                <w:szCs w:val="18"/>
              </w:rPr>
              <w:t>Agricultural entrepreneurial income</w:t>
            </w:r>
            <w:r w:rsidRPr="006F1D90">
              <w:rPr>
                <w:rStyle w:val="FootnoteReference"/>
                <w:rFonts w:ascii="Verdana" w:hAnsi="Verdana"/>
                <w:sz w:val="18"/>
                <w:szCs w:val="18"/>
              </w:rPr>
              <w:footnoteReference w:id="7"/>
            </w:r>
            <w:r w:rsidRPr="006F1D90">
              <w:rPr>
                <w:rFonts w:ascii="Verdana" w:hAnsi="Verdana"/>
                <w:sz w:val="18"/>
                <w:szCs w:val="18"/>
              </w:rPr>
              <w:t xml:space="preserve"> measures the income derived from agricultural activities that can be used for the remuneration of own production factors, i.e. non-salaried (= family) labour, land belonging to the agricultural holding and own capital. It is obtained by deducting compensation of employees, rent and </w:t>
            </w:r>
            <w:r w:rsidR="00756963" w:rsidRPr="006F1D90">
              <w:rPr>
                <w:rFonts w:ascii="Verdana" w:hAnsi="Verdana"/>
                <w:sz w:val="18"/>
                <w:szCs w:val="18"/>
              </w:rPr>
              <w:t xml:space="preserve">net </w:t>
            </w:r>
            <w:r w:rsidRPr="006F1D90">
              <w:rPr>
                <w:rFonts w:ascii="Verdana" w:hAnsi="Verdana"/>
                <w:sz w:val="18"/>
                <w:szCs w:val="18"/>
              </w:rPr>
              <w:t>interest from agricultural factor income (see C. 24). For the purpose of this indicator, compensation of employees</w:t>
            </w:r>
            <w:r w:rsidRPr="006F1D90">
              <w:rPr>
                <w:rStyle w:val="FootnoteReference"/>
                <w:rFonts w:ascii="Verdana" w:hAnsi="Verdana"/>
                <w:sz w:val="18"/>
                <w:szCs w:val="18"/>
              </w:rPr>
              <w:footnoteReference w:id="8"/>
            </w:r>
            <w:r w:rsidRPr="006F1D90">
              <w:rPr>
                <w:rFonts w:ascii="Verdana" w:hAnsi="Verdana"/>
                <w:sz w:val="18"/>
                <w:szCs w:val="18"/>
              </w:rPr>
              <w:t xml:space="preserve"> are added back in, so that the resulting indicator represents the compensation of all work (salaried and non-salaried) performed in the agricultural sector, as well as the income remaining with the enterprise.</w:t>
            </w:r>
          </w:p>
          <w:p w14:paraId="3A3B3133" w14:textId="77777777" w:rsidR="00EF6D86" w:rsidRPr="006F1D90" w:rsidRDefault="00EF6D86" w:rsidP="00B3636B">
            <w:pPr>
              <w:autoSpaceDE w:val="0"/>
              <w:autoSpaceDN w:val="0"/>
              <w:adjustRightInd w:val="0"/>
              <w:spacing w:after="60" w:line="240" w:lineRule="auto"/>
              <w:rPr>
                <w:rFonts w:ascii="Verdana" w:hAnsi="Verdana"/>
                <w:color w:val="000000"/>
                <w:sz w:val="18"/>
                <w:szCs w:val="18"/>
              </w:rPr>
            </w:pPr>
            <w:r w:rsidRPr="006F1D90">
              <w:rPr>
                <w:rFonts w:ascii="Verdana" w:hAnsi="Verdana"/>
                <w:color w:val="000000"/>
                <w:sz w:val="18"/>
                <w:szCs w:val="18"/>
              </w:rPr>
              <w:t xml:space="preserve">Value of agricultural production </w:t>
            </w:r>
          </w:p>
          <w:p w14:paraId="0BDB3843" w14:textId="2F33FBDA"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w:t>
            </w:r>
            <w:r w:rsidR="00F47E7B" w:rsidRPr="00F47E7B">
              <w:rPr>
                <w:rFonts w:ascii="Verdana" w:hAnsi="Verdana"/>
                <w:color w:val="000000"/>
                <w:sz w:val="18"/>
                <w:szCs w:val="18"/>
              </w:rPr>
              <w:t>intermediate consumption as defined in Eurostat’s ‘Manual on the economic accounts for Agriculture and Forestry</w:t>
            </w:r>
          </w:p>
          <w:p w14:paraId="740A27CC"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depreciation </w:t>
            </w:r>
          </w:p>
          <w:p w14:paraId="44A5A58F"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total taxes (on products and production) </w:t>
            </w:r>
          </w:p>
          <w:p w14:paraId="21CD40E2"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total subsidies (on products and production) </w:t>
            </w:r>
          </w:p>
          <w:p w14:paraId="5A3EE116" w14:textId="77777777" w:rsidR="00EF6D86" w:rsidRPr="006F1D90" w:rsidRDefault="00EF6D86" w:rsidP="00B3636B">
            <w:pPr>
              <w:autoSpaceDE w:val="0"/>
              <w:autoSpaceDN w:val="0"/>
              <w:adjustRightInd w:val="0"/>
              <w:spacing w:after="60" w:line="240" w:lineRule="auto"/>
              <w:rPr>
                <w:rFonts w:ascii="Verdana" w:hAnsi="Verdana"/>
                <w:color w:val="000000"/>
                <w:sz w:val="18"/>
                <w:szCs w:val="18"/>
              </w:rPr>
            </w:pPr>
            <w:r w:rsidRPr="006F1D90">
              <w:rPr>
                <w:rFonts w:ascii="Verdana" w:hAnsi="Verdana"/>
                <w:b/>
                <w:bCs/>
                <w:color w:val="000000"/>
                <w:sz w:val="18"/>
                <w:szCs w:val="18"/>
              </w:rPr>
              <w:t xml:space="preserve">= agricultural factor income (net value added at factor costs) </w:t>
            </w:r>
          </w:p>
          <w:p w14:paraId="394DF1AB"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compensation of employees </w:t>
            </w:r>
          </w:p>
          <w:p w14:paraId="7E3CFD71"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rents </w:t>
            </w:r>
          </w:p>
          <w:p w14:paraId="04D3CD78"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xml:space="preserve">- </w:t>
            </w:r>
            <w:r w:rsidR="00E80CB8" w:rsidRPr="006F1D90">
              <w:rPr>
                <w:rFonts w:ascii="Verdana" w:hAnsi="Verdana"/>
                <w:color w:val="000000"/>
                <w:sz w:val="18"/>
                <w:szCs w:val="18"/>
              </w:rPr>
              <w:t xml:space="preserve">net </w:t>
            </w:r>
            <w:r w:rsidRPr="006F1D90">
              <w:rPr>
                <w:rFonts w:ascii="Verdana" w:hAnsi="Verdana"/>
                <w:color w:val="000000"/>
                <w:sz w:val="18"/>
                <w:szCs w:val="18"/>
              </w:rPr>
              <w:t xml:space="preserve">interest </w:t>
            </w:r>
          </w:p>
          <w:p w14:paraId="4C7E19FC" w14:textId="77777777" w:rsidR="00EF6D86" w:rsidRPr="006F1D90" w:rsidRDefault="00EF6D86" w:rsidP="5CB4B133">
            <w:pPr>
              <w:spacing w:after="60"/>
              <w:jc w:val="both"/>
              <w:rPr>
                <w:rFonts w:ascii="Verdana" w:hAnsi="Verdana"/>
                <w:b/>
                <w:bCs/>
                <w:color w:val="000000"/>
                <w:sz w:val="18"/>
                <w:szCs w:val="18"/>
              </w:rPr>
            </w:pPr>
            <w:r w:rsidRPr="006F1D90">
              <w:rPr>
                <w:rFonts w:ascii="Verdana" w:hAnsi="Verdana"/>
                <w:b/>
                <w:bCs/>
                <w:color w:val="000000"/>
                <w:sz w:val="18"/>
                <w:szCs w:val="18"/>
              </w:rPr>
              <w:t>= agricultural entrepreneurial income</w:t>
            </w:r>
          </w:p>
          <w:p w14:paraId="1CB7A487" w14:textId="77777777" w:rsidR="00EF6D86" w:rsidRPr="006F1D90" w:rsidRDefault="00EF6D86" w:rsidP="00B3636B">
            <w:pPr>
              <w:autoSpaceDE w:val="0"/>
              <w:autoSpaceDN w:val="0"/>
              <w:adjustRightInd w:val="0"/>
              <w:spacing w:after="60" w:line="240" w:lineRule="auto"/>
              <w:ind w:left="720"/>
              <w:rPr>
                <w:rFonts w:ascii="Verdana" w:hAnsi="Verdana"/>
                <w:color w:val="000000"/>
                <w:sz w:val="18"/>
                <w:szCs w:val="18"/>
              </w:rPr>
            </w:pPr>
            <w:r w:rsidRPr="006F1D90">
              <w:rPr>
                <w:rFonts w:ascii="Verdana" w:hAnsi="Verdana"/>
                <w:color w:val="000000"/>
                <w:sz w:val="18"/>
                <w:szCs w:val="18"/>
              </w:rPr>
              <w:t>+ compensation of employees</w:t>
            </w:r>
          </w:p>
          <w:p w14:paraId="4C2F8990" w14:textId="77777777" w:rsidR="00EF6D86" w:rsidRPr="006F1D90" w:rsidRDefault="00EF6D86" w:rsidP="00B3636B">
            <w:pPr>
              <w:spacing w:after="60"/>
              <w:jc w:val="both"/>
              <w:rPr>
                <w:rFonts w:ascii="Verdana" w:hAnsi="Verdana"/>
                <w:sz w:val="18"/>
                <w:szCs w:val="18"/>
              </w:rPr>
            </w:pPr>
            <w:r w:rsidRPr="006F1D90">
              <w:rPr>
                <w:rFonts w:ascii="Verdana" w:hAnsi="Verdana"/>
                <w:b/>
                <w:bCs/>
                <w:color w:val="000000"/>
                <w:sz w:val="18"/>
                <w:szCs w:val="18"/>
              </w:rPr>
              <w:t>= agricultural entrepreneurial income plus compensation of employees</w:t>
            </w:r>
          </w:p>
          <w:p w14:paraId="56BD2DD5"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 xml:space="preserve">This income indicator is divided by </w:t>
            </w:r>
            <w:r w:rsidRPr="5CB4B133">
              <w:rPr>
                <w:rFonts w:ascii="Verdana" w:hAnsi="Verdana"/>
                <w:b/>
                <w:bCs/>
                <w:sz w:val="18"/>
                <w:szCs w:val="18"/>
              </w:rPr>
              <w:t>total AWU</w:t>
            </w:r>
            <w:r w:rsidRPr="006F1D90">
              <w:rPr>
                <w:rFonts w:ascii="Verdana" w:hAnsi="Verdana"/>
                <w:sz w:val="18"/>
                <w:szCs w:val="18"/>
              </w:rPr>
              <w:t xml:space="preserve"> in order to show the average remuneration of agricultural labour (salaried and non-salaried </w:t>
            </w:r>
            <w:r w:rsidRPr="006F1D90">
              <w:rPr>
                <w:rFonts w:ascii="Verdana" w:hAnsi="Verdana"/>
                <w:sz w:val="18"/>
                <w:szCs w:val="18"/>
              </w:rPr>
              <w:lastRenderedPageBreak/>
              <w:t xml:space="preserve">combined). </w:t>
            </w:r>
          </w:p>
          <w:p w14:paraId="32941A06" w14:textId="77777777" w:rsidR="00EF6D86" w:rsidRPr="006F1D90" w:rsidRDefault="00EF6D86" w:rsidP="00B3636B">
            <w:pPr>
              <w:pStyle w:val="PlainText"/>
              <w:spacing w:after="60"/>
              <w:rPr>
                <w:rFonts w:ascii="Verdana" w:hAnsi="Verdana"/>
                <w:i/>
                <w:sz w:val="18"/>
                <w:szCs w:val="18"/>
              </w:rPr>
            </w:pPr>
          </w:p>
          <w:p w14:paraId="76B72341" w14:textId="77777777" w:rsidR="00EF6D86" w:rsidRPr="006F1D90" w:rsidRDefault="00EF6D86" w:rsidP="5CB4B133">
            <w:pPr>
              <w:numPr>
                <w:ilvl w:val="0"/>
                <w:numId w:val="52"/>
              </w:numPr>
              <w:spacing w:after="60"/>
              <w:jc w:val="both"/>
              <w:rPr>
                <w:rFonts w:ascii="Verdana" w:hAnsi="Verdana"/>
                <w:b/>
                <w:bCs/>
                <w:color w:val="000000" w:themeColor="text1"/>
                <w:sz w:val="18"/>
                <w:szCs w:val="18"/>
              </w:rPr>
            </w:pPr>
            <w:r w:rsidRPr="5CB4B133">
              <w:rPr>
                <w:rFonts w:ascii="Verdana" w:hAnsi="Verdana"/>
                <w:b/>
                <w:bCs/>
                <w:color w:val="000000" w:themeColor="text1"/>
                <w:sz w:val="18"/>
                <w:szCs w:val="18"/>
              </w:rPr>
              <w:t>Farm net income plus wages and social security charges by total AWU</w:t>
            </w:r>
          </w:p>
          <w:p w14:paraId="6AD074F7" w14:textId="6EB44EA0"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This s</w:t>
            </w:r>
            <w:r w:rsidR="00100083">
              <w:rPr>
                <w:rFonts w:ascii="Verdana" w:hAnsi="Verdana"/>
                <w:sz w:val="18"/>
                <w:szCs w:val="18"/>
              </w:rPr>
              <w:t xml:space="preserve">pecific </w:t>
            </w:r>
            <w:r w:rsidRPr="006F1D90">
              <w:rPr>
                <w:rFonts w:ascii="Verdana" w:hAnsi="Verdana"/>
                <w:sz w:val="18"/>
                <w:szCs w:val="18"/>
              </w:rPr>
              <w:t xml:space="preserve">indicator is based on farm-level data collected through the EU Farm Accountancy Data Network (FADN). </w:t>
            </w:r>
          </w:p>
          <w:p w14:paraId="5A24076A"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Farm net income is defined as farm net value</w:t>
            </w:r>
            <w:r w:rsidRPr="006F1D90">
              <w:rPr>
                <w:rFonts w:ascii="Verdana" w:hAnsi="Verdana"/>
                <w:color w:val="1F497D"/>
                <w:sz w:val="18"/>
                <w:szCs w:val="18"/>
              </w:rPr>
              <w:t xml:space="preserve"> </w:t>
            </w:r>
            <w:r w:rsidRPr="006F1D90">
              <w:rPr>
                <w:rFonts w:ascii="Verdana" w:hAnsi="Verdana"/>
                <w:sz w:val="18"/>
                <w:szCs w:val="18"/>
              </w:rPr>
              <w:t>added minus wages and social security charges, rent and interest paid; it is therefore equivalent to agricultural entrepreneurial income described above. Again, wages and social security charges are added back into the equation so that the resulting indicator represents the compensation of all work (salaried and non-salaried) performed in the agricultural sector, as well as the income remaining with the enterprise.</w:t>
            </w:r>
          </w:p>
          <w:p w14:paraId="333D45B3" w14:textId="2BD1E60C"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As for s</w:t>
            </w:r>
            <w:r w:rsidR="00100083">
              <w:rPr>
                <w:rFonts w:ascii="Verdana" w:hAnsi="Verdana"/>
                <w:sz w:val="18"/>
                <w:szCs w:val="18"/>
              </w:rPr>
              <w:t xml:space="preserve">pecific </w:t>
            </w:r>
            <w:r w:rsidRPr="006F1D90">
              <w:rPr>
                <w:rFonts w:ascii="Verdana" w:hAnsi="Verdana"/>
                <w:sz w:val="18"/>
                <w:szCs w:val="18"/>
              </w:rPr>
              <w:t xml:space="preserve">indicator A, the result is expressed per AWU (total labour input, salaried and non-salaried combined). </w:t>
            </w:r>
          </w:p>
          <w:p w14:paraId="50A7B5D9" w14:textId="77777777" w:rsidR="00EF6D86" w:rsidRPr="006F1D90" w:rsidRDefault="00EF6D86" w:rsidP="00A6594A">
            <w:pPr>
              <w:spacing w:after="60" w:line="240" w:lineRule="auto"/>
              <w:jc w:val="both"/>
              <w:rPr>
                <w:rFonts w:ascii="Verdana" w:hAnsi="Verdana"/>
                <w:color w:val="1F497D"/>
                <w:sz w:val="18"/>
                <w:szCs w:val="18"/>
              </w:rPr>
            </w:pPr>
          </w:p>
          <w:p w14:paraId="4CF82D28" w14:textId="77777777" w:rsidR="00EF6D86" w:rsidRPr="006F1D90" w:rsidRDefault="00EF6D86" w:rsidP="5CB4B133">
            <w:pPr>
              <w:numPr>
                <w:ilvl w:val="0"/>
                <w:numId w:val="52"/>
              </w:numPr>
              <w:spacing w:after="60"/>
              <w:jc w:val="both"/>
              <w:rPr>
                <w:rFonts w:ascii="Verdana" w:hAnsi="Verdana"/>
                <w:b/>
                <w:bCs/>
                <w:color w:val="000000" w:themeColor="text1"/>
                <w:sz w:val="18"/>
                <w:szCs w:val="18"/>
              </w:rPr>
            </w:pPr>
            <w:r w:rsidRPr="5CB4B133">
              <w:rPr>
                <w:rFonts w:ascii="Verdana" w:hAnsi="Verdana"/>
                <w:b/>
                <w:bCs/>
                <w:color w:val="000000" w:themeColor="text1"/>
                <w:sz w:val="18"/>
                <w:szCs w:val="18"/>
              </w:rPr>
              <w:t xml:space="preserve">Farm net income minus opportunity costs for own production factors (land and capital) by total family work units </w:t>
            </w:r>
          </w:p>
          <w:p w14:paraId="67E943E0" w14:textId="5DB95542"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For the subset of farms with family labour, this s</w:t>
            </w:r>
            <w:r w:rsidR="00100083">
              <w:rPr>
                <w:rFonts w:ascii="Verdana" w:hAnsi="Verdana"/>
                <w:sz w:val="18"/>
                <w:szCs w:val="18"/>
              </w:rPr>
              <w:t xml:space="preserve">pecific </w:t>
            </w:r>
            <w:r w:rsidRPr="006F1D90">
              <w:rPr>
                <w:rFonts w:ascii="Verdana" w:hAnsi="Verdana"/>
                <w:sz w:val="18"/>
                <w:szCs w:val="18"/>
              </w:rPr>
              <w:t>indicator looks specifically at the opportunity costs of own production factors (land and capital) and deducts them from farm net income, based on farm-level data collected through FADN (same as for s</w:t>
            </w:r>
            <w:r w:rsidR="00100083">
              <w:rPr>
                <w:rFonts w:ascii="Verdana" w:hAnsi="Verdana"/>
                <w:sz w:val="18"/>
                <w:szCs w:val="18"/>
              </w:rPr>
              <w:t xml:space="preserve">pecific </w:t>
            </w:r>
            <w:r w:rsidRPr="006F1D90">
              <w:rPr>
                <w:rFonts w:ascii="Verdana" w:hAnsi="Verdana"/>
                <w:sz w:val="18"/>
                <w:szCs w:val="18"/>
              </w:rPr>
              <w:t xml:space="preserve">indicator B). </w:t>
            </w:r>
          </w:p>
          <w:p w14:paraId="7ADDDB3D" w14:textId="77777777" w:rsidR="00EF6D86" w:rsidRPr="006F1D90" w:rsidRDefault="00EF6D86" w:rsidP="00665997">
            <w:pPr>
              <w:numPr>
                <w:ilvl w:val="0"/>
                <w:numId w:val="53"/>
              </w:numPr>
              <w:spacing w:before="120" w:after="60"/>
              <w:jc w:val="both"/>
              <w:rPr>
                <w:rFonts w:ascii="Verdana" w:hAnsi="Verdana"/>
                <w:sz w:val="18"/>
                <w:szCs w:val="18"/>
              </w:rPr>
            </w:pPr>
            <w:r w:rsidRPr="5CB4B133">
              <w:rPr>
                <w:rFonts w:ascii="Verdana" w:hAnsi="Verdana"/>
                <w:b/>
                <w:bCs/>
                <w:sz w:val="18"/>
                <w:szCs w:val="18"/>
              </w:rPr>
              <w:t>Opportunity costs for land</w:t>
            </w:r>
            <w:r w:rsidRPr="006F1D90">
              <w:rPr>
                <w:rFonts w:ascii="Verdana" w:hAnsi="Verdana"/>
                <w:sz w:val="18"/>
                <w:szCs w:val="18"/>
              </w:rPr>
              <w:t xml:space="preserve"> are calculated as total area of owned land multiplied by the average rent paid on rented land: </w:t>
            </w:r>
          </w:p>
          <w:p w14:paraId="2C309E76" w14:textId="77777777" w:rsidR="00EF6D86" w:rsidRPr="006F1D90" w:rsidRDefault="00EF6D86" w:rsidP="00B3636B">
            <w:pPr>
              <w:spacing w:before="120" w:after="60"/>
              <w:ind w:left="720"/>
              <w:jc w:val="center"/>
              <w:rPr>
                <w:rFonts w:ascii="Verdana" w:hAnsi="Verdana"/>
                <w:sz w:val="18"/>
                <w:szCs w:val="18"/>
                <w:lang w:val="es-ES"/>
              </w:rPr>
            </w:pPr>
            <w:r w:rsidRPr="006F1D90">
              <w:rPr>
                <w:rFonts w:ascii="Verdana" w:hAnsi="Verdana"/>
                <w:sz w:val="18"/>
                <w:szCs w:val="18"/>
                <w:lang w:val="es-ES"/>
              </w:rPr>
              <w:t>(SE025-SE030) * SE375/SE030</w:t>
            </w:r>
          </w:p>
          <w:p w14:paraId="603BCC8A" w14:textId="77777777" w:rsidR="00EF6D86" w:rsidRPr="006F1D90" w:rsidRDefault="00EF6D86" w:rsidP="00B3636B">
            <w:pPr>
              <w:spacing w:before="120" w:after="60"/>
              <w:ind w:left="720"/>
              <w:jc w:val="both"/>
              <w:rPr>
                <w:rFonts w:ascii="Verdana" w:hAnsi="Verdana"/>
                <w:sz w:val="18"/>
                <w:szCs w:val="18"/>
                <w:lang w:val="es-CU"/>
              </w:rPr>
            </w:pPr>
            <w:r w:rsidRPr="006F1D90">
              <w:rPr>
                <w:rFonts w:ascii="Verdana" w:hAnsi="Verdana"/>
                <w:sz w:val="18"/>
                <w:szCs w:val="18"/>
                <w:lang w:val="es-CU"/>
              </w:rPr>
              <w:t>Where  SE025 = total utilised agricultural area;</w:t>
            </w:r>
          </w:p>
          <w:p w14:paraId="7122A265" w14:textId="77777777" w:rsidR="00EF6D86" w:rsidRPr="006F1D90" w:rsidRDefault="00EF6D86" w:rsidP="00B3636B">
            <w:pPr>
              <w:spacing w:before="120" w:after="60"/>
              <w:ind w:left="1440"/>
              <w:jc w:val="both"/>
              <w:rPr>
                <w:rFonts w:ascii="Verdana" w:hAnsi="Verdana"/>
                <w:sz w:val="18"/>
                <w:szCs w:val="18"/>
              </w:rPr>
            </w:pPr>
            <w:r w:rsidRPr="006F1D90">
              <w:rPr>
                <w:rFonts w:ascii="Verdana" w:hAnsi="Verdana"/>
                <w:sz w:val="18"/>
                <w:szCs w:val="18"/>
              </w:rPr>
              <w:t>SE030 = rented utilised agricultural area;</w:t>
            </w:r>
          </w:p>
          <w:p w14:paraId="58BCFBD8" w14:textId="77777777" w:rsidR="00EF6D86" w:rsidRPr="006F1D90" w:rsidRDefault="00EF6D86" w:rsidP="00B3636B">
            <w:pPr>
              <w:spacing w:before="120" w:after="60"/>
              <w:ind w:left="1440"/>
              <w:jc w:val="both"/>
              <w:rPr>
                <w:rFonts w:ascii="Verdana" w:hAnsi="Verdana"/>
                <w:sz w:val="18"/>
                <w:szCs w:val="18"/>
              </w:rPr>
            </w:pPr>
            <w:r w:rsidRPr="006F1D90">
              <w:rPr>
                <w:rFonts w:ascii="Verdana" w:hAnsi="Verdana"/>
                <w:sz w:val="18"/>
                <w:szCs w:val="18"/>
              </w:rPr>
              <w:t>SE375 = rent paid.</w:t>
            </w:r>
          </w:p>
          <w:p w14:paraId="651670BF" w14:textId="77777777" w:rsidR="00EF6D86" w:rsidRPr="006F1D90" w:rsidRDefault="00EF6D86" w:rsidP="00665997">
            <w:pPr>
              <w:numPr>
                <w:ilvl w:val="0"/>
                <w:numId w:val="53"/>
              </w:numPr>
              <w:spacing w:before="120" w:after="60"/>
              <w:jc w:val="both"/>
              <w:rPr>
                <w:rFonts w:ascii="Verdana" w:hAnsi="Verdana"/>
                <w:sz w:val="18"/>
                <w:szCs w:val="18"/>
              </w:rPr>
            </w:pPr>
            <w:r w:rsidRPr="5CB4B133">
              <w:rPr>
                <w:rFonts w:ascii="Verdana" w:hAnsi="Verdana"/>
                <w:b/>
                <w:bCs/>
                <w:sz w:val="18"/>
                <w:szCs w:val="18"/>
              </w:rPr>
              <w:t>Opportunity costs for capital</w:t>
            </w:r>
            <w:r w:rsidRPr="006F1D90">
              <w:rPr>
                <w:rFonts w:ascii="Verdana" w:hAnsi="Verdana"/>
                <w:sz w:val="18"/>
                <w:szCs w:val="18"/>
              </w:rPr>
              <w:t xml:space="preserve"> are calculated as total net assets (excluding land, permanent crops and quotas) multiplied by the average interest paid on loans in the country:</w:t>
            </w:r>
          </w:p>
          <w:p w14:paraId="28F04314" w14:textId="77777777" w:rsidR="00EF6D86" w:rsidRPr="006F1D90" w:rsidRDefault="00EF6D86" w:rsidP="00B3636B">
            <w:pPr>
              <w:spacing w:before="120" w:after="60"/>
              <w:jc w:val="center"/>
              <w:rPr>
                <w:rFonts w:ascii="Verdana" w:hAnsi="Verdana"/>
                <w:sz w:val="18"/>
                <w:szCs w:val="18"/>
                <w:lang w:val="fr-BE"/>
              </w:rPr>
            </w:pPr>
            <w:r w:rsidRPr="006F1D90">
              <w:rPr>
                <w:rFonts w:ascii="Verdana" w:hAnsi="Verdana"/>
                <w:sz w:val="18"/>
                <w:szCs w:val="18"/>
                <w:lang w:val="fr-BE"/>
              </w:rPr>
              <w:t>(SE436 – SE485 – SE446) * (SE380/SE485)</w:t>
            </w:r>
          </w:p>
          <w:p w14:paraId="244A1B20" w14:textId="77777777" w:rsidR="00EF6D86" w:rsidRPr="00A2798F" w:rsidRDefault="00EF6D86" w:rsidP="00B3636B">
            <w:pPr>
              <w:spacing w:before="120" w:after="60"/>
              <w:ind w:left="720"/>
              <w:jc w:val="both"/>
              <w:rPr>
                <w:rFonts w:ascii="Verdana" w:hAnsi="Verdana"/>
                <w:sz w:val="18"/>
                <w:szCs w:val="18"/>
                <w:lang w:val="fr-BE"/>
              </w:rPr>
            </w:pPr>
            <w:r w:rsidRPr="00A2798F">
              <w:rPr>
                <w:rFonts w:ascii="Verdana" w:hAnsi="Verdana"/>
                <w:sz w:val="18"/>
                <w:szCs w:val="18"/>
                <w:lang w:val="fr-BE"/>
              </w:rPr>
              <w:t>Where  SE436 = total assets closing valuation;</w:t>
            </w:r>
          </w:p>
          <w:p w14:paraId="49FF71B1" w14:textId="77777777" w:rsidR="00EF6D86" w:rsidRPr="006F1D90" w:rsidRDefault="00EF6D86" w:rsidP="00B3636B">
            <w:pPr>
              <w:spacing w:before="120" w:after="60"/>
              <w:ind w:left="1440"/>
              <w:jc w:val="both"/>
              <w:rPr>
                <w:rFonts w:ascii="Verdana" w:hAnsi="Verdana"/>
                <w:sz w:val="18"/>
                <w:szCs w:val="18"/>
                <w:lang w:val="fr-BE"/>
              </w:rPr>
            </w:pPr>
            <w:r w:rsidRPr="006F1D90">
              <w:rPr>
                <w:rFonts w:ascii="Verdana" w:hAnsi="Verdana"/>
                <w:sz w:val="18"/>
                <w:szCs w:val="18"/>
                <w:lang w:val="fr-BE"/>
              </w:rPr>
              <w:t>SE485 = total liabilities;</w:t>
            </w:r>
          </w:p>
          <w:p w14:paraId="67B96FAF" w14:textId="77777777" w:rsidR="00EF6D86" w:rsidRPr="006F1D90" w:rsidRDefault="00EF6D86" w:rsidP="00B3636B">
            <w:pPr>
              <w:spacing w:before="120" w:after="60"/>
              <w:ind w:left="1440"/>
              <w:jc w:val="both"/>
              <w:rPr>
                <w:rFonts w:ascii="Verdana" w:hAnsi="Verdana"/>
                <w:sz w:val="18"/>
                <w:szCs w:val="18"/>
                <w:lang w:val="fr-BE"/>
              </w:rPr>
            </w:pPr>
            <w:r w:rsidRPr="006F1D90">
              <w:rPr>
                <w:rFonts w:ascii="Verdana" w:hAnsi="Verdana"/>
                <w:sz w:val="18"/>
                <w:szCs w:val="18"/>
                <w:lang w:val="fr-BE"/>
              </w:rPr>
              <w:t>SE446 = land, permanent crops, quotas;</w:t>
            </w:r>
          </w:p>
          <w:p w14:paraId="4FFE8B5A" w14:textId="77777777" w:rsidR="00EF6D86" w:rsidRPr="006F1D90" w:rsidRDefault="00EF6D86" w:rsidP="00B3636B">
            <w:pPr>
              <w:spacing w:before="120" w:after="60"/>
              <w:ind w:left="1440"/>
              <w:jc w:val="both"/>
              <w:rPr>
                <w:rFonts w:ascii="Verdana" w:hAnsi="Verdana"/>
                <w:sz w:val="18"/>
                <w:szCs w:val="18"/>
              </w:rPr>
            </w:pPr>
            <w:r w:rsidRPr="006F1D90">
              <w:rPr>
                <w:rFonts w:ascii="Verdana" w:hAnsi="Verdana"/>
                <w:sz w:val="18"/>
                <w:szCs w:val="18"/>
              </w:rPr>
              <w:t>SE380 = interest paid.</w:t>
            </w:r>
          </w:p>
          <w:p w14:paraId="7334E26B"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 xml:space="preserve">The result is expressed per family work unit </w:t>
            </w:r>
            <w:r w:rsidR="006B70B2" w:rsidRPr="006F1D90">
              <w:rPr>
                <w:rFonts w:ascii="Verdana" w:hAnsi="Verdana"/>
                <w:sz w:val="18"/>
                <w:szCs w:val="18"/>
              </w:rPr>
              <w:t>(unpaid labour unit)</w:t>
            </w:r>
            <w:r w:rsidRPr="006F1D90">
              <w:rPr>
                <w:rFonts w:ascii="Verdana" w:hAnsi="Verdana"/>
                <w:sz w:val="18"/>
                <w:szCs w:val="18"/>
              </w:rPr>
              <w:t>.</w:t>
            </w:r>
          </w:p>
          <w:p w14:paraId="4EDF2432" w14:textId="77777777" w:rsidR="00EF6D86" w:rsidRPr="006F1D90" w:rsidRDefault="00EF6D86" w:rsidP="00B3636B">
            <w:pPr>
              <w:spacing w:before="120" w:after="60"/>
              <w:jc w:val="both"/>
              <w:rPr>
                <w:rFonts w:ascii="Verdana" w:hAnsi="Verdana"/>
                <w:sz w:val="18"/>
                <w:szCs w:val="18"/>
              </w:rPr>
            </w:pPr>
            <w:r w:rsidRPr="5CB4B133">
              <w:rPr>
                <w:rFonts w:ascii="Verdana" w:hAnsi="Verdana"/>
                <w:b/>
                <w:bCs/>
                <w:color w:val="000000" w:themeColor="text1"/>
                <w:sz w:val="18"/>
                <w:szCs w:val="18"/>
              </w:rPr>
              <w:t>Labour costs in industry, construction and services</w:t>
            </w:r>
            <w:r w:rsidRPr="006F1D90">
              <w:rPr>
                <w:rFonts w:ascii="Verdana" w:hAnsi="Verdana"/>
                <w:color w:val="000000" w:themeColor="text1"/>
                <w:sz w:val="18"/>
                <w:szCs w:val="18"/>
              </w:rPr>
              <w:t xml:space="preserve"> </w:t>
            </w:r>
            <w:r w:rsidRPr="006F1D90">
              <w:rPr>
                <w:rFonts w:ascii="Verdana" w:hAnsi="Verdana"/>
                <w:sz w:val="18"/>
                <w:szCs w:val="18"/>
              </w:rPr>
              <w:t xml:space="preserve">are available in the Eurostat database </w:t>
            </w:r>
            <w:r w:rsidR="00A6594A" w:rsidRPr="006F1D90">
              <w:rPr>
                <w:rFonts w:ascii="Verdana" w:hAnsi="Verdana"/>
                <w:sz w:val="18"/>
                <w:szCs w:val="18"/>
              </w:rPr>
              <w:t>[</w:t>
            </w:r>
            <w:hyperlink r:id="rId114" w:history="1">
              <w:r w:rsidRPr="006F1D90">
                <w:rPr>
                  <w:rStyle w:val="Hyperlink"/>
                  <w:rFonts w:ascii="Verdana" w:hAnsi="Verdana"/>
                  <w:sz w:val="18"/>
                  <w:szCs w:val="18"/>
                </w:rPr>
                <w:t>lc_lci_lev</w:t>
              </w:r>
            </w:hyperlink>
            <w:r w:rsidR="00A6594A" w:rsidRPr="006F1D90">
              <w:rPr>
                <w:rFonts w:ascii="Verdana" w:hAnsi="Verdana"/>
                <w:sz w:val="18"/>
                <w:szCs w:val="18"/>
              </w:rPr>
              <w:t>]</w:t>
            </w:r>
            <w:r w:rsidRPr="006F1D90">
              <w:rPr>
                <w:rFonts w:ascii="Verdana" w:hAnsi="Verdana"/>
                <w:sz w:val="18"/>
                <w:szCs w:val="18"/>
              </w:rPr>
              <w:t xml:space="preserve">. Since they are expressed per hour, they </w:t>
            </w:r>
            <w:r w:rsidRPr="006F1D90">
              <w:rPr>
                <w:rFonts w:ascii="Verdana" w:hAnsi="Verdana"/>
                <w:sz w:val="18"/>
                <w:szCs w:val="18"/>
              </w:rPr>
              <w:lastRenderedPageBreak/>
              <w:t>are converted into AWU by using the conversion factors provided in the 2015 inventories for Agricultural Labour Input (ALI) statistics</w:t>
            </w:r>
            <w:r w:rsidRPr="006F1D90">
              <w:rPr>
                <w:rFonts w:ascii="Verdana" w:hAnsi="Verdana"/>
                <w:sz w:val="18"/>
                <w:szCs w:val="18"/>
                <w:vertAlign w:val="superscript"/>
              </w:rPr>
              <w:footnoteReference w:id="9"/>
            </w:r>
            <w:r w:rsidRPr="006F1D90">
              <w:rPr>
                <w:rFonts w:ascii="Verdana" w:hAnsi="Verdana"/>
                <w:sz w:val="18"/>
                <w:szCs w:val="18"/>
              </w:rPr>
              <w:t xml:space="preserve">. </w:t>
            </w:r>
          </w:p>
          <w:p w14:paraId="617C7FC8" w14:textId="77777777" w:rsidR="00EF6D86" w:rsidRPr="006F1D90" w:rsidRDefault="00EF6D86" w:rsidP="00B3636B">
            <w:pPr>
              <w:pStyle w:val="PlainText"/>
              <w:spacing w:after="60"/>
              <w:rPr>
                <w:rFonts w:ascii="Verdana" w:hAnsi="Verdana"/>
                <w:sz w:val="18"/>
                <w:szCs w:val="18"/>
                <w:lang w:val="en-GB"/>
              </w:rPr>
            </w:pPr>
            <w:r w:rsidRPr="006F1D90">
              <w:rPr>
                <w:rFonts w:ascii="Verdana" w:hAnsi="Verdana"/>
                <w:sz w:val="18"/>
                <w:szCs w:val="18"/>
                <w:u w:val="single"/>
                <w:lang w:val="en-GB"/>
              </w:rPr>
              <w:t>Number of hours used for one AWU</w:t>
            </w:r>
            <w:r w:rsidR="00E80CB8" w:rsidRPr="006F1D90">
              <w:rPr>
                <w:rFonts w:ascii="Verdana" w:hAnsi="Verdana"/>
                <w:sz w:val="18"/>
                <w:szCs w:val="18"/>
                <w:u w:val="single"/>
                <w:lang w:val="en-GB"/>
              </w:rPr>
              <w:t xml:space="preserve"> in agriculture</w:t>
            </w:r>
            <w:r w:rsidRPr="006F1D90">
              <w:rPr>
                <w:rFonts w:ascii="Verdana" w:hAnsi="Verdana"/>
                <w:sz w:val="18"/>
                <w:szCs w:val="18"/>
                <w:lang w:val="en-GB"/>
              </w:rPr>
              <w:t xml:space="preserve">: </w:t>
            </w:r>
          </w:p>
          <w:p w14:paraId="003F11E6" w14:textId="77777777" w:rsidR="00EF6D86" w:rsidRPr="006F1D90" w:rsidRDefault="00EF6D86" w:rsidP="00B3636B">
            <w:pPr>
              <w:pStyle w:val="PlainText"/>
              <w:spacing w:after="60"/>
              <w:rPr>
                <w:rFonts w:ascii="Verdana" w:hAnsi="Verdana"/>
                <w:sz w:val="18"/>
                <w:szCs w:val="18"/>
                <w:lang w:val="en-GB"/>
              </w:rPr>
            </w:pPr>
            <w:r w:rsidRPr="006F1D90">
              <w:rPr>
                <w:rFonts w:ascii="Verdana" w:hAnsi="Verdana"/>
                <w:sz w:val="18"/>
                <w:szCs w:val="18"/>
                <w:lang w:val="en-GB"/>
              </w:rPr>
              <w:t>BG: 1856; CZ: 1800; DK: 1665; DE: 1800; EE: 1800; IE: 1800; EL: 2200; ES: 1824; HR: 1800; IT: 1951 (self-employed); CY: 2080; LV: 1840; LT: 2016; LU: 2200; HU: 1800; AT: 2000 (non-salaried); PL: 2120; PT: 1920; RO: 1800 ; SI: 1800; SK: 1800; FI: 1800; SE: 1800; UK: 2200</w:t>
            </w:r>
          </w:p>
          <w:p w14:paraId="0E9E49CC" w14:textId="77777777" w:rsidR="00EF6D86" w:rsidRPr="006F1D90" w:rsidRDefault="00EF6D86" w:rsidP="00B3636B">
            <w:pPr>
              <w:spacing w:before="120" w:after="60"/>
              <w:jc w:val="both"/>
              <w:rPr>
                <w:rFonts w:ascii="Verdana" w:hAnsi="Verdana"/>
                <w:sz w:val="18"/>
                <w:szCs w:val="18"/>
              </w:rPr>
            </w:pPr>
            <w:r w:rsidRPr="006F1D90">
              <w:rPr>
                <w:rFonts w:ascii="Verdana" w:hAnsi="Verdana"/>
                <w:sz w:val="18"/>
                <w:szCs w:val="18"/>
              </w:rPr>
              <w:t>BE, FR, MT, NL: no figures provided. 1800 hours/AWU will be used.</w:t>
            </w:r>
          </w:p>
          <w:p w14:paraId="6981D526" w14:textId="77777777" w:rsidR="00EF6D86" w:rsidRPr="006F1D90" w:rsidRDefault="00EF6D86" w:rsidP="00B3636B">
            <w:pPr>
              <w:spacing w:after="60"/>
              <w:jc w:val="both"/>
              <w:rPr>
                <w:rFonts w:ascii="Verdana" w:hAnsi="Verdana"/>
                <w:sz w:val="18"/>
                <w:szCs w:val="18"/>
              </w:rPr>
            </w:pPr>
          </w:p>
          <w:p w14:paraId="34DB0A4C" w14:textId="2A08ACAE" w:rsidR="00EF6D86" w:rsidRPr="006F1D90" w:rsidRDefault="00EF6D86" w:rsidP="00B3636B">
            <w:pPr>
              <w:spacing w:after="60"/>
              <w:jc w:val="both"/>
              <w:rPr>
                <w:rFonts w:ascii="Verdana" w:hAnsi="Verdana"/>
                <w:sz w:val="18"/>
                <w:szCs w:val="18"/>
              </w:rPr>
            </w:pPr>
            <w:r w:rsidRPr="006F1D90">
              <w:rPr>
                <w:rFonts w:ascii="Verdana" w:hAnsi="Verdana"/>
                <w:sz w:val="18"/>
                <w:szCs w:val="18"/>
              </w:rPr>
              <w:t xml:space="preserve">The main components of the various </w:t>
            </w:r>
            <w:r w:rsidR="00DD478B">
              <w:rPr>
                <w:rFonts w:ascii="Verdana" w:hAnsi="Verdana"/>
                <w:sz w:val="18"/>
                <w:szCs w:val="18"/>
              </w:rPr>
              <w:t>specific indicators</w:t>
            </w:r>
            <w:r w:rsidRPr="006F1D90">
              <w:rPr>
                <w:rFonts w:ascii="Verdana" w:hAnsi="Verdana"/>
                <w:sz w:val="18"/>
                <w:szCs w:val="18"/>
              </w:rPr>
              <w:t xml:space="preserve"> are: </w:t>
            </w:r>
          </w:p>
          <w:p w14:paraId="5226DC73" w14:textId="77777777" w:rsidR="00EF6D86" w:rsidRPr="006F1D90" w:rsidRDefault="00EF6D86" w:rsidP="5CB4B133">
            <w:pPr>
              <w:spacing w:before="60" w:after="60" w:line="240" w:lineRule="auto"/>
              <w:jc w:val="both"/>
              <w:rPr>
                <w:rFonts w:ascii="Verdana" w:hAnsi="Verdana"/>
                <w:b/>
                <w:bCs/>
                <w:sz w:val="18"/>
                <w:szCs w:val="18"/>
              </w:rPr>
            </w:pPr>
            <w:r w:rsidRPr="5CB4B133">
              <w:rPr>
                <w:rFonts w:ascii="Verdana" w:hAnsi="Verdana"/>
                <w:b/>
                <w:bCs/>
                <w:sz w:val="18"/>
                <w:szCs w:val="18"/>
              </w:rPr>
              <w:t>From the economic accounts for agriculture (Eurostat):</w:t>
            </w:r>
          </w:p>
          <w:p w14:paraId="37E4159F"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 xml:space="preserve">Agricultural entrepreneurial income; </w:t>
            </w:r>
          </w:p>
          <w:p w14:paraId="441E598A"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Compensation of employees.</w:t>
            </w:r>
          </w:p>
          <w:p w14:paraId="5B5DE8BC" w14:textId="77777777" w:rsidR="00EF6D86" w:rsidRPr="006F1D90" w:rsidRDefault="00EF6D86" w:rsidP="790C88FB">
            <w:pPr>
              <w:spacing w:before="100" w:beforeAutospacing="1" w:after="60" w:line="240" w:lineRule="auto"/>
              <w:jc w:val="both"/>
              <w:rPr>
                <w:rFonts w:ascii="Verdana" w:hAnsi="Verdana"/>
                <w:b/>
                <w:bCs/>
                <w:sz w:val="18"/>
                <w:szCs w:val="18"/>
              </w:rPr>
            </w:pPr>
            <w:r w:rsidRPr="5CB4B133">
              <w:rPr>
                <w:rFonts w:ascii="Verdana" w:hAnsi="Verdana"/>
                <w:b/>
                <w:bCs/>
                <w:sz w:val="18"/>
                <w:szCs w:val="18"/>
              </w:rPr>
              <w:t>From agricultural labour input statistics (Eurostat):</w:t>
            </w:r>
          </w:p>
          <w:p w14:paraId="3CB659D3" w14:textId="77777777" w:rsidR="00EF6D86" w:rsidRPr="006F1D90" w:rsidRDefault="00EF6D86" w:rsidP="790C88FB">
            <w:pPr>
              <w:numPr>
                <w:ilvl w:val="0"/>
                <w:numId w:val="51"/>
              </w:numPr>
              <w:spacing w:before="100" w:beforeAutospacing="1" w:after="60" w:line="240" w:lineRule="auto"/>
              <w:jc w:val="both"/>
              <w:rPr>
                <w:rFonts w:ascii="Verdana" w:hAnsi="Verdana"/>
                <w:sz w:val="18"/>
                <w:szCs w:val="18"/>
              </w:rPr>
            </w:pPr>
            <w:r w:rsidRPr="5CB4B133">
              <w:rPr>
                <w:rFonts w:ascii="Verdana" w:hAnsi="Verdana"/>
                <w:b/>
                <w:bCs/>
                <w:sz w:val="18"/>
                <w:szCs w:val="18"/>
              </w:rPr>
              <w:t xml:space="preserve">AWU in agriculture, </w:t>
            </w:r>
            <w:r w:rsidRPr="006F1D90">
              <w:rPr>
                <w:rFonts w:ascii="Verdana" w:hAnsi="Verdana"/>
                <w:sz w:val="18"/>
                <w:szCs w:val="18"/>
              </w:rPr>
              <w:t xml:space="preserve">which </w:t>
            </w:r>
            <w:r w:rsidRPr="006F1D90">
              <w:rPr>
                <w:rFonts w:ascii="Verdana" w:hAnsi="Verdana"/>
                <w:sz w:val="18"/>
                <w:szCs w:val="18"/>
                <w:lang w:val="en"/>
              </w:rPr>
              <w:t xml:space="preserve">corresponds to the work performed by one person who is occupied on an agricultural holding on a full-time basis. </w:t>
            </w:r>
            <w:r w:rsidRPr="006F1D90">
              <w:rPr>
                <w:rFonts w:ascii="Verdana" w:hAnsi="Verdana"/>
                <w:sz w:val="18"/>
                <w:szCs w:val="18"/>
              </w:rPr>
              <w:t xml:space="preserve">A distinction is made between salaried and non-salaried AWU, which together make total AWU. </w:t>
            </w:r>
          </w:p>
          <w:p w14:paraId="3AA0D236" w14:textId="77777777" w:rsidR="00EF6D86" w:rsidRPr="006F1D90" w:rsidRDefault="00EF6D86" w:rsidP="00B3636B">
            <w:pPr>
              <w:spacing w:before="60" w:after="60" w:line="240" w:lineRule="auto"/>
              <w:jc w:val="both"/>
              <w:rPr>
                <w:rFonts w:ascii="Verdana" w:hAnsi="Verdana"/>
                <w:b/>
                <w:sz w:val="18"/>
                <w:szCs w:val="18"/>
              </w:rPr>
            </w:pPr>
          </w:p>
          <w:p w14:paraId="46AD444C" w14:textId="77777777" w:rsidR="00EF6D86" w:rsidRPr="006F1D90" w:rsidRDefault="00EF6D86" w:rsidP="5CB4B133">
            <w:pPr>
              <w:spacing w:before="60" w:after="60" w:line="240" w:lineRule="auto"/>
              <w:jc w:val="both"/>
              <w:rPr>
                <w:rFonts w:ascii="Verdana" w:hAnsi="Verdana"/>
                <w:b/>
                <w:bCs/>
                <w:sz w:val="18"/>
                <w:szCs w:val="18"/>
              </w:rPr>
            </w:pPr>
            <w:r w:rsidRPr="5CB4B133">
              <w:rPr>
                <w:rFonts w:ascii="Verdana" w:hAnsi="Verdana"/>
                <w:b/>
                <w:bCs/>
                <w:sz w:val="18"/>
                <w:szCs w:val="18"/>
              </w:rPr>
              <w:t>From the national inventories for agricultural labour statistics (Eurostat):</w:t>
            </w:r>
          </w:p>
          <w:p w14:paraId="0021F9EB" w14:textId="77777777" w:rsidR="00EF6D86" w:rsidRPr="006F1D90" w:rsidRDefault="00EF6D86" w:rsidP="00665997">
            <w:pPr>
              <w:pStyle w:val="ListParagraph"/>
              <w:numPr>
                <w:ilvl w:val="0"/>
                <w:numId w:val="51"/>
              </w:numPr>
              <w:spacing w:before="60" w:after="60" w:line="240" w:lineRule="auto"/>
              <w:jc w:val="both"/>
              <w:rPr>
                <w:rFonts w:ascii="Verdana" w:hAnsi="Verdana"/>
                <w:sz w:val="18"/>
                <w:szCs w:val="18"/>
              </w:rPr>
            </w:pPr>
            <w:r w:rsidRPr="006F1D90">
              <w:rPr>
                <w:rFonts w:ascii="Verdana" w:hAnsi="Verdana"/>
                <w:sz w:val="18"/>
                <w:szCs w:val="18"/>
              </w:rPr>
              <w:t>Number of hours considered to define one AWU.</w:t>
            </w:r>
          </w:p>
          <w:p w14:paraId="327D6BD6" w14:textId="77777777" w:rsidR="00EF6D86" w:rsidRPr="006F1D90" w:rsidRDefault="00EF6D86" w:rsidP="00B3636B">
            <w:pPr>
              <w:spacing w:before="60" w:after="60" w:line="240" w:lineRule="auto"/>
              <w:jc w:val="both"/>
              <w:rPr>
                <w:rFonts w:ascii="Verdana" w:hAnsi="Verdana"/>
                <w:b/>
                <w:sz w:val="18"/>
                <w:szCs w:val="18"/>
              </w:rPr>
            </w:pPr>
          </w:p>
          <w:p w14:paraId="109EC4D1" w14:textId="77777777" w:rsidR="00EF6D86" w:rsidRPr="006F1D90" w:rsidRDefault="00EF6D86" w:rsidP="5CB4B133">
            <w:pPr>
              <w:spacing w:before="60" w:after="60" w:line="240" w:lineRule="auto"/>
              <w:jc w:val="both"/>
              <w:rPr>
                <w:rFonts w:ascii="Verdana" w:hAnsi="Verdana"/>
                <w:b/>
                <w:bCs/>
                <w:sz w:val="18"/>
                <w:szCs w:val="18"/>
              </w:rPr>
            </w:pPr>
            <w:r w:rsidRPr="5CB4B133">
              <w:rPr>
                <w:rFonts w:ascii="Verdana" w:hAnsi="Verdana"/>
                <w:b/>
                <w:bCs/>
                <w:sz w:val="18"/>
                <w:szCs w:val="18"/>
              </w:rPr>
              <w:t>From FADN (DG AGRI):</w:t>
            </w:r>
          </w:p>
          <w:p w14:paraId="35F14025"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Farm net income;</w:t>
            </w:r>
          </w:p>
          <w:p w14:paraId="0336AA74"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Wages and social security charges;</w:t>
            </w:r>
          </w:p>
          <w:p w14:paraId="6335E3E7"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Total labour input</w:t>
            </w:r>
            <w:r w:rsidRPr="006F1D90">
              <w:rPr>
                <w:rStyle w:val="FootnoteReference"/>
                <w:rFonts w:ascii="Verdana" w:hAnsi="Verdana"/>
                <w:sz w:val="18"/>
                <w:szCs w:val="18"/>
              </w:rPr>
              <w:footnoteReference w:id="10"/>
            </w:r>
            <w:r w:rsidRPr="006F1D90">
              <w:rPr>
                <w:rFonts w:ascii="Verdana" w:hAnsi="Verdana"/>
                <w:sz w:val="18"/>
                <w:szCs w:val="18"/>
              </w:rPr>
              <w:t>;</w:t>
            </w:r>
          </w:p>
          <w:p w14:paraId="257504DD"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Unpaid labour input;</w:t>
            </w:r>
          </w:p>
          <w:p w14:paraId="15486B01"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Opportunity costs for land (see calculation method above);</w:t>
            </w:r>
          </w:p>
          <w:p w14:paraId="163DBB3D" w14:textId="77777777" w:rsidR="00EF6D86" w:rsidRPr="006F1D90" w:rsidRDefault="00EF6D86" w:rsidP="00665997">
            <w:pPr>
              <w:numPr>
                <w:ilvl w:val="0"/>
                <w:numId w:val="51"/>
              </w:numPr>
              <w:spacing w:before="60" w:after="60" w:line="240" w:lineRule="auto"/>
              <w:jc w:val="both"/>
              <w:rPr>
                <w:rFonts w:ascii="Verdana" w:hAnsi="Verdana"/>
                <w:sz w:val="18"/>
                <w:szCs w:val="18"/>
              </w:rPr>
            </w:pPr>
            <w:r w:rsidRPr="006F1D90">
              <w:rPr>
                <w:rFonts w:ascii="Verdana" w:hAnsi="Verdana"/>
                <w:sz w:val="18"/>
                <w:szCs w:val="18"/>
              </w:rPr>
              <w:t>Opportunity costs for capital (see calculation method above).</w:t>
            </w:r>
            <w:r w:rsidRPr="006F1D90" w:rsidDel="00654E9B">
              <w:rPr>
                <w:rFonts w:ascii="Verdana" w:hAnsi="Verdana"/>
                <w:sz w:val="18"/>
                <w:szCs w:val="18"/>
              </w:rPr>
              <w:t xml:space="preserve"> </w:t>
            </w:r>
          </w:p>
          <w:p w14:paraId="5944DDA3" w14:textId="77777777" w:rsidR="00EF6D86" w:rsidRPr="006F1D90" w:rsidRDefault="00EF6D86" w:rsidP="790C88FB">
            <w:pPr>
              <w:spacing w:before="100" w:beforeAutospacing="1" w:after="60" w:line="240" w:lineRule="auto"/>
              <w:jc w:val="both"/>
              <w:rPr>
                <w:rFonts w:ascii="Verdana" w:hAnsi="Verdana"/>
                <w:b/>
                <w:bCs/>
                <w:sz w:val="18"/>
                <w:szCs w:val="18"/>
              </w:rPr>
            </w:pPr>
            <w:r w:rsidRPr="5CB4B133">
              <w:rPr>
                <w:rFonts w:ascii="Verdana" w:hAnsi="Verdana"/>
                <w:b/>
                <w:bCs/>
                <w:sz w:val="18"/>
                <w:szCs w:val="18"/>
              </w:rPr>
              <w:t>From labour cost statistics (Eurostat):</w:t>
            </w:r>
          </w:p>
          <w:p w14:paraId="41F7A52F" w14:textId="77777777" w:rsidR="00EF6D86" w:rsidRPr="006F1D90" w:rsidRDefault="00EF6D86" w:rsidP="00665997">
            <w:pPr>
              <w:numPr>
                <w:ilvl w:val="0"/>
                <w:numId w:val="51"/>
              </w:numPr>
              <w:spacing w:after="60" w:line="240" w:lineRule="auto"/>
              <w:ind w:left="357" w:hanging="357"/>
              <w:jc w:val="both"/>
              <w:rPr>
                <w:rFonts w:ascii="Verdana" w:hAnsi="Verdana"/>
                <w:sz w:val="18"/>
                <w:szCs w:val="18"/>
              </w:rPr>
            </w:pPr>
            <w:r w:rsidRPr="3F2573B5">
              <w:rPr>
                <w:rFonts w:ascii="Verdana" w:hAnsi="Verdana"/>
                <w:b/>
                <w:bCs/>
                <w:sz w:val="18"/>
                <w:szCs w:val="18"/>
              </w:rPr>
              <w:t xml:space="preserve">Labour costs in industry, construction and services, </w:t>
            </w:r>
            <w:r w:rsidRPr="006F1D90">
              <w:rPr>
                <w:rFonts w:ascii="Verdana" w:hAnsi="Verdana"/>
                <w:sz w:val="18"/>
                <w:szCs w:val="18"/>
                <w:lang w:val="en"/>
              </w:rPr>
              <w:t>defined as core expenditure borne by employers for the purpose of employing staff. They include employee compensation, with wages and salaries in cash and in kind, employers' social security contributions and employment taxes regarded as labour costs minus any subsidies received, but not vocational training costs or other expenditure such as recruitment costs and spending on working clothes (by contrast with multiannual and annual labour cost data).</w:t>
            </w:r>
          </w:p>
        </w:tc>
      </w:tr>
      <w:tr w:rsidR="00EF6D86" w:rsidRPr="00C34DE9" w14:paraId="75804D94" w14:textId="77777777" w:rsidTr="240ABBB4">
        <w:tc>
          <w:tcPr>
            <w:tcW w:w="2943" w:type="dxa"/>
            <w:shd w:val="clear" w:color="auto" w:fill="auto"/>
          </w:tcPr>
          <w:p w14:paraId="2091A309"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lastRenderedPageBreak/>
              <w:t>Unit of measurement</w:t>
            </w:r>
          </w:p>
        </w:tc>
        <w:tc>
          <w:tcPr>
            <w:tcW w:w="7088" w:type="dxa"/>
            <w:shd w:val="clear" w:color="auto" w:fill="auto"/>
          </w:tcPr>
          <w:p w14:paraId="0E28550F" w14:textId="29D551AD" w:rsidR="00EF6D86" w:rsidRPr="006F1D90" w:rsidRDefault="00EF6D86" w:rsidP="00B3636B">
            <w:pPr>
              <w:spacing w:after="60" w:line="240" w:lineRule="auto"/>
              <w:jc w:val="both"/>
              <w:rPr>
                <w:rFonts w:ascii="Verdana" w:hAnsi="Verdana"/>
                <w:sz w:val="18"/>
                <w:szCs w:val="18"/>
              </w:rPr>
            </w:pPr>
            <w:r w:rsidRPr="006F1D90">
              <w:rPr>
                <w:rFonts w:ascii="Verdana" w:hAnsi="Verdana"/>
                <w:sz w:val="18"/>
                <w:szCs w:val="18"/>
              </w:rPr>
              <w:t xml:space="preserve">All three </w:t>
            </w:r>
            <w:r w:rsidR="00DD478B">
              <w:rPr>
                <w:rFonts w:ascii="Verdana" w:hAnsi="Verdana"/>
                <w:sz w:val="18"/>
                <w:szCs w:val="18"/>
              </w:rPr>
              <w:t>specific indicators</w:t>
            </w:r>
            <w:r w:rsidRPr="006F1D90">
              <w:rPr>
                <w:rFonts w:ascii="Verdana" w:hAnsi="Verdana"/>
                <w:sz w:val="18"/>
                <w:szCs w:val="18"/>
              </w:rPr>
              <w:t xml:space="preserve"> are expressed in EUR/AWU.</w:t>
            </w:r>
          </w:p>
          <w:p w14:paraId="3C53CA2F" w14:textId="77777777" w:rsidR="00EF6D86" w:rsidRPr="006F1D90" w:rsidRDefault="00EF6D86" w:rsidP="00B3636B">
            <w:pPr>
              <w:spacing w:after="60" w:line="240" w:lineRule="auto"/>
              <w:jc w:val="both"/>
              <w:rPr>
                <w:rFonts w:ascii="Verdana" w:hAnsi="Verdana"/>
                <w:sz w:val="18"/>
                <w:szCs w:val="18"/>
              </w:rPr>
            </w:pPr>
            <w:r w:rsidRPr="006F1D90">
              <w:rPr>
                <w:rFonts w:ascii="Verdana" w:hAnsi="Verdana"/>
                <w:sz w:val="18"/>
                <w:szCs w:val="18"/>
              </w:rPr>
              <w:lastRenderedPageBreak/>
              <w:t>The comparison with non-agricultural labour costs is expressed as a percentage.</w:t>
            </w:r>
          </w:p>
        </w:tc>
      </w:tr>
      <w:tr w:rsidR="00EF6D86" w:rsidRPr="00C34DE9" w14:paraId="7F61BA36" w14:textId="77777777" w:rsidTr="240ABBB4">
        <w:tc>
          <w:tcPr>
            <w:tcW w:w="2943" w:type="dxa"/>
            <w:shd w:val="clear" w:color="auto" w:fill="auto"/>
          </w:tcPr>
          <w:p w14:paraId="562D252B"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lastRenderedPageBreak/>
              <w:t>Data source</w:t>
            </w:r>
          </w:p>
        </w:tc>
        <w:tc>
          <w:tcPr>
            <w:tcW w:w="7088" w:type="dxa"/>
            <w:shd w:val="clear" w:color="auto" w:fill="auto"/>
            <w:vAlign w:val="center"/>
          </w:tcPr>
          <w:p w14:paraId="1CF7CCF2" w14:textId="77777777" w:rsidR="00EF6D86" w:rsidRPr="006F1D90" w:rsidRDefault="00EF6D86" w:rsidP="00B3636B">
            <w:pPr>
              <w:spacing w:after="60"/>
              <w:rPr>
                <w:rFonts w:ascii="Verdana" w:hAnsi="Verdana"/>
                <w:sz w:val="18"/>
                <w:szCs w:val="18"/>
              </w:rPr>
            </w:pPr>
            <w:r w:rsidRPr="006F1D90">
              <w:rPr>
                <w:rFonts w:ascii="Verdana" w:hAnsi="Verdana"/>
                <w:sz w:val="18"/>
                <w:szCs w:val="18"/>
              </w:rPr>
              <w:t xml:space="preserve">Eurostat – Economic Accounts for Agriculture (agricultural entrepreneurial income; compensation of employees); </w:t>
            </w:r>
          </w:p>
          <w:p w14:paraId="697E3016" w14:textId="77777777" w:rsidR="00EF6D86" w:rsidRPr="006F1D90" w:rsidRDefault="00EF6D86" w:rsidP="00B3636B">
            <w:pPr>
              <w:spacing w:after="60"/>
              <w:rPr>
                <w:rFonts w:ascii="Verdana" w:hAnsi="Verdana"/>
                <w:sz w:val="18"/>
                <w:szCs w:val="18"/>
              </w:rPr>
            </w:pPr>
            <w:r w:rsidRPr="006F1D90">
              <w:rPr>
                <w:rFonts w:ascii="Verdana" w:hAnsi="Verdana"/>
                <w:sz w:val="18"/>
                <w:szCs w:val="18"/>
              </w:rPr>
              <w:t>Eurostat – Agricultural Labour Input Statistics (AWU in agriculture; hours per AWU)</w:t>
            </w:r>
          </w:p>
          <w:p w14:paraId="2907A378" w14:textId="77777777" w:rsidR="00EF6D86" w:rsidRPr="006F1D90" w:rsidRDefault="00EF6D86" w:rsidP="00B3636B">
            <w:pPr>
              <w:spacing w:after="60"/>
              <w:rPr>
                <w:rFonts w:ascii="Verdana" w:hAnsi="Verdana"/>
                <w:sz w:val="18"/>
                <w:szCs w:val="18"/>
              </w:rPr>
            </w:pPr>
            <w:r w:rsidRPr="006F1D90">
              <w:rPr>
                <w:rFonts w:ascii="Verdana" w:hAnsi="Verdana"/>
                <w:sz w:val="18"/>
                <w:szCs w:val="18"/>
              </w:rPr>
              <w:t>Eurostat – Labour Cost Statistics (labour costs in industry, construction and services)</w:t>
            </w:r>
          </w:p>
          <w:p w14:paraId="25170684" w14:textId="77777777" w:rsidR="00EF6D86" w:rsidRPr="006F1D90" w:rsidRDefault="00EF6D86" w:rsidP="00B3636B">
            <w:pPr>
              <w:spacing w:after="60"/>
              <w:rPr>
                <w:rFonts w:ascii="Verdana" w:hAnsi="Verdana"/>
                <w:sz w:val="18"/>
                <w:szCs w:val="18"/>
              </w:rPr>
            </w:pPr>
            <w:r w:rsidRPr="006F1D90">
              <w:rPr>
                <w:rFonts w:ascii="Verdana" w:hAnsi="Verdana"/>
                <w:sz w:val="18"/>
                <w:szCs w:val="18"/>
              </w:rPr>
              <w:t>DG AGRI - FADN (Farm Net Income; wages and social security charges; opportunity costs for land and capital; total labour input; unpaid labour input)</w:t>
            </w:r>
          </w:p>
        </w:tc>
      </w:tr>
      <w:tr w:rsidR="00EF6D86" w:rsidRPr="00C34DE9" w14:paraId="660ADFDE" w14:textId="77777777" w:rsidTr="240ABBB4">
        <w:tc>
          <w:tcPr>
            <w:tcW w:w="2943" w:type="dxa"/>
            <w:shd w:val="clear" w:color="auto" w:fill="auto"/>
          </w:tcPr>
          <w:p w14:paraId="633195A9"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 location of the data</w:t>
            </w:r>
          </w:p>
        </w:tc>
        <w:tc>
          <w:tcPr>
            <w:tcW w:w="7088" w:type="dxa"/>
            <w:shd w:val="clear" w:color="auto" w:fill="auto"/>
          </w:tcPr>
          <w:p w14:paraId="004771E7" w14:textId="77777777" w:rsidR="00EF6D86" w:rsidRPr="006F1D90" w:rsidRDefault="00EF6D86" w:rsidP="5CB4B133">
            <w:pPr>
              <w:pStyle w:val="ListParagraph"/>
              <w:numPr>
                <w:ilvl w:val="0"/>
                <w:numId w:val="56"/>
              </w:numPr>
              <w:spacing w:after="60"/>
              <w:ind w:right="-108"/>
              <w:rPr>
                <w:rFonts w:ascii="Verdana" w:hAnsi="Verdana"/>
                <w:b/>
                <w:bCs/>
                <w:sz w:val="18"/>
                <w:szCs w:val="18"/>
              </w:rPr>
            </w:pPr>
            <w:r w:rsidRPr="5CB4B133">
              <w:rPr>
                <w:rFonts w:ascii="Verdana" w:hAnsi="Verdana"/>
                <w:b/>
                <w:bCs/>
                <w:sz w:val="18"/>
                <w:szCs w:val="18"/>
              </w:rPr>
              <w:t>EUROSTAT DATABASE</w:t>
            </w:r>
            <w:r w:rsidRPr="006F1D90">
              <w:rPr>
                <w:rStyle w:val="FootnoteReference"/>
                <w:rFonts w:ascii="Verdana" w:hAnsi="Verdana"/>
                <w:sz w:val="18"/>
                <w:szCs w:val="18"/>
              </w:rPr>
              <w:footnoteReference w:id="11"/>
            </w:r>
            <w:r w:rsidRPr="5CB4B133">
              <w:rPr>
                <w:rFonts w:ascii="Verdana" w:hAnsi="Verdana"/>
                <w:b/>
                <w:bCs/>
                <w:sz w:val="18"/>
                <w:szCs w:val="18"/>
              </w:rPr>
              <w:t>:</w:t>
            </w:r>
          </w:p>
          <w:p w14:paraId="4FE967E9" w14:textId="77777777" w:rsidR="00EF6D86" w:rsidRPr="006F1D90" w:rsidRDefault="00EF6D86" w:rsidP="00665997">
            <w:pPr>
              <w:pStyle w:val="ListParagraph"/>
              <w:numPr>
                <w:ilvl w:val="1"/>
                <w:numId w:val="56"/>
              </w:numPr>
              <w:spacing w:after="60"/>
              <w:ind w:right="-108"/>
              <w:rPr>
                <w:rFonts w:ascii="Verdana" w:hAnsi="Verdana"/>
                <w:sz w:val="18"/>
                <w:szCs w:val="18"/>
              </w:rPr>
            </w:pPr>
            <w:r w:rsidRPr="5CB4B133">
              <w:rPr>
                <w:rFonts w:ascii="Verdana" w:hAnsi="Verdana"/>
                <w:b/>
                <w:bCs/>
                <w:sz w:val="18"/>
                <w:szCs w:val="18"/>
              </w:rPr>
              <w:t xml:space="preserve">Agricultural entrepreneurial income plus compensation of employees: </w:t>
            </w:r>
          </w:p>
          <w:p w14:paraId="484429F1" w14:textId="77777777" w:rsidR="00EF6D86" w:rsidRPr="006F1D90" w:rsidRDefault="00EF6D86" w:rsidP="790C88FB">
            <w:pPr>
              <w:spacing w:after="60"/>
              <w:ind w:left="357" w:right="-108" w:hanging="357"/>
              <w:rPr>
                <w:rFonts w:ascii="Verdana" w:hAnsi="Verdana"/>
                <w:i/>
                <w:iCs/>
                <w:sz w:val="18"/>
                <w:szCs w:val="18"/>
              </w:rPr>
            </w:pPr>
            <w:r w:rsidRPr="790C88FB">
              <w:rPr>
                <w:rFonts w:ascii="Verdana" w:hAnsi="Verdana"/>
                <w:i/>
                <w:iCs/>
                <w:sz w:val="18"/>
                <w:szCs w:val="18"/>
              </w:rPr>
              <w:t xml:space="preserve">Economic accounts for agriculture - values at current prices </w:t>
            </w:r>
            <w:r w:rsidR="00A6594A" w:rsidRPr="006F1D90">
              <w:rPr>
                <w:rFonts w:ascii="Verdana" w:hAnsi="Verdana"/>
                <w:sz w:val="18"/>
                <w:szCs w:val="18"/>
              </w:rPr>
              <w:t>[</w:t>
            </w:r>
            <w:hyperlink r:id="rId115" w:history="1">
              <w:r w:rsidRPr="006F1D90">
                <w:rPr>
                  <w:rStyle w:val="Hyperlink"/>
                  <w:rFonts w:ascii="Verdana" w:hAnsi="Verdana"/>
                  <w:sz w:val="18"/>
                  <w:szCs w:val="18"/>
                </w:rPr>
                <w:t>aact_eaa01</w:t>
              </w:r>
            </w:hyperlink>
            <w:r w:rsidR="00A6594A" w:rsidRPr="006F1D90">
              <w:rPr>
                <w:rFonts w:ascii="Verdana" w:hAnsi="Verdana"/>
                <w:sz w:val="18"/>
                <w:szCs w:val="18"/>
              </w:rPr>
              <w:t>]</w:t>
            </w:r>
          </w:p>
          <w:p w14:paraId="7A09D1AC" w14:textId="77777777" w:rsidR="00EF6D86" w:rsidRPr="006F1D90" w:rsidRDefault="00EF6D86" w:rsidP="00A85A9D">
            <w:pPr>
              <w:numPr>
                <w:ilvl w:val="0"/>
                <w:numId w:val="24"/>
              </w:numPr>
              <w:spacing w:after="60"/>
              <w:ind w:right="-108"/>
              <w:rPr>
                <w:rFonts w:ascii="Verdana" w:eastAsia="Times New Roman" w:hAnsi="Verdana"/>
                <w:sz w:val="18"/>
                <w:szCs w:val="18"/>
              </w:rPr>
            </w:pPr>
            <w:r w:rsidRPr="006F1D90">
              <w:rPr>
                <w:rFonts w:ascii="Verdana" w:eastAsia="Times New Roman" w:hAnsi="Verdana"/>
                <w:sz w:val="18"/>
                <w:szCs w:val="18"/>
              </w:rPr>
              <w:t>Production value at basic price</w:t>
            </w:r>
          </w:p>
          <w:p w14:paraId="65BDAC7E" w14:textId="77777777" w:rsidR="00EF6D86" w:rsidRPr="006F1D90" w:rsidRDefault="00EF6D86" w:rsidP="00A85A9D">
            <w:pPr>
              <w:numPr>
                <w:ilvl w:val="0"/>
                <w:numId w:val="24"/>
              </w:numPr>
              <w:spacing w:after="60"/>
              <w:ind w:right="-108"/>
              <w:rPr>
                <w:rFonts w:ascii="Verdana" w:eastAsia="Times New Roman" w:hAnsi="Verdana"/>
                <w:sz w:val="18"/>
                <w:szCs w:val="18"/>
              </w:rPr>
            </w:pPr>
            <w:r w:rsidRPr="006F1D90">
              <w:rPr>
                <w:rFonts w:ascii="Verdana" w:eastAsia="Times New Roman" w:hAnsi="Verdana"/>
                <w:sz w:val="18"/>
                <w:szCs w:val="18"/>
              </w:rPr>
              <w:t>Entrepreneurial income: code 31000</w:t>
            </w:r>
          </w:p>
          <w:p w14:paraId="388F451A" w14:textId="77777777" w:rsidR="00EF6D86" w:rsidRPr="006F1D90" w:rsidRDefault="00EF6D86" w:rsidP="00A85A9D">
            <w:pPr>
              <w:numPr>
                <w:ilvl w:val="0"/>
                <w:numId w:val="24"/>
              </w:numPr>
              <w:spacing w:after="60"/>
              <w:ind w:right="-108"/>
              <w:rPr>
                <w:rFonts w:ascii="Verdana" w:eastAsia="Times New Roman" w:hAnsi="Verdana"/>
                <w:sz w:val="18"/>
                <w:szCs w:val="18"/>
              </w:rPr>
            </w:pPr>
            <w:r w:rsidRPr="006F1D90">
              <w:rPr>
                <w:rFonts w:ascii="Verdana" w:eastAsia="Times New Roman" w:hAnsi="Verdana"/>
                <w:sz w:val="18"/>
                <w:szCs w:val="18"/>
              </w:rPr>
              <w:t>Compensation of employees: code 23000</w:t>
            </w:r>
          </w:p>
          <w:p w14:paraId="6B5ABC6D" w14:textId="77777777" w:rsidR="00EF6D86" w:rsidRPr="006F1D90" w:rsidRDefault="00EF6D86" w:rsidP="00B3636B">
            <w:pPr>
              <w:spacing w:after="60"/>
              <w:ind w:right="-108"/>
              <w:jc w:val="both"/>
              <w:rPr>
                <w:rFonts w:ascii="Verdana" w:hAnsi="Verdana"/>
                <w:sz w:val="18"/>
                <w:szCs w:val="18"/>
              </w:rPr>
            </w:pPr>
            <w:r w:rsidRPr="006F1D90">
              <w:rPr>
                <w:rFonts w:ascii="Verdana" w:hAnsi="Verdana"/>
                <w:sz w:val="18"/>
                <w:szCs w:val="18"/>
              </w:rPr>
              <w:t>Since non-agricultural labour costs are only available at current prices, agricultural income indicators will also be used at current prices only.</w:t>
            </w:r>
          </w:p>
          <w:p w14:paraId="12FB9477" w14:textId="77777777" w:rsidR="00EF6D86" w:rsidRPr="006F1D90" w:rsidRDefault="00EF6D86" w:rsidP="00665997">
            <w:pPr>
              <w:pStyle w:val="ListParagraph"/>
              <w:numPr>
                <w:ilvl w:val="1"/>
                <w:numId w:val="56"/>
              </w:numPr>
              <w:spacing w:after="60"/>
              <w:ind w:right="-108"/>
              <w:rPr>
                <w:rFonts w:ascii="Verdana" w:hAnsi="Verdana"/>
                <w:sz w:val="18"/>
                <w:szCs w:val="18"/>
              </w:rPr>
            </w:pPr>
            <w:r w:rsidRPr="5CB4B133">
              <w:rPr>
                <w:rFonts w:ascii="Verdana" w:hAnsi="Verdana"/>
                <w:b/>
                <w:bCs/>
                <w:sz w:val="18"/>
                <w:szCs w:val="18"/>
              </w:rPr>
              <w:t>Agricultural labour input</w:t>
            </w:r>
            <w:r w:rsidRPr="006F1D90">
              <w:rPr>
                <w:rFonts w:ascii="Verdana" w:hAnsi="Verdana"/>
                <w:sz w:val="18"/>
                <w:szCs w:val="18"/>
              </w:rPr>
              <w:t xml:space="preserve">: </w:t>
            </w:r>
          </w:p>
          <w:p w14:paraId="587B5E3D" w14:textId="77777777" w:rsidR="00EF6D86" w:rsidRPr="006F1D90" w:rsidRDefault="00EF6D86" w:rsidP="790C88FB">
            <w:pPr>
              <w:spacing w:after="60"/>
              <w:ind w:left="357" w:right="-108" w:hanging="357"/>
              <w:rPr>
                <w:rFonts w:ascii="Verdana" w:hAnsi="Verdana"/>
                <w:i/>
                <w:iCs/>
                <w:sz w:val="18"/>
                <w:szCs w:val="18"/>
              </w:rPr>
            </w:pPr>
            <w:r w:rsidRPr="790C88FB">
              <w:rPr>
                <w:rFonts w:ascii="Verdana" w:hAnsi="Verdana"/>
                <w:i/>
                <w:iCs/>
                <w:sz w:val="18"/>
                <w:szCs w:val="18"/>
              </w:rPr>
              <w:t xml:space="preserve">Agricultural Labour Input Statistics: absolute figures (1 000 annual work units) </w:t>
            </w:r>
            <w:r w:rsidR="00A6594A" w:rsidRPr="006F1D90">
              <w:rPr>
                <w:rFonts w:ascii="Verdana" w:hAnsi="Verdana"/>
                <w:sz w:val="18"/>
                <w:szCs w:val="18"/>
              </w:rPr>
              <w:t>[</w:t>
            </w:r>
            <w:hyperlink r:id="rId116" w:history="1">
              <w:r w:rsidRPr="006F1D90">
                <w:rPr>
                  <w:rStyle w:val="Hyperlink"/>
                  <w:rFonts w:ascii="Verdana" w:hAnsi="Verdana"/>
                  <w:sz w:val="18"/>
                  <w:szCs w:val="18"/>
                </w:rPr>
                <w:t>aact_ali01</w:t>
              </w:r>
            </w:hyperlink>
            <w:r w:rsidR="00A6594A" w:rsidRPr="006F1D90">
              <w:rPr>
                <w:rFonts w:ascii="Verdana" w:hAnsi="Verdana"/>
                <w:sz w:val="18"/>
                <w:szCs w:val="18"/>
              </w:rPr>
              <w:t>]</w:t>
            </w:r>
          </w:p>
          <w:p w14:paraId="0FDB2F2B" w14:textId="77777777" w:rsidR="00EF6D86" w:rsidRPr="006F1D90" w:rsidRDefault="00EF6D86" w:rsidP="5CB4B133">
            <w:pPr>
              <w:pStyle w:val="ListParagraph"/>
              <w:numPr>
                <w:ilvl w:val="0"/>
                <w:numId w:val="55"/>
              </w:numPr>
              <w:spacing w:after="60" w:line="240" w:lineRule="auto"/>
              <w:ind w:right="-108"/>
              <w:jc w:val="both"/>
              <w:rPr>
                <w:rFonts w:ascii="Verdana" w:hAnsi="Verdana"/>
                <w:b/>
                <w:bCs/>
                <w:sz w:val="18"/>
                <w:szCs w:val="18"/>
              </w:rPr>
            </w:pPr>
            <w:r w:rsidRPr="006F1D90">
              <w:rPr>
                <w:rFonts w:ascii="Verdana" w:hAnsi="Verdana"/>
                <w:sz w:val="18"/>
                <w:szCs w:val="18"/>
              </w:rPr>
              <w:t>Total labour force input</w:t>
            </w:r>
          </w:p>
          <w:p w14:paraId="66AD3266" w14:textId="77777777" w:rsidR="00EF6D86" w:rsidRPr="006F1D90" w:rsidRDefault="00EF6D86" w:rsidP="00B3636B">
            <w:pPr>
              <w:spacing w:after="60" w:line="240" w:lineRule="auto"/>
              <w:ind w:right="-108"/>
              <w:jc w:val="both"/>
              <w:rPr>
                <w:rFonts w:ascii="Verdana" w:hAnsi="Verdana"/>
                <w:b/>
                <w:sz w:val="18"/>
                <w:szCs w:val="18"/>
              </w:rPr>
            </w:pPr>
          </w:p>
          <w:p w14:paraId="1D737296" w14:textId="77777777" w:rsidR="00EF6D86" w:rsidRPr="006F1D90" w:rsidRDefault="00EF6D86" w:rsidP="5CB4B133">
            <w:pPr>
              <w:pStyle w:val="ListParagraph"/>
              <w:numPr>
                <w:ilvl w:val="1"/>
                <w:numId w:val="56"/>
              </w:numPr>
              <w:spacing w:after="60"/>
              <w:ind w:right="-108"/>
              <w:rPr>
                <w:rFonts w:ascii="Verdana" w:hAnsi="Verdana"/>
                <w:b/>
                <w:bCs/>
                <w:sz w:val="18"/>
                <w:szCs w:val="18"/>
              </w:rPr>
            </w:pPr>
            <w:r w:rsidRPr="5CB4B133">
              <w:rPr>
                <w:rFonts w:ascii="Verdana" w:hAnsi="Verdana"/>
                <w:b/>
                <w:bCs/>
                <w:sz w:val="18"/>
                <w:szCs w:val="18"/>
              </w:rPr>
              <w:t xml:space="preserve">Labour costs: </w:t>
            </w:r>
          </w:p>
          <w:p w14:paraId="70FF9DCF" w14:textId="77777777" w:rsidR="00EF6D86" w:rsidRPr="006F1D90" w:rsidRDefault="00EF6D86" w:rsidP="00B3636B">
            <w:pPr>
              <w:tabs>
                <w:tab w:val="left" w:pos="7904"/>
              </w:tabs>
              <w:spacing w:after="60"/>
              <w:rPr>
                <w:rFonts w:ascii="Verdana" w:hAnsi="Verdana"/>
                <w:sz w:val="18"/>
                <w:szCs w:val="18"/>
              </w:rPr>
            </w:pPr>
            <w:r w:rsidRPr="790C88FB">
              <w:rPr>
                <w:rFonts w:ascii="Verdana" w:hAnsi="Verdana"/>
                <w:i/>
                <w:iCs/>
                <w:sz w:val="18"/>
                <w:szCs w:val="18"/>
              </w:rPr>
              <w:t xml:space="preserve">Labour cost levels by NACE Rev. 2 activity </w:t>
            </w:r>
            <w:r w:rsidR="00A6594A" w:rsidRPr="006F1D90">
              <w:rPr>
                <w:rFonts w:ascii="Verdana" w:hAnsi="Verdana"/>
                <w:sz w:val="18"/>
                <w:szCs w:val="18"/>
              </w:rPr>
              <w:t>[</w:t>
            </w:r>
            <w:hyperlink r:id="rId117" w:history="1">
              <w:r w:rsidRPr="006F1D90">
                <w:rPr>
                  <w:rStyle w:val="Hyperlink"/>
                  <w:rFonts w:ascii="Verdana" w:hAnsi="Verdana"/>
                  <w:sz w:val="18"/>
                  <w:szCs w:val="18"/>
                </w:rPr>
                <w:t>lc_lci_lev</w:t>
              </w:r>
            </w:hyperlink>
            <w:r w:rsidR="00A6594A" w:rsidRPr="006F1D90">
              <w:rPr>
                <w:rFonts w:ascii="Verdana" w:hAnsi="Verdana"/>
                <w:sz w:val="18"/>
                <w:szCs w:val="18"/>
              </w:rPr>
              <w:t>]</w:t>
            </w:r>
            <w:r w:rsidRPr="790C88FB">
              <w:rPr>
                <w:rFonts w:ascii="Verdana" w:hAnsi="Verdana"/>
                <w:i/>
                <w:iCs/>
                <w:sz w:val="18"/>
                <w:szCs w:val="18"/>
              </w:rPr>
              <w:t>:</w:t>
            </w:r>
            <w:r w:rsidRPr="006F1D90">
              <w:rPr>
                <w:rFonts w:ascii="Verdana" w:hAnsi="Verdana"/>
                <w:sz w:val="18"/>
                <w:szCs w:val="18"/>
              </w:rPr>
              <w:tab/>
            </w:r>
          </w:p>
          <w:p w14:paraId="19560CAE" w14:textId="77777777" w:rsidR="00EF6D86" w:rsidRPr="006F1D90" w:rsidRDefault="00EF6D86" w:rsidP="00665997">
            <w:pPr>
              <w:pStyle w:val="ListParagraph"/>
              <w:numPr>
                <w:ilvl w:val="0"/>
                <w:numId w:val="54"/>
              </w:numPr>
              <w:spacing w:after="0" w:line="240" w:lineRule="auto"/>
              <w:rPr>
                <w:rFonts w:ascii="Verdana" w:eastAsia="Times New Roman" w:hAnsi="Verdana"/>
                <w:sz w:val="18"/>
                <w:szCs w:val="18"/>
              </w:rPr>
            </w:pPr>
            <w:r w:rsidRPr="006F1D90">
              <w:rPr>
                <w:rFonts w:ascii="Verdana" w:eastAsia="Times New Roman" w:hAnsi="Verdana"/>
                <w:sz w:val="18"/>
                <w:szCs w:val="18"/>
              </w:rPr>
              <w:t>Labour cost for LCI (compensation of employees plus taxes minus subsidies): Industry, construction and services (except public administration, defen</w:t>
            </w:r>
            <w:r w:rsidR="00B840B2" w:rsidRPr="006F1D90">
              <w:rPr>
                <w:rFonts w:ascii="Verdana" w:eastAsia="Times New Roman" w:hAnsi="Verdana"/>
                <w:sz w:val="18"/>
                <w:szCs w:val="18"/>
              </w:rPr>
              <w:t>c</w:t>
            </w:r>
            <w:r w:rsidRPr="006F1D90">
              <w:rPr>
                <w:rFonts w:ascii="Verdana" w:eastAsia="Times New Roman" w:hAnsi="Verdana"/>
                <w:sz w:val="18"/>
                <w:szCs w:val="18"/>
              </w:rPr>
              <w:t>e, compulsory social security)</w:t>
            </w:r>
          </w:p>
          <w:p w14:paraId="15313A11" w14:textId="77777777" w:rsidR="00EF6D86" w:rsidRPr="006F1D90" w:rsidRDefault="00EF6D86" w:rsidP="00B3636B">
            <w:pPr>
              <w:spacing w:after="0" w:line="240" w:lineRule="auto"/>
              <w:rPr>
                <w:rFonts w:ascii="Verdana" w:eastAsia="Times New Roman" w:hAnsi="Verdana"/>
                <w:sz w:val="18"/>
                <w:szCs w:val="18"/>
              </w:rPr>
            </w:pPr>
          </w:p>
          <w:p w14:paraId="1C8D6343" w14:textId="77777777" w:rsidR="00EF6D86" w:rsidRPr="006F1D90" w:rsidRDefault="00EF6D86" w:rsidP="5CB4B133">
            <w:pPr>
              <w:pStyle w:val="ListParagraph"/>
              <w:numPr>
                <w:ilvl w:val="0"/>
                <w:numId w:val="57"/>
              </w:numPr>
              <w:spacing w:after="120" w:line="240" w:lineRule="auto"/>
              <w:ind w:left="357" w:hanging="357"/>
              <w:contextualSpacing w:val="0"/>
              <w:jc w:val="both"/>
              <w:rPr>
                <w:rFonts w:ascii="Verdana" w:hAnsi="Verdana"/>
                <w:b/>
                <w:bCs/>
                <w:sz w:val="18"/>
                <w:szCs w:val="18"/>
              </w:rPr>
            </w:pPr>
            <w:r w:rsidRPr="5CB4B133">
              <w:rPr>
                <w:rFonts w:ascii="Verdana" w:hAnsi="Verdana"/>
                <w:b/>
                <w:bCs/>
                <w:sz w:val="18"/>
                <w:szCs w:val="18"/>
              </w:rPr>
              <w:t>FADN DATABASE</w:t>
            </w:r>
            <w:r w:rsidRPr="006F1D90">
              <w:rPr>
                <w:rStyle w:val="FootnoteReference"/>
                <w:rFonts w:ascii="Verdana" w:hAnsi="Verdana"/>
                <w:sz w:val="18"/>
                <w:szCs w:val="18"/>
              </w:rPr>
              <w:footnoteReference w:id="12"/>
            </w:r>
            <w:r w:rsidRPr="5CB4B133">
              <w:rPr>
                <w:rFonts w:ascii="Verdana" w:hAnsi="Verdana"/>
                <w:b/>
                <w:bCs/>
                <w:sz w:val="18"/>
                <w:szCs w:val="18"/>
              </w:rPr>
              <w:t xml:space="preserve">: </w:t>
            </w:r>
          </w:p>
          <w:p w14:paraId="7725C6F2"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Farm net income: SE420</w:t>
            </w:r>
          </w:p>
          <w:p w14:paraId="7F4E284C"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Wages and social security charges: SE370</w:t>
            </w:r>
          </w:p>
          <w:p w14:paraId="746CEB82"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Total labour input: SE010</w:t>
            </w:r>
          </w:p>
          <w:p w14:paraId="1193DCD4" w14:textId="77777777" w:rsidR="00EF6D86" w:rsidRPr="006F1D90" w:rsidRDefault="00EF6D86"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Unpaid labour input: SE015</w:t>
            </w:r>
          </w:p>
          <w:p w14:paraId="708B7B91"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T</w:t>
            </w:r>
            <w:r w:rsidR="00EF6D86" w:rsidRPr="006F1D90">
              <w:rPr>
                <w:rFonts w:ascii="Verdana" w:hAnsi="Verdana"/>
                <w:sz w:val="18"/>
                <w:szCs w:val="18"/>
              </w:rPr>
              <w:t>otal utilised agricultural area: SE025</w:t>
            </w:r>
          </w:p>
          <w:p w14:paraId="32105F9D"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R</w:t>
            </w:r>
            <w:r w:rsidR="00EF6D86" w:rsidRPr="006F1D90">
              <w:rPr>
                <w:rFonts w:ascii="Verdana" w:hAnsi="Verdana"/>
                <w:sz w:val="18"/>
                <w:szCs w:val="18"/>
              </w:rPr>
              <w:t>ented utilised agricultural area: SE030;</w:t>
            </w:r>
          </w:p>
          <w:p w14:paraId="3930E047"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t>R</w:t>
            </w:r>
            <w:r w:rsidR="00EF6D86" w:rsidRPr="006F1D90">
              <w:rPr>
                <w:rFonts w:ascii="Verdana" w:hAnsi="Verdana"/>
                <w:sz w:val="18"/>
                <w:szCs w:val="18"/>
              </w:rPr>
              <w:t>ent paid: SE375</w:t>
            </w:r>
          </w:p>
          <w:p w14:paraId="2318E042"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lang w:val="fr-BE"/>
              </w:rPr>
            </w:pPr>
            <w:r w:rsidRPr="006F1D90">
              <w:rPr>
                <w:rFonts w:ascii="Verdana" w:hAnsi="Verdana"/>
                <w:sz w:val="18"/>
                <w:szCs w:val="18"/>
                <w:lang w:val="fr-BE"/>
              </w:rPr>
              <w:t>T</w:t>
            </w:r>
            <w:r w:rsidR="00EF6D86" w:rsidRPr="006F1D90">
              <w:rPr>
                <w:rFonts w:ascii="Verdana" w:hAnsi="Verdana"/>
                <w:sz w:val="18"/>
                <w:szCs w:val="18"/>
                <w:lang w:val="fr-BE"/>
              </w:rPr>
              <w:t>otal</w:t>
            </w:r>
            <w:r w:rsidR="00EF6D86" w:rsidRPr="006F1D90">
              <w:rPr>
                <w:rFonts w:ascii="Verdana" w:hAnsi="Verdana"/>
                <w:sz w:val="18"/>
                <w:szCs w:val="18"/>
              </w:rPr>
              <w:t xml:space="preserve"> assets closing valuation</w:t>
            </w:r>
            <w:r w:rsidR="00EF6D86" w:rsidRPr="006F1D90">
              <w:rPr>
                <w:rFonts w:ascii="Verdana" w:hAnsi="Verdana"/>
                <w:sz w:val="18"/>
                <w:szCs w:val="18"/>
                <w:lang w:val="fr-BE"/>
              </w:rPr>
              <w:t>: SE436</w:t>
            </w:r>
          </w:p>
          <w:p w14:paraId="0C5FFD00"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lang w:val="fr-BE"/>
              </w:rPr>
            </w:pPr>
            <w:r w:rsidRPr="006F1D90">
              <w:rPr>
                <w:rFonts w:ascii="Verdana" w:hAnsi="Verdana"/>
                <w:sz w:val="18"/>
                <w:szCs w:val="18"/>
                <w:lang w:val="fr-BE"/>
              </w:rPr>
              <w:t>T</w:t>
            </w:r>
            <w:r w:rsidR="00EF6D86" w:rsidRPr="006F1D90">
              <w:rPr>
                <w:rFonts w:ascii="Verdana" w:hAnsi="Verdana"/>
                <w:sz w:val="18"/>
                <w:szCs w:val="18"/>
                <w:lang w:val="fr-BE"/>
              </w:rPr>
              <w:t xml:space="preserve">otal </w:t>
            </w:r>
            <w:r w:rsidR="00EF6D86" w:rsidRPr="006F1D90">
              <w:rPr>
                <w:rFonts w:ascii="Verdana" w:hAnsi="Verdana"/>
                <w:sz w:val="18"/>
                <w:szCs w:val="18"/>
              </w:rPr>
              <w:t>liabilities</w:t>
            </w:r>
            <w:r w:rsidR="00EF6D86" w:rsidRPr="006F1D90">
              <w:rPr>
                <w:rFonts w:ascii="Verdana" w:hAnsi="Verdana"/>
                <w:sz w:val="18"/>
                <w:szCs w:val="18"/>
                <w:lang w:val="fr-BE"/>
              </w:rPr>
              <w:t>: SE485</w:t>
            </w:r>
          </w:p>
          <w:p w14:paraId="5979A53E"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lang w:val="fr-BE"/>
              </w:rPr>
            </w:pPr>
            <w:r w:rsidRPr="006F1D90">
              <w:rPr>
                <w:rFonts w:ascii="Verdana" w:hAnsi="Verdana"/>
                <w:sz w:val="18"/>
                <w:szCs w:val="18"/>
                <w:lang w:val="fr-BE"/>
              </w:rPr>
              <w:t>L</w:t>
            </w:r>
            <w:r w:rsidR="00EF6D86" w:rsidRPr="006F1D90">
              <w:rPr>
                <w:rFonts w:ascii="Verdana" w:hAnsi="Verdana"/>
                <w:sz w:val="18"/>
                <w:szCs w:val="18"/>
                <w:lang w:val="fr-BE"/>
              </w:rPr>
              <w:t>and, permanent crops, quotas: SE446;</w:t>
            </w:r>
          </w:p>
          <w:p w14:paraId="2AC516DD" w14:textId="77777777" w:rsidR="00EF6D86" w:rsidRPr="006F1D90" w:rsidRDefault="00A6594A" w:rsidP="00665997">
            <w:pPr>
              <w:pStyle w:val="ListParagraph"/>
              <w:numPr>
                <w:ilvl w:val="0"/>
                <w:numId w:val="54"/>
              </w:numPr>
              <w:spacing w:after="60" w:line="240" w:lineRule="auto"/>
              <w:ind w:left="714" w:hanging="357"/>
              <w:contextualSpacing w:val="0"/>
              <w:jc w:val="both"/>
              <w:rPr>
                <w:rFonts w:ascii="Verdana" w:hAnsi="Verdana"/>
                <w:sz w:val="18"/>
                <w:szCs w:val="18"/>
              </w:rPr>
            </w:pPr>
            <w:r w:rsidRPr="006F1D90">
              <w:rPr>
                <w:rFonts w:ascii="Verdana" w:hAnsi="Verdana"/>
                <w:sz w:val="18"/>
                <w:szCs w:val="18"/>
              </w:rPr>
              <w:lastRenderedPageBreak/>
              <w:t>I</w:t>
            </w:r>
            <w:r w:rsidR="00EF6D86" w:rsidRPr="006F1D90">
              <w:rPr>
                <w:rFonts w:ascii="Verdana" w:hAnsi="Verdana"/>
                <w:sz w:val="18"/>
                <w:szCs w:val="18"/>
              </w:rPr>
              <w:t>nterest paid: SE380.</w:t>
            </w:r>
          </w:p>
        </w:tc>
      </w:tr>
      <w:tr w:rsidR="00EF6D86" w:rsidRPr="00C34DE9" w14:paraId="6D83FE00" w14:textId="77777777" w:rsidTr="240ABBB4">
        <w:tc>
          <w:tcPr>
            <w:tcW w:w="2943" w:type="dxa"/>
            <w:shd w:val="clear" w:color="auto" w:fill="auto"/>
          </w:tcPr>
          <w:p w14:paraId="4A3B41B5"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lastRenderedPageBreak/>
              <w:t>Data collection / dissemination level</w:t>
            </w:r>
          </w:p>
        </w:tc>
        <w:tc>
          <w:tcPr>
            <w:tcW w:w="7088" w:type="dxa"/>
            <w:shd w:val="clear" w:color="auto" w:fill="auto"/>
          </w:tcPr>
          <w:p w14:paraId="5E549278" w14:textId="77777777" w:rsidR="00EF6D86" w:rsidRPr="006F1D90" w:rsidRDefault="00EF6D86" w:rsidP="00B3636B">
            <w:pPr>
              <w:spacing w:after="60" w:line="240" w:lineRule="auto"/>
              <w:jc w:val="both"/>
              <w:rPr>
                <w:rFonts w:ascii="Verdana" w:hAnsi="Verdana"/>
                <w:sz w:val="18"/>
                <w:szCs w:val="18"/>
                <w:lang w:val="de-DE"/>
              </w:rPr>
            </w:pPr>
            <w:r w:rsidRPr="006F1D90">
              <w:rPr>
                <w:rFonts w:ascii="Verdana" w:hAnsi="Verdana"/>
                <w:sz w:val="18"/>
                <w:szCs w:val="18"/>
                <w:lang w:val="de-DE"/>
              </w:rPr>
              <w:t>National</w:t>
            </w:r>
          </w:p>
        </w:tc>
      </w:tr>
      <w:tr w:rsidR="00EF6D86" w:rsidRPr="00C34DE9" w14:paraId="1E71E351" w14:textId="77777777" w:rsidTr="240ABBB4">
        <w:tc>
          <w:tcPr>
            <w:tcW w:w="2943" w:type="dxa"/>
            <w:shd w:val="clear" w:color="auto" w:fill="auto"/>
          </w:tcPr>
          <w:p w14:paraId="7BB4423A"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8" w:type="dxa"/>
            <w:shd w:val="clear" w:color="auto" w:fill="auto"/>
          </w:tcPr>
          <w:p w14:paraId="4D5DB191" w14:textId="77777777" w:rsidR="00EF6D86" w:rsidRPr="006F1D90" w:rsidRDefault="00EF6D86" w:rsidP="00B3636B">
            <w:pPr>
              <w:spacing w:before="30" w:after="60" w:line="240" w:lineRule="auto"/>
              <w:rPr>
                <w:rFonts w:ascii="Verdana" w:eastAsia="Times New Roman" w:hAnsi="Verdana"/>
                <w:sz w:val="18"/>
                <w:szCs w:val="18"/>
              </w:rPr>
            </w:pPr>
            <w:r w:rsidRPr="006F1D90">
              <w:rPr>
                <w:rFonts w:ascii="Verdana" w:eastAsia="Times New Roman" w:hAnsi="Verdana"/>
                <w:sz w:val="18"/>
                <w:szCs w:val="18"/>
              </w:rPr>
              <w:t>Annual</w:t>
            </w:r>
          </w:p>
        </w:tc>
      </w:tr>
      <w:tr w:rsidR="00EF6D86" w:rsidRPr="00C34DE9" w14:paraId="4589480B" w14:textId="77777777" w:rsidTr="240ABBB4">
        <w:tc>
          <w:tcPr>
            <w:tcW w:w="2943" w:type="dxa"/>
            <w:shd w:val="clear" w:color="auto" w:fill="auto"/>
          </w:tcPr>
          <w:p w14:paraId="122A5386"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8" w:type="dxa"/>
            <w:shd w:val="clear" w:color="auto" w:fill="auto"/>
          </w:tcPr>
          <w:p w14:paraId="7CD2FEE3" w14:textId="77777777" w:rsidR="00EF6D86" w:rsidRPr="006F1D90" w:rsidRDefault="00EF6D86" w:rsidP="00B3636B">
            <w:pPr>
              <w:spacing w:after="60" w:line="240" w:lineRule="auto"/>
              <w:jc w:val="both"/>
              <w:rPr>
                <w:rFonts w:ascii="Verdana" w:hAnsi="Verdana"/>
                <w:sz w:val="18"/>
                <w:szCs w:val="18"/>
              </w:rPr>
            </w:pPr>
            <w:r w:rsidRPr="006F1D90">
              <w:rPr>
                <w:rFonts w:ascii="Verdana" w:hAnsi="Verdana"/>
                <w:sz w:val="18"/>
                <w:szCs w:val="18"/>
              </w:rPr>
              <w:t>1 year</w:t>
            </w:r>
          </w:p>
        </w:tc>
      </w:tr>
      <w:tr w:rsidR="00EF6D86" w:rsidRPr="00C34DE9" w14:paraId="6D579F63" w14:textId="77777777" w:rsidTr="240ABBB4">
        <w:tc>
          <w:tcPr>
            <w:tcW w:w="2943" w:type="dxa"/>
            <w:shd w:val="clear" w:color="auto" w:fill="auto"/>
          </w:tcPr>
          <w:p w14:paraId="3E9DB852" w14:textId="77777777" w:rsidR="00EF6D86" w:rsidRPr="00C34DE9" w:rsidRDefault="00EF6D86"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8" w:type="dxa"/>
            <w:shd w:val="clear" w:color="auto" w:fill="auto"/>
          </w:tcPr>
          <w:p w14:paraId="43B4F1F6" w14:textId="77777777" w:rsidR="00EF6D86" w:rsidRPr="006F1D90" w:rsidRDefault="00C836E8" w:rsidP="00FA7243">
            <w:pPr>
              <w:spacing w:after="60"/>
              <w:jc w:val="both"/>
              <w:rPr>
                <w:rFonts w:ascii="Verdana" w:hAnsi="Verdana"/>
                <w:sz w:val="18"/>
                <w:szCs w:val="18"/>
                <w:lang w:val="x-none"/>
              </w:rPr>
            </w:pPr>
            <w:r w:rsidRPr="006F1D90">
              <w:rPr>
                <w:rFonts w:ascii="Verdana" w:hAnsi="Verdana"/>
                <w:sz w:val="18"/>
                <w:szCs w:val="18"/>
              </w:rPr>
              <w:t>Figures should be interpreted with care owing to conceptual differences between the measurement of farmers’ income from agricultural activities and average wages in the economy, and to the lack of reliable data on full-time equivalent labour statistics for the total economy for some Member States.</w:t>
            </w:r>
          </w:p>
          <w:p w14:paraId="0FB351D9" w14:textId="77777777" w:rsidR="00E80CB8" w:rsidRPr="006F1D90" w:rsidRDefault="00E80CB8" w:rsidP="00FA7243">
            <w:pPr>
              <w:spacing w:after="60"/>
              <w:jc w:val="both"/>
              <w:rPr>
                <w:rFonts w:ascii="Verdana" w:hAnsi="Verdana"/>
                <w:sz w:val="18"/>
                <w:szCs w:val="18"/>
                <w:lang w:val="x-none"/>
              </w:rPr>
            </w:pPr>
            <w:r w:rsidRPr="006F1D90">
              <w:rPr>
                <w:rFonts w:ascii="Verdana" w:hAnsi="Verdana"/>
                <w:sz w:val="18"/>
                <w:szCs w:val="18"/>
                <w:lang w:val="x-none"/>
              </w:rPr>
              <w:t xml:space="preserve">Caution should </w:t>
            </w:r>
            <w:r w:rsidRPr="006F1D90">
              <w:rPr>
                <w:rFonts w:ascii="Verdana" w:hAnsi="Verdana"/>
                <w:sz w:val="18"/>
                <w:szCs w:val="18"/>
              </w:rPr>
              <w:t xml:space="preserve">also </w:t>
            </w:r>
            <w:r w:rsidRPr="006F1D90">
              <w:rPr>
                <w:rFonts w:ascii="Verdana" w:hAnsi="Verdana"/>
                <w:sz w:val="18"/>
                <w:szCs w:val="18"/>
                <w:lang w:val="x-none"/>
              </w:rPr>
              <w:t xml:space="preserve">be exercised when comparing absolute levels of agricultural </w:t>
            </w:r>
            <w:r w:rsidRPr="006F1D90">
              <w:rPr>
                <w:rFonts w:ascii="Verdana" w:hAnsi="Verdana"/>
                <w:sz w:val="18"/>
                <w:szCs w:val="18"/>
              </w:rPr>
              <w:t>entrepreneurial</w:t>
            </w:r>
            <w:r w:rsidRPr="006F1D90">
              <w:rPr>
                <w:rFonts w:ascii="Verdana" w:hAnsi="Verdana"/>
                <w:sz w:val="18"/>
                <w:szCs w:val="18"/>
                <w:lang w:val="x-none"/>
              </w:rPr>
              <w:t xml:space="preserve"> income per AWU </w:t>
            </w:r>
            <w:r w:rsidRPr="006F1D90">
              <w:rPr>
                <w:rFonts w:ascii="Verdana" w:hAnsi="Verdana"/>
                <w:sz w:val="18"/>
                <w:szCs w:val="18"/>
              </w:rPr>
              <w:t>since</w:t>
            </w:r>
            <w:r w:rsidRPr="006F1D90">
              <w:rPr>
                <w:rFonts w:ascii="Verdana" w:hAnsi="Verdana"/>
                <w:sz w:val="18"/>
                <w:szCs w:val="18"/>
                <w:lang w:val="x-none"/>
              </w:rPr>
              <w:t xml:space="preserve"> they are not specifically designed to be comparable across countries</w:t>
            </w:r>
            <w:r w:rsidRPr="006F1D90">
              <w:rPr>
                <w:rFonts w:ascii="Verdana" w:hAnsi="Verdana"/>
                <w:sz w:val="18"/>
                <w:szCs w:val="18"/>
              </w:rPr>
              <w:t xml:space="preserve"> and</w:t>
            </w:r>
            <w:r w:rsidRPr="006F1D90">
              <w:rPr>
                <w:rFonts w:ascii="Verdana" w:hAnsi="Verdana"/>
                <w:sz w:val="18"/>
                <w:szCs w:val="18"/>
                <w:lang w:val="x-none"/>
              </w:rPr>
              <w:t xml:space="preserve"> are influenced by different calculations depending on national rules. </w:t>
            </w:r>
          </w:p>
        </w:tc>
      </w:tr>
    </w:tbl>
    <w:p w14:paraId="558A8396" w14:textId="77777777" w:rsidR="00BD6BF6" w:rsidRPr="00C34DE9" w:rsidRDefault="00BD6BF6">
      <w:pPr>
        <w:rPr>
          <w:rFonts w:ascii="Verdana" w:hAnsi="Verdana"/>
          <w:sz w:val="18"/>
          <w:szCs w:val="18"/>
        </w:rPr>
      </w:pPr>
    </w:p>
    <w:p w14:paraId="3DE6FD9D" w14:textId="77777777" w:rsidR="00EC0167" w:rsidRPr="00C34DE9" w:rsidRDefault="00EC0167">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EC0167" w:rsidRPr="00C34DE9" w14:paraId="70F6E820"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00B0F0"/>
          </w:tcPr>
          <w:p w14:paraId="619C4DFE" w14:textId="54BA9F67" w:rsidR="00EC0167" w:rsidRPr="00C34DE9" w:rsidRDefault="00EC0167" w:rsidP="002D72D6">
            <w:pPr>
              <w:spacing w:after="60"/>
              <w:rPr>
                <w:rFonts w:ascii="Verdana" w:hAnsi="Verdana"/>
                <w:b/>
                <w:bCs/>
                <w:smallCaps/>
                <w:sz w:val="18"/>
                <w:szCs w:val="18"/>
              </w:rPr>
            </w:pPr>
            <w:bookmarkStart w:id="35" w:name="C26"/>
            <w:r w:rsidRPr="5CB4B133">
              <w:rPr>
                <w:rFonts w:ascii="Verdana" w:hAnsi="Verdana"/>
                <w:b/>
                <w:bCs/>
                <w:smallCaps/>
                <w:sz w:val="18"/>
                <w:szCs w:val="18"/>
              </w:rPr>
              <w:lastRenderedPageBreak/>
              <w:t>Indicator C.2</w:t>
            </w:r>
            <w:r w:rsidR="002D72D6">
              <w:rPr>
                <w:rFonts w:ascii="Verdana" w:hAnsi="Verdana"/>
                <w:b/>
                <w:bCs/>
                <w:smallCaps/>
                <w:sz w:val="18"/>
                <w:szCs w:val="18"/>
              </w:rPr>
              <w:t>7</w:t>
            </w:r>
            <w:bookmarkEnd w:id="35"/>
          </w:p>
        </w:tc>
        <w:tc>
          <w:tcPr>
            <w:tcW w:w="7088" w:type="dxa"/>
            <w:tcBorders>
              <w:top w:val="single" w:sz="4" w:space="0" w:color="auto"/>
              <w:left w:val="single" w:sz="4" w:space="0" w:color="auto"/>
              <w:bottom w:val="single" w:sz="4" w:space="0" w:color="auto"/>
              <w:right w:val="single" w:sz="4" w:space="0" w:color="auto"/>
            </w:tcBorders>
            <w:shd w:val="clear" w:color="auto" w:fill="00B0F0"/>
          </w:tcPr>
          <w:p w14:paraId="446900EF" w14:textId="11ED7028" w:rsidR="000A0E7B" w:rsidRDefault="000A0E7B" w:rsidP="000A0E7B">
            <w:pPr>
              <w:spacing w:after="60"/>
              <w:rPr>
                <w:rFonts w:ascii="Verdana" w:hAnsi="Verdana"/>
                <w:sz w:val="18"/>
                <w:szCs w:val="18"/>
              </w:rPr>
            </w:pPr>
            <w:bookmarkStart w:id="36" w:name="I04"/>
            <w:r w:rsidRPr="3B80D187">
              <w:rPr>
                <w:rFonts w:ascii="Verdana" w:hAnsi="Verdana"/>
                <w:b/>
                <w:bCs/>
                <w:sz w:val="18"/>
                <w:szCs w:val="18"/>
              </w:rPr>
              <w:t>Indicator I.4</w:t>
            </w:r>
            <w:bookmarkEnd w:id="36"/>
            <w:r w:rsidRPr="3B80D187">
              <w:rPr>
                <w:rFonts w:ascii="Verdana" w:hAnsi="Verdana"/>
                <w:b/>
                <w:bCs/>
                <w:sz w:val="18"/>
                <w:szCs w:val="18"/>
              </w:rPr>
              <w:t xml:space="preserve"> Supporting viable farm income</w:t>
            </w:r>
            <w:r w:rsidRPr="00DF348E">
              <w:rPr>
                <w:rFonts w:ascii="Verdana" w:hAnsi="Verdana"/>
                <w:sz w:val="18"/>
                <w:szCs w:val="18"/>
              </w:rPr>
              <w:t>:</w:t>
            </w:r>
            <w:r w:rsidRPr="3B80D187">
              <w:rPr>
                <w:rFonts w:ascii="Verdana" w:hAnsi="Verdana"/>
                <w:b/>
                <w:bCs/>
                <w:sz w:val="18"/>
                <w:szCs w:val="18"/>
              </w:rPr>
              <w:t xml:space="preserve"> </w:t>
            </w:r>
            <w:r w:rsidRPr="000A0E7B">
              <w:rPr>
                <w:rFonts w:ascii="Verdana" w:hAnsi="Verdana"/>
                <w:sz w:val="18"/>
                <w:szCs w:val="18"/>
              </w:rPr>
              <w:t xml:space="preserve">Evolution of agricultural income level by </w:t>
            </w:r>
            <w:r w:rsidR="004531EB">
              <w:rPr>
                <w:rFonts w:ascii="Verdana" w:hAnsi="Verdana"/>
                <w:sz w:val="18"/>
                <w:szCs w:val="18"/>
              </w:rPr>
              <w:t xml:space="preserve">type of farming </w:t>
            </w:r>
            <w:r w:rsidRPr="000A0E7B">
              <w:rPr>
                <w:rFonts w:ascii="Verdana" w:hAnsi="Verdana"/>
                <w:sz w:val="18"/>
                <w:szCs w:val="18"/>
              </w:rPr>
              <w:t>(compared to the average in agriculture)</w:t>
            </w:r>
          </w:p>
          <w:p w14:paraId="0B55ADBD" w14:textId="77777777" w:rsidR="00EC0167" w:rsidRPr="00C34DE9" w:rsidRDefault="00DF348E" w:rsidP="000A0E7B">
            <w:pPr>
              <w:spacing w:after="60"/>
              <w:rPr>
                <w:rFonts w:ascii="Verdana" w:hAnsi="Verdana"/>
                <w:caps/>
                <w:sz w:val="18"/>
                <w:szCs w:val="18"/>
              </w:rPr>
            </w:pPr>
            <w:bookmarkStart w:id="37" w:name="I05"/>
            <w:r w:rsidRPr="5CB4B133">
              <w:rPr>
                <w:rFonts w:ascii="Verdana" w:hAnsi="Verdana"/>
                <w:b/>
                <w:bCs/>
                <w:sz w:val="18"/>
                <w:szCs w:val="18"/>
              </w:rPr>
              <w:t xml:space="preserve">Indicator </w:t>
            </w:r>
            <w:r w:rsidR="000A0E7B" w:rsidRPr="5CB4B133">
              <w:rPr>
                <w:rFonts w:ascii="Verdana" w:hAnsi="Verdana"/>
                <w:b/>
                <w:bCs/>
                <w:sz w:val="18"/>
                <w:szCs w:val="18"/>
              </w:rPr>
              <w:t>I.5</w:t>
            </w:r>
            <w:bookmarkEnd w:id="37"/>
            <w:r w:rsidR="000A0E7B" w:rsidRPr="5CB4B133">
              <w:rPr>
                <w:rFonts w:ascii="Verdana" w:hAnsi="Verdana"/>
                <w:b/>
                <w:bCs/>
                <w:sz w:val="18"/>
                <w:szCs w:val="18"/>
              </w:rPr>
              <w:t xml:space="preserve"> Contributing to territorial balance</w:t>
            </w:r>
            <w:r w:rsidR="000A0E7B" w:rsidRPr="000A0E7B">
              <w:rPr>
                <w:rFonts w:ascii="Verdana" w:hAnsi="Verdana"/>
                <w:sz w:val="18"/>
                <w:szCs w:val="18"/>
              </w:rPr>
              <w:t>: Evolution of agricultural income in areas with natural constraints (compared to the average)</w:t>
            </w:r>
          </w:p>
        </w:tc>
      </w:tr>
      <w:tr w:rsidR="00EC0167" w:rsidRPr="00C34DE9" w14:paraId="3D24552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41183997"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t>Indicator Name</w:t>
            </w:r>
          </w:p>
        </w:tc>
        <w:tc>
          <w:tcPr>
            <w:tcW w:w="7088" w:type="dxa"/>
            <w:tcBorders>
              <w:top w:val="single" w:sz="4" w:space="0" w:color="auto"/>
              <w:left w:val="single" w:sz="4" w:space="0" w:color="auto"/>
              <w:bottom w:val="single" w:sz="4" w:space="0" w:color="auto"/>
              <w:right w:val="single" w:sz="4" w:space="0" w:color="auto"/>
            </w:tcBorders>
          </w:tcPr>
          <w:p w14:paraId="59661AF0" w14:textId="77AB11BE" w:rsidR="00EC0167" w:rsidRPr="00C34DE9" w:rsidRDefault="00EC0167" w:rsidP="3F4AE0BD">
            <w:pPr>
              <w:spacing w:before="120" w:after="60"/>
              <w:jc w:val="center"/>
              <w:rPr>
                <w:rFonts w:ascii="Verdana" w:hAnsi="Verdana"/>
                <w:b/>
                <w:bCs/>
                <w:sz w:val="18"/>
                <w:szCs w:val="18"/>
              </w:rPr>
            </w:pPr>
            <w:r w:rsidRPr="3F4AE0BD">
              <w:rPr>
                <w:rFonts w:ascii="Verdana" w:hAnsi="Verdana"/>
                <w:b/>
                <w:bCs/>
                <w:sz w:val="18"/>
                <w:szCs w:val="18"/>
              </w:rPr>
              <w:t xml:space="preserve">Farm </w:t>
            </w:r>
            <w:r w:rsidR="00EC026F" w:rsidRPr="3F4AE0BD">
              <w:rPr>
                <w:rFonts w:ascii="Verdana" w:hAnsi="Verdana"/>
                <w:b/>
                <w:bCs/>
                <w:sz w:val="18"/>
                <w:szCs w:val="18"/>
              </w:rPr>
              <w:t>income by type of farming, region, by farm size, in areas facing natural and other specific constraints</w:t>
            </w:r>
          </w:p>
        </w:tc>
      </w:tr>
      <w:tr w:rsidR="00EC0167" w:rsidRPr="00C34DE9" w14:paraId="7E96FCA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35E3D5EB"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088" w:type="dxa"/>
            <w:tcBorders>
              <w:top w:val="single" w:sz="4" w:space="0" w:color="auto"/>
              <w:left w:val="single" w:sz="4" w:space="0" w:color="auto"/>
              <w:bottom w:val="single" w:sz="4" w:space="0" w:color="auto"/>
              <w:right w:val="single" w:sz="4" w:space="0" w:color="auto"/>
            </w:tcBorders>
          </w:tcPr>
          <w:p w14:paraId="009271EA" w14:textId="77777777" w:rsidR="00EC0167" w:rsidRPr="00C34DE9" w:rsidRDefault="00EC0167" w:rsidP="5CB4B133">
            <w:pPr>
              <w:pStyle w:val="Text1"/>
              <w:spacing w:after="60"/>
              <w:ind w:left="0"/>
              <w:rPr>
                <w:rFonts w:ascii="Verdana" w:hAnsi="Verdana"/>
                <w:sz w:val="18"/>
                <w:szCs w:val="18"/>
              </w:rPr>
            </w:pPr>
            <w:r w:rsidRPr="5CB4B133">
              <w:rPr>
                <w:rFonts w:ascii="Verdana" w:hAnsi="Verdana"/>
                <w:b/>
                <w:bCs/>
                <w:sz w:val="18"/>
                <w:szCs w:val="18"/>
              </w:rPr>
              <w:t xml:space="preserve">Farm net value added (FNVA) </w:t>
            </w:r>
            <w:r w:rsidRPr="5CB4B133">
              <w:rPr>
                <w:rFonts w:ascii="Verdana" w:hAnsi="Verdana"/>
                <w:sz w:val="18"/>
                <w:szCs w:val="18"/>
              </w:rPr>
              <w:t>is the portion of agricultural output value that can be used to remunerate the fixed factors of production (labour, land and capital), whether they are external or family-owned factors. As a result, agricultural holdings can be compared regardless of the family/non-family nature of the factors of production used.</w:t>
            </w:r>
          </w:p>
          <w:p w14:paraId="0D28D3CF" w14:textId="77777777" w:rsidR="00EC0167" w:rsidRPr="00C34DE9" w:rsidRDefault="00EC0167" w:rsidP="5CB4B133">
            <w:pPr>
              <w:pStyle w:val="Text1"/>
              <w:spacing w:after="120"/>
              <w:ind w:left="0"/>
              <w:rPr>
                <w:rFonts w:ascii="Verdana" w:hAnsi="Verdana"/>
                <w:sz w:val="18"/>
                <w:szCs w:val="18"/>
              </w:rPr>
            </w:pPr>
            <w:r w:rsidRPr="5CB4B133">
              <w:rPr>
                <w:rFonts w:ascii="Verdana" w:hAnsi="Verdana"/>
                <w:sz w:val="18"/>
                <w:szCs w:val="18"/>
              </w:rPr>
              <w:t>It is calculated as follows:</w:t>
            </w:r>
          </w:p>
          <w:p w14:paraId="72526FB5" w14:textId="77777777" w:rsidR="00EC0167" w:rsidRPr="00C34DE9" w:rsidRDefault="00EC0167" w:rsidP="5CB4B133">
            <w:pPr>
              <w:pStyle w:val="Text1"/>
              <w:spacing w:after="60"/>
              <w:ind w:left="0" w:firstLine="720"/>
              <w:rPr>
                <w:rFonts w:ascii="Verdana" w:hAnsi="Verdana"/>
                <w:sz w:val="18"/>
                <w:szCs w:val="18"/>
              </w:rPr>
            </w:pPr>
            <w:r w:rsidRPr="5CB4B133">
              <w:rPr>
                <w:rFonts w:ascii="Verdana" w:hAnsi="Verdana"/>
                <w:sz w:val="18"/>
                <w:szCs w:val="18"/>
              </w:rPr>
              <w:t>Value of agricultural production</w:t>
            </w:r>
          </w:p>
          <w:p w14:paraId="5F947158"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Pillar I and Pillar II payments </w:t>
            </w:r>
          </w:p>
          <w:p w14:paraId="5CCD257E"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any national subsidies </w:t>
            </w:r>
          </w:p>
          <w:p w14:paraId="45243B86"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VAT balance </w:t>
            </w:r>
          </w:p>
          <w:p w14:paraId="1A0C5AF9"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intermediate consumption </w:t>
            </w:r>
          </w:p>
          <w:p w14:paraId="670ACD62"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xml:space="preserve">- farm taxes (income taxes are not included) </w:t>
            </w:r>
          </w:p>
          <w:p w14:paraId="24761B05" w14:textId="77777777" w:rsidR="00EC0167" w:rsidRPr="00C34DE9" w:rsidRDefault="00EC0167" w:rsidP="5CB4B133">
            <w:pPr>
              <w:pStyle w:val="Text1"/>
              <w:spacing w:after="60"/>
              <w:ind w:left="1440"/>
              <w:rPr>
                <w:rFonts w:ascii="Verdana" w:hAnsi="Verdana"/>
                <w:sz w:val="18"/>
                <w:szCs w:val="18"/>
              </w:rPr>
            </w:pPr>
            <w:r w:rsidRPr="5CB4B133">
              <w:rPr>
                <w:rFonts w:ascii="Verdana" w:hAnsi="Verdana"/>
                <w:sz w:val="18"/>
                <w:szCs w:val="18"/>
              </w:rPr>
              <w:t>- depreciation.</w:t>
            </w:r>
          </w:p>
          <w:p w14:paraId="61F7504D" w14:textId="77777777" w:rsidR="00EC0167" w:rsidRPr="00C34DE9" w:rsidRDefault="00EC0167" w:rsidP="5CB4B133">
            <w:pPr>
              <w:pStyle w:val="Text1"/>
              <w:spacing w:after="60"/>
              <w:ind w:left="0" w:firstLine="720"/>
              <w:rPr>
                <w:rFonts w:ascii="Verdana" w:hAnsi="Verdana"/>
                <w:b/>
                <w:bCs/>
                <w:sz w:val="18"/>
                <w:szCs w:val="18"/>
              </w:rPr>
            </w:pPr>
            <w:r w:rsidRPr="5CB4B133">
              <w:rPr>
                <w:rFonts w:ascii="Verdana" w:hAnsi="Verdana"/>
                <w:b/>
                <w:bCs/>
                <w:sz w:val="18"/>
                <w:szCs w:val="18"/>
              </w:rPr>
              <w:t>= Farm Net Value Added</w:t>
            </w:r>
          </w:p>
          <w:p w14:paraId="67D090BB" w14:textId="77777777" w:rsidR="00EC0167" w:rsidRPr="00C34DE9" w:rsidRDefault="00EC0167" w:rsidP="00661E40">
            <w:pPr>
              <w:pStyle w:val="Text1"/>
              <w:spacing w:after="60"/>
              <w:ind w:left="0"/>
              <w:rPr>
                <w:rFonts w:ascii="Verdana" w:hAnsi="Verdana"/>
                <w:iCs/>
                <w:sz w:val="18"/>
                <w:szCs w:val="18"/>
              </w:rPr>
            </w:pPr>
          </w:p>
          <w:p w14:paraId="474D5250" w14:textId="77777777" w:rsidR="00EC0167" w:rsidRPr="00C34DE9" w:rsidRDefault="00EC0167" w:rsidP="5CB4B133">
            <w:pPr>
              <w:pStyle w:val="Text1"/>
              <w:spacing w:after="60"/>
              <w:ind w:left="0"/>
              <w:rPr>
                <w:rFonts w:ascii="Verdana" w:hAnsi="Verdana"/>
                <w:sz w:val="18"/>
                <w:szCs w:val="18"/>
              </w:rPr>
            </w:pPr>
            <w:r w:rsidRPr="5CB4B133">
              <w:rPr>
                <w:rFonts w:ascii="Verdana" w:hAnsi="Verdana"/>
                <w:sz w:val="18"/>
                <w:szCs w:val="18"/>
              </w:rPr>
              <w:t>The value is calculated per annual work unit (AWU) in order to take into account the differences in the scale of farms and to obtain a better measure of the productivity of the agricultural workforce.</w:t>
            </w:r>
          </w:p>
          <w:p w14:paraId="7C5BB4FB" w14:textId="77777777" w:rsidR="00EC0167" w:rsidRPr="00C34DE9" w:rsidRDefault="00EC0167" w:rsidP="3F4AE0BD">
            <w:pPr>
              <w:spacing w:before="120" w:after="60"/>
              <w:rPr>
                <w:rFonts w:ascii="Verdana" w:eastAsia="Times New Roman" w:hAnsi="Verdana"/>
                <w:sz w:val="18"/>
                <w:szCs w:val="18"/>
              </w:rPr>
            </w:pPr>
            <w:r w:rsidRPr="3F4AE0BD">
              <w:rPr>
                <w:rFonts w:ascii="Verdana" w:eastAsia="Times New Roman" w:hAnsi="Verdana"/>
                <w:sz w:val="18"/>
                <w:szCs w:val="18"/>
              </w:rPr>
              <w:t xml:space="preserve">The indicator consists of </w:t>
            </w:r>
            <w:r w:rsidR="007C2BEC" w:rsidRPr="3F4AE0BD">
              <w:rPr>
                <w:rFonts w:ascii="Verdana" w:eastAsia="Times New Roman" w:hAnsi="Verdana"/>
                <w:sz w:val="18"/>
                <w:szCs w:val="18"/>
              </w:rPr>
              <w:t>5</w:t>
            </w:r>
            <w:r w:rsidRPr="3F4AE0BD">
              <w:rPr>
                <w:rFonts w:ascii="Verdana" w:eastAsia="Times New Roman" w:hAnsi="Verdana"/>
                <w:sz w:val="18"/>
                <w:szCs w:val="18"/>
              </w:rPr>
              <w:t xml:space="preserve"> </w:t>
            </w:r>
            <w:r w:rsidR="00DD478B" w:rsidRPr="3F4AE0BD">
              <w:rPr>
                <w:rFonts w:ascii="Verdana" w:eastAsia="Times New Roman" w:hAnsi="Verdana"/>
                <w:sz w:val="18"/>
                <w:szCs w:val="18"/>
              </w:rPr>
              <w:t>specific indicators</w:t>
            </w:r>
            <w:r w:rsidRPr="3F4AE0BD">
              <w:rPr>
                <w:rFonts w:ascii="Verdana" w:eastAsia="Times New Roman" w:hAnsi="Verdana"/>
                <w:sz w:val="18"/>
                <w:szCs w:val="18"/>
              </w:rPr>
              <w:t xml:space="preserve">: </w:t>
            </w:r>
          </w:p>
          <w:p w14:paraId="653AECEE"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EC0167" w:rsidRPr="5CB4B133">
              <w:rPr>
                <w:rFonts w:ascii="Verdana" w:hAnsi="Verdana"/>
                <w:b/>
                <w:bCs/>
                <w:sz w:val="18"/>
                <w:szCs w:val="18"/>
              </w:rPr>
              <w:t>y type of farming</w:t>
            </w:r>
          </w:p>
          <w:p w14:paraId="20A04818"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EC0167" w:rsidRPr="5CB4B133">
              <w:rPr>
                <w:rFonts w:ascii="Verdana" w:hAnsi="Verdana"/>
                <w:b/>
                <w:bCs/>
                <w:sz w:val="18"/>
                <w:szCs w:val="18"/>
              </w:rPr>
              <w:t>y region</w:t>
            </w:r>
          </w:p>
          <w:p w14:paraId="3FFA8E32"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EC0167" w:rsidRPr="5CB4B133">
              <w:rPr>
                <w:rFonts w:ascii="Verdana" w:hAnsi="Verdana"/>
                <w:b/>
                <w:bCs/>
                <w:sz w:val="18"/>
                <w:szCs w:val="18"/>
              </w:rPr>
              <w:t xml:space="preserve">y </w:t>
            </w:r>
            <w:r w:rsidR="00FC75A6" w:rsidRPr="5CB4B133">
              <w:rPr>
                <w:rFonts w:ascii="Verdana" w:hAnsi="Verdana"/>
                <w:b/>
                <w:bCs/>
                <w:sz w:val="18"/>
                <w:szCs w:val="18"/>
              </w:rPr>
              <w:t xml:space="preserve">economic </w:t>
            </w:r>
            <w:r w:rsidR="00EC0167" w:rsidRPr="5CB4B133">
              <w:rPr>
                <w:rFonts w:ascii="Verdana" w:hAnsi="Verdana"/>
                <w:b/>
                <w:bCs/>
                <w:sz w:val="18"/>
                <w:szCs w:val="18"/>
              </w:rPr>
              <w:t>farm size</w:t>
            </w:r>
          </w:p>
          <w:p w14:paraId="0A2DE6F7" w14:textId="77777777" w:rsidR="00FC75A6"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b</w:t>
            </w:r>
            <w:r w:rsidR="007E4E47" w:rsidRPr="5CB4B133">
              <w:rPr>
                <w:rFonts w:ascii="Verdana" w:hAnsi="Verdana"/>
                <w:b/>
                <w:bCs/>
                <w:sz w:val="18"/>
                <w:szCs w:val="18"/>
              </w:rPr>
              <w:t>y physical farm size</w:t>
            </w:r>
          </w:p>
          <w:p w14:paraId="1E023A32" w14:textId="77777777" w:rsidR="00EC0167" w:rsidRPr="007D3E04" w:rsidRDefault="007D3E04" w:rsidP="5CB4B133">
            <w:pPr>
              <w:pStyle w:val="ListParagraph"/>
              <w:numPr>
                <w:ilvl w:val="0"/>
                <w:numId w:val="32"/>
              </w:numPr>
              <w:spacing w:before="120" w:after="60"/>
              <w:rPr>
                <w:rFonts w:ascii="Verdana" w:hAnsi="Verdana"/>
                <w:b/>
                <w:bCs/>
                <w:sz w:val="18"/>
                <w:szCs w:val="18"/>
              </w:rPr>
            </w:pPr>
            <w:r w:rsidRPr="5CB4B133">
              <w:rPr>
                <w:rFonts w:ascii="Verdana" w:hAnsi="Verdana"/>
                <w:b/>
                <w:bCs/>
                <w:sz w:val="18"/>
                <w:szCs w:val="18"/>
              </w:rPr>
              <w:t>Farm net value added i</w:t>
            </w:r>
            <w:r w:rsidR="00EC0167" w:rsidRPr="5CB4B133">
              <w:rPr>
                <w:rFonts w:ascii="Verdana" w:hAnsi="Verdana"/>
                <w:b/>
                <w:bCs/>
                <w:sz w:val="18"/>
                <w:szCs w:val="18"/>
              </w:rPr>
              <w:t>n areas facing natural and other specific constraints</w:t>
            </w:r>
          </w:p>
          <w:p w14:paraId="567F46F0" w14:textId="2CD9FEF5" w:rsidR="00EC0167" w:rsidRDefault="00EC0167" w:rsidP="003B43D9">
            <w:pPr>
              <w:spacing w:before="120" w:after="60"/>
              <w:rPr>
                <w:rFonts w:ascii="Verdana" w:hAnsi="Verdana"/>
                <w:sz w:val="18"/>
                <w:szCs w:val="18"/>
              </w:rPr>
            </w:pPr>
            <w:r w:rsidRPr="00C34DE9">
              <w:rPr>
                <w:rFonts w:ascii="Verdana" w:hAnsi="Verdana"/>
                <w:sz w:val="18"/>
                <w:szCs w:val="18"/>
              </w:rPr>
              <w:t xml:space="preserve">For the grouping according to type of farming and economic size, the general types of farming (TF8) and economic size class (ES6) definitions, as implemented in the Farm Accountancy Data Network (FADN), will be used (see </w:t>
            </w:r>
            <w:hyperlink r:id="rId118" w:history="1">
              <w:r w:rsidR="003B43D9">
                <w:rPr>
                  <w:rStyle w:val="Hyperlink"/>
                </w:rPr>
                <w:t>European Commission | Agri food-data | Farm Economics (europa.eu)</w:t>
              </w:r>
            </w:hyperlink>
            <w:r w:rsidRPr="00C34DE9">
              <w:rPr>
                <w:rFonts w:ascii="Verdana" w:hAnsi="Verdana"/>
                <w:sz w:val="18"/>
                <w:szCs w:val="18"/>
              </w:rPr>
              <w:t>).</w:t>
            </w:r>
          </w:p>
          <w:p w14:paraId="6BD1368F" w14:textId="77777777" w:rsidR="000A0E7B" w:rsidRDefault="000A0E7B" w:rsidP="00661E40">
            <w:pPr>
              <w:autoSpaceDE w:val="0"/>
              <w:autoSpaceDN w:val="0"/>
              <w:adjustRightInd w:val="0"/>
              <w:spacing w:after="120" w:line="240" w:lineRule="auto"/>
              <w:jc w:val="both"/>
              <w:rPr>
                <w:rFonts w:ascii="Verdana" w:hAnsi="Verdana"/>
                <w:sz w:val="18"/>
                <w:szCs w:val="18"/>
              </w:rPr>
            </w:pPr>
          </w:p>
          <w:p w14:paraId="5426EFD4" w14:textId="685E4DC6" w:rsidR="000A0E7B" w:rsidRDefault="000A0E7B" w:rsidP="000A0E7B">
            <w:pPr>
              <w:shd w:val="clear" w:color="auto" w:fill="00B0F0"/>
              <w:autoSpaceDE w:val="0"/>
              <w:autoSpaceDN w:val="0"/>
              <w:adjustRightInd w:val="0"/>
              <w:spacing w:after="120" w:line="240" w:lineRule="auto"/>
              <w:jc w:val="both"/>
              <w:rPr>
                <w:rFonts w:ascii="Verdana" w:hAnsi="Verdana"/>
                <w:sz w:val="18"/>
                <w:szCs w:val="18"/>
              </w:rPr>
            </w:pPr>
            <w:r w:rsidRPr="3F4AE0BD">
              <w:rPr>
                <w:rFonts w:ascii="Verdana" w:hAnsi="Verdana"/>
                <w:b/>
                <w:bCs/>
                <w:sz w:val="18"/>
                <w:szCs w:val="18"/>
              </w:rPr>
              <w:t>Indicator I.4</w:t>
            </w:r>
            <w:r w:rsidR="00335CD9" w:rsidRPr="3F4AE0BD">
              <w:rPr>
                <w:rFonts w:ascii="Verdana" w:hAnsi="Verdana"/>
                <w:b/>
                <w:bCs/>
                <w:sz w:val="18"/>
                <w:szCs w:val="18"/>
              </w:rPr>
              <w:t xml:space="preserve"> Supporting viable farm income: </w:t>
            </w:r>
            <w:r w:rsidR="00335CD9" w:rsidRPr="00335CD9">
              <w:rPr>
                <w:rFonts w:ascii="Verdana" w:hAnsi="Verdana"/>
                <w:sz w:val="18"/>
                <w:szCs w:val="18"/>
              </w:rPr>
              <w:t xml:space="preserve">Evolution of agricultural income level by </w:t>
            </w:r>
            <w:r w:rsidR="002D72D6">
              <w:rPr>
                <w:rFonts w:ascii="Verdana" w:hAnsi="Verdana"/>
                <w:sz w:val="18"/>
                <w:szCs w:val="18"/>
              </w:rPr>
              <w:t>type of farming</w:t>
            </w:r>
            <w:r w:rsidR="00335CD9" w:rsidRPr="00335CD9">
              <w:rPr>
                <w:rFonts w:ascii="Verdana" w:hAnsi="Verdana"/>
                <w:sz w:val="18"/>
                <w:szCs w:val="18"/>
              </w:rPr>
              <w:t xml:space="preserve"> (compared to the average in agriculture)</w:t>
            </w:r>
            <w:r>
              <w:rPr>
                <w:rFonts w:ascii="Verdana" w:hAnsi="Verdana"/>
                <w:sz w:val="18"/>
                <w:szCs w:val="18"/>
              </w:rPr>
              <w:t>.</w:t>
            </w:r>
          </w:p>
          <w:p w14:paraId="74CB76CC" w14:textId="4E2F3609" w:rsidR="000A0E7B" w:rsidRPr="00C34DE9" w:rsidRDefault="000A0E7B" w:rsidP="000A0E7B">
            <w:pPr>
              <w:shd w:val="clear" w:color="auto" w:fill="00B0F0"/>
              <w:autoSpaceDE w:val="0"/>
              <w:autoSpaceDN w:val="0"/>
              <w:adjustRightInd w:val="0"/>
              <w:spacing w:after="120" w:line="240" w:lineRule="auto"/>
              <w:jc w:val="both"/>
              <w:rPr>
                <w:rFonts w:ascii="Verdana" w:hAnsi="Verdana"/>
                <w:sz w:val="18"/>
                <w:szCs w:val="18"/>
              </w:rPr>
            </w:pPr>
            <w:r w:rsidRPr="3F4AE0BD">
              <w:rPr>
                <w:rFonts w:ascii="Verdana" w:hAnsi="Verdana"/>
                <w:b/>
                <w:bCs/>
                <w:sz w:val="18"/>
                <w:szCs w:val="18"/>
              </w:rPr>
              <w:t>Indicator I.5</w:t>
            </w:r>
            <w:r w:rsidR="00335CD9" w:rsidRPr="3F4AE0BD">
              <w:rPr>
                <w:rFonts w:ascii="Verdana" w:hAnsi="Verdana"/>
                <w:b/>
                <w:bCs/>
                <w:sz w:val="18"/>
                <w:szCs w:val="18"/>
              </w:rPr>
              <w:t xml:space="preserve"> Contributing to territorial balance: </w:t>
            </w:r>
            <w:r w:rsidR="00335CD9" w:rsidRPr="00335CD9">
              <w:rPr>
                <w:rFonts w:ascii="Verdana" w:hAnsi="Verdana"/>
                <w:sz w:val="18"/>
                <w:szCs w:val="18"/>
              </w:rPr>
              <w:t>Evolution of agricultural income in areas with natural constraints (compared to the average)</w:t>
            </w:r>
            <w:r w:rsidR="00335CD9">
              <w:rPr>
                <w:rFonts w:ascii="Verdana" w:hAnsi="Verdana"/>
                <w:sz w:val="18"/>
                <w:szCs w:val="18"/>
              </w:rPr>
              <w:t>.</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58"/>
              <w:gridCol w:w="2896"/>
              <w:gridCol w:w="3618"/>
            </w:tblGrid>
            <w:tr w:rsidR="00EC0167" w:rsidRPr="00C34DE9" w14:paraId="3B92E5D8" w14:textId="77777777" w:rsidTr="240ABBB4">
              <w:trPr>
                <w:tblCellSpacing w:w="7" w:type="dxa"/>
              </w:trPr>
              <w:tc>
                <w:tcPr>
                  <w:tcW w:w="0" w:type="auto"/>
                  <w:shd w:val="clear" w:color="auto" w:fill="FFFFFF" w:themeFill="background1"/>
                  <w:vAlign w:val="center"/>
                </w:tcPr>
                <w:p w14:paraId="3C9967B2" w14:textId="782E8202" w:rsidR="00EC0167" w:rsidRPr="00C34DE9" w:rsidRDefault="00C63CAF" w:rsidP="00661E40">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1:</w:t>
                  </w:r>
                </w:p>
              </w:tc>
              <w:tc>
                <w:tcPr>
                  <w:tcW w:w="2114" w:type="pct"/>
                  <w:shd w:val="clear" w:color="auto" w:fill="FFFFFF" w:themeFill="background1"/>
                  <w:vAlign w:val="center"/>
                </w:tcPr>
                <w:p w14:paraId="642BED9B" w14:textId="77777777" w:rsidR="00EC0167" w:rsidRPr="00C34DE9" w:rsidRDefault="00EC0167" w:rsidP="00661E40">
                  <w:pPr>
                    <w:spacing w:after="0" w:line="240" w:lineRule="auto"/>
                    <w:rPr>
                      <w:rFonts w:ascii="Verdana" w:eastAsia="Times New Roman" w:hAnsi="Verdana"/>
                      <w:b/>
                      <w:bCs/>
                      <w:color w:val="000000"/>
                      <w:sz w:val="18"/>
                      <w:szCs w:val="18"/>
                    </w:rPr>
                  </w:pPr>
                  <w:r w:rsidRPr="00C34DE9">
                    <w:rPr>
                      <w:rFonts w:ascii="Verdana" w:eastAsia="Times New Roman" w:hAnsi="Verdana"/>
                      <w:b/>
                      <w:bCs/>
                      <w:color w:val="000000"/>
                      <w:sz w:val="18"/>
                      <w:szCs w:val="18"/>
                    </w:rPr>
                    <w:t>TF8</w:t>
                  </w:r>
                </w:p>
              </w:tc>
              <w:tc>
                <w:tcPr>
                  <w:tcW w:w="2639" w:type="pct"/>
                  <w:shd w:val="clear" w:color="auto" w:fill="FFFFFF" w:themeFill="background1"/>
                  <w:vAlign w:val="center"/>
                </w:tcPr>
                <w:p w14:paraId="04473A44" w14:textId="2E5E0A55" w:rsidR="00EC0167" w:rsidRPr="00C34DE9" w:rsidRDefault="00C63CAF" w:rsidP="00661E40">
                  <w:pPr>
                    <w:spacing w:after="0" w:line="240" w:lineRule="auto"/>
                    <w:rPr>
                      <w:rFonts w:ascii="Verdana" w:eastAsia="Times New Roman" w:hAnsi="Verdana"/>
                      <w:color w:val="000000"/>
                      <w:sz w:val="18"/>
                      <w:szCs w:val="18"/>
                    </w:rPr>
                  </w:pPr>
                  <w:r w:rsidRPr="7D5D9235">
                    <w:rPr>
                      <w:rFonts w:ascii="Verdana" w:eastAsia="Times New Roman" w:hAnsi="Verdana"/>
                      <w:color w:val="000000"/>
                      <w:sz w:val="18"/>
                      <w:szCs w:val="18"/>
                    </w:rPr>
                    <w:t>3:</w:t>
                  </w:r>
                  <w:r>
                    <w:rPr>
                      <w:rFonts w:ascii="Verdana" w:eastAsia="Times New Roman" w:hAnsi="Verdana"/>
                      <w:b/>
                      <w:bCs/>
                      <w:color w:val="000000"/>
                      <w:sz w:val="18"/>
                      <w:szCs w:val="18"/>
                    </w:rPr>
                    <w:t xml:space="preserve"> </w:t>
                  </w:r>
                  <w:r w:rsidR="00EC0167" w:rsidRPr="00C34DE9">
                    <w:rPr>
                      <w:rFonts w:ascii="Verdana" w:eastAsia="Times New Roman" w:hAnsi="Verdana"/>
                      <w:b/>
                      <w:bCs/>
                      <w:color w:val="000000"/>
                      <w:sz w:val="18"/>
                      <w:szCs w:val="18"/>
                    </w:rPr>
                    <w:t>ES6 grouping</w:t>
                  </w:r>
                </w:p>
              </w:tc>
            </w:tr>
            <w:tr w:rsidR="00EC0167" w:rsidRPr="00C34DE9" w14:paraId="6C2465CF" w14:textId="77777777" w:rsidTr="240ABBB4">
              <w:trPr>
                <w:tblCellSpacing w:w="7" w:type="dxa"/>
              </w:trPr>
              <w:tc>
                <w:tcPr>
                  <w:tcW w:w="0" w:type="auto"/>
                  <w:shd w:val="clear" w:color="auto" w:fill="FFFFFF" w:themeFill="background1"/>
                  <w:vAlign w:val="center"/>
                  <w:hideMark/>
                </w:tcPr>
                <w:p w14:paraId="0D887094"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1</w:t>
                  </w:r>
                </w:p>
              </w:tc>
              <w:tc>
                <w:tcPr>
                  <w:tcW w:w="2114" w:type="pct"/>
                  <w:shd w:val="clear" w:color="auto" w:fill="FFFFFF" w:themeFill="background1"/>
                  <w:vAlign w:val="center"/>
                  <w:hideMark/>
                </w:tcPr>
                <w:p w14:paraId="4653A0D4"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Fieldcrops</w:t>
                  </w:r>
                </w:p>
              </w:tc>
              <w:tc>
                <w:tcPr>
                  <w:tcW w:w="2639" w:type="pct"/>
                  <w:shd w:val="clear" w:color="auto" w:fill="FFFFFF" w:themeFill="background1"/>
                  <w:vAlign w:val="center"/>
                </w:tcPr>
                <w:p w14:paraId="114DAE4C" w14:textId="5CF47C88" w:rsidR="00EC0167" w:rsidRPr="00C34DE9" w:rsidRDefault="00AF7DEF" w:rsidP="00661E40">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4</w:t>
                  </w:r>
                  <w:r w:rsidR="00EC0167" w:rsidRPr="00C34DE9">
                    <w:rPr>
                      <w:rFonts w:ascii="Verdana" w:eastAsia="Times New Roman" w:hAnsi="Verdana"/>
                      <w:color w:val="000000"/>
                      <w:sz w:val="18"/>
                      <w:szCs w:val="18"/>
                    </w:rPr>
                    <w:t xml:space="preserve"> 000 - &lt; 8 000 EUR</w:t>
                  </w:r>
                </w:p>
              </w:tc>
            </w:tr>
            <w:tr w:rsidR="00EC0167" w:rsidRPr="00C34DE9" w14:paraId="4E10B76D" w14:textId="77777777" w:rsidTr="240ABBB4">
              <w:trPr>
                <w:tblCellSpacing w:w="7" w:type="dxa"/>
              </w:trPr>
              <w:tc>
                <w:tcPr>
                  <w:tcW w:w="0" w:type="auto"/>
                  <w:shd w:val="clear" w:color="auto" w:fill="FFFFFF" w:themeFill="background1"/>
                  <w:vAlign w:val="center"/>
                  <w:hideMark/>
                </w:tcPr>
                <w:p w14:paraId="4B62ABF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2</w:t>
                  </w:r>
                </w:p>
              </w:tc>
              <w:tc>
                <w:tcPr>
                  <w:tcW w:w="2114" w:type="pct"/>
                  <w:shd w:val="clear" w:color="auto" w:fill="FFFFFF" w:themeFill="background1"/>
                  <w:vAlign w:val="center"/>
                  <w:hideMark/>
                </w:tcPr>
                <w:p w14:paraId="236CD111"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Horticulture</w:t>
                  </w:r>
                </w:p>
              </w:tc>
              <w:tc>
                <w:tcPr>
                  <w:tcW w:w="2639" w:type="pct"/>
                  <w:shd w:val="clear" w:color="auto" w:fill="FFFFFF" w:themeFill="background1"/>
                  <w:vAlign w:val="center"/>
                </w:tcPr>
                <w:p w14:paraId="209D4FF2"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8 000 - &lt; 25 000 EUR</w:t>
                  </w:r>
                </w:p>
              </w:tc>
            </w:tr>
            <w:tr w:rsidR="00EC0167" w:rsidRPr="00C34DE9" w14:paraId="7052E87D" w14:textId="77777777" w:rsidTr="240ABBB4">
              <w:trPr>
                <w:tblCellSpacing w:w="7" w:type="dxa"/>
              </w:trPr>
              <w:tc>
                <w:tcPr>
                  <w:tcW w:w="0" w:type="auto"/>
                  <w:shd w:val="clear" w:color="auto" w:fill="FFFFFF" w:themeFill="background1"/>
                  <w:vAlign w:val="center"/>
                  <w:hideMark/>
                </w:tcPr>
                <w:p w14:paraId="7259B97F"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lastRenderedPageBreak/>
                    <w:t>3</w:t>
                  </w:r>
                </w:p>
              </w:tc>
              <w:tc>
                <w:tcPr>
                  <w:tcW w:w="2114" w:type="pct"/>
                  <w:shd w:val="clear" w:color="auto" w:fill="FFFFFF" w:themeFill="background1"/>
                  <w:vAlign w:val="center"/>
                  <w:hideMark/>
                </w:tcPr>
                <w:p w14:paraId="772E225D"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Wine</w:t>
                  </w:r>
                </w:p>
              </w:tc>
              <w:tc>
                <w:tcPr>
                  <w:tcW w:w="2639" w:type="pct"/>
                  <w:shd w:val="clear" w:color="auto" w:fill="FFFFFF" w:themeFill="background1"/>
                  <w:vAlign w:val="center"/>
                </w:tcPr>
                <w:p w14:paraId="3FE932E9"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25 000 - &lt; 50 000 EUR</w:t>
                  </w:r>
                </w:p>
              </w:tc>
            </w:tr>
            <w:tr w:rsidR="00EC0167" w:rsidRPr="00C34DE9" w14:paraId="29C66C32" w14:textId="77777777" w:rsidTr="240ABBB4">
              <w:trPr>
                <w:tblCellSpacing w:w="7" w:type="dxa"/>
              </w:trPr>
              <w:tc>
                <w:tcPr>
                  <w:tcW w:w="0" w:type="auto"/>
                  <w:shd w:val="clear" w:color="auto" w:fill="FFFFFF" w:themeFill="background1"/>
                  <w:vAlign w:val="center"/>
                  <w:hideMark/>
                </w:tcPr>
                <w:p w14:paraId="37ADE711"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4</w:t>
                  </w:r>
                </w:p>
              </w:tc>
              <w:tc>
                <w:tcPr>
                  <w:tcW w:w="2114" w:type="pct"/>
                  <w:shd w:val="clear" w:color="auto" w:fill="FFFFFF" w:themeFill="background1"/>
                  <w:vAlign w:val="center"/>
                  <w:hideMark/>
                </w:tcPr>
                <w:p w14:paraId="25864122"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Other permanent crops</w:t>
                  </w:r>
                </w:p>
              </w:tc>
              <w:tc>
                <w:tcPr>
                  <w:tcW w:w="2639" w:type="pct"/>
                  <w:shd w:val="clear" w:color="auto" w:fill="FFFFFF" w:themeFill="background1"/>
                  <w:vAlign w:val="center"/>
                </w:tcPr>
                <w:p w14:paraId="2A7D738B"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50 000 - &lt; 100 000 EUR</w:t>
                  </w:r>
                </w:p>
              </w:tc>
            </w:tr>
            <w:tr w:rsidR="00EC0167" w:rsidRPr="00C34DE9" w14:paraId="51A910E4" w14:textId="77777777" w:rsidTr="240ABBB4">
              <w:trPr>
                <w:tblCellSpacing w:w="7" w:type="dxa"/>
              </w:trPr>
              <w:tc>
                <w:tcPr>
                  <w:tcW w:w="0" w:type="auto"/>
                  <w:shd w:val="clear" w:color="auto" w:fill="FFFFFF" w:themeFill="background1"/>
                  <w:vAlign w:val="center"/>
                  <w:hideMark/>
                </w:tcPr>
                <w:p w14:paraId="3C3185B1"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5</w:t>
                  </w:r>
                </w:p>
              </w:tc>
              <w:tc>
                <w:tcPr>
                  <w:tcW w:w="2114" w:type="pct"/>
                  <w:shd w:val="clear" w:color="auto" w:fill="FFFFFF" w:themeFill="background1"/>
                  <w:vAlign w:val="center"/>
                  <w:hideMark/>
                </w:tcPr>
                <w:p w14:paraId="52E2B4B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Milk</w:t>
                  </w:r>
                </w:p>
              </w:tc>
              <w:tc>
                <w:tcPr>
                  <w:tcW w:w="2639" w:type="pct"/>
                  <w:shd w:val="clear" w:color="auto" w:fill="FFFFFF" w:themeFill="background1"/>
                  <w:vAlign w:val="center"/>
                </w:tcPr>
                <w:p w14:paraId="5E3C7D8A"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100 000 - &lt; 500 000 EUR</w:t>
                  </w:r>
                </w:p>
              </w:tc>
            </w:tr>
            <w:tr w:rsidR="00EC0167" w:rsidRPr="00C34DE9" w14:paraId="3F7B9C2D" w14:textId="77777777" w:rsidTr="240ABBB4">
              <w:trPr>
                <w:tblCellSpacing w:w="7" w:type="dxa"/>
              </w:trPr>
              <w:tc>
                <w:tcPr>
                  <w:tcW w:w="0" w:type="auto"/>
                  <w:shd w:val="clear" w:color="auto" w:fill="FFFFFF" w:themeFill="background1"/>
                  <w:vAlign w:val="center"/>
                  <w:hideMark/>
                </w:tcPr>
                <w:p w14:paraId="5DF9DB09"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6</w:t>
                  </w:r>
                </w:p>
              </w:tc>
              <w:tc>
                <w:tcPr>
                  <w:tcW w:w="2114" w:type="pct"/>
                  <w:shd w:val="clear" w:color="auto" w:fill="FFFFFF" w:themeFill="background1"/>
                  <w:vAlign w:val="center"/>
                  <w:hideMark/>
                </w:tcPr>
                <w:p w14:paraId="5554CACD"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Other grazing livestock</w:t>
                  </w:r>
                </w:p>
              </w:tc>
              <w:tc>
                <w:tcPr>
                  <w:tcW w:w="2639" w:type="pct"/>
                  <w:shd w:val="clear" w:color="auto" w:fill="FFFFFF" w:themeFill="background1"/>
                  <w:vAlign w:val="center"/>
                </w:tcPr>
                <w:p w14:paraId="30F4EED8"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&gt;= 500 000 EUR</w:t>
                  </w:r>
                </w:p>
              </w:tc>
            </w:tr>
            <w:tr w:rsidR="00EC0167" w:rsidRPr="00C34DE9" w14:paraId="4CC3CEE6" w14:textId="77777777" w:rsidTr="240ABBB4">
              <w:trPr>
                <w:tblCellSpacing w:w="7" w:type="dxa"/>
              </w:trPr>
              <w:tc>
                <w:tcPr>
                  <w:tcW w:w="0" w:type="auto"/>
                  <w:shd w:val="clear" w:color="auto" w:fill="FFFFFF" w:themeFill="background1"/>
                  <w:vAlign w:val="center"/>
                  <w:hideMark/>
                </w:tcPr>
                <w:p w14:paraId="04233DA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7</w:t>
                  </w:r>
                </w:p>
              </w:tc>
              <w:tc>
                <w:tcPr>
                  <w:tcW w:w="2114" w:type="pct"/>
                  <w:shd w:val="clear" w:color="auto" w:fill="FFFFFF" w:themeFill="background1"/>
                  <w:vAlign w:val="center"/>
                  <w:hideMark/>
                </w:tcPr>
                <w:p w14:paraId="5701A25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Granivores</w:t>
                  </w:r>
                </w:p>
              </w:tc>
              <w:tc>
                <w:tcPr>
                  <w:tcW w:w="2639" w:type="pct"/>
                  <w:shd w:val="clear" w:color="auto" w:fill="FFFFFF" w:themeFill="background1"/>
                  <w:vAlign w:val="center"/>
                </w:tcPr>
                <w:p w14:paraId="74BE8A12" w14:textId="77777777" w:rsidR="00EC0167" w:rsidRPr="00C34DE9" w:rsidRDefault="00EC0167" w:rsidP="00661E40">
                  <w:pPr>
                    <w:spacing w:after="0" w:line="240" w:lineRule="auto"/>
                    <w:rPr>
                      <w:rFonts w:ascii="Verdana" w:eastAsia="Times New Roman" w:hAnsi="Verdana"/>
                      <w:color w:val="000000"/>
                      <w:sz w:val="18"/>
                      <w:szCs w:val="18"/>
                    </w:rPr>
                  </w:pPr>
                </w:p>
              </w:tc>
            </w:tr>
            <w:tr w:rsidR="00EC0167" w:rsidRPr="00C34DE9" w14:paraId="5BD8213C" w14:textId="77777777" w:rsidTr="240ABBB4">
              <w:trPr>
                <w:tblCellSpacing w:w="7" w:type="dxa"/>
              </w:trPr>
              <w:tc>
                <w:tcPr>
                  <w:tcW w:w="0" w:type="auto"/>
                  <w:shd w:val="clear" w:color="auto" w:fill="FFFFFF" w:themeFill="background1"/>
                  <w:vAlign w:val="center"/>
                  <w:hideMark/>
                </w:tcPr>
                <w:p w14:paraId="0EE518DC"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8</w:t>
                  </w:r>
                </w:p>
              </w:tc>
              <w:tc>
                <w:tcPr>
                  <w:tcW w:w="2114" w:type="pct"/>
                  <w:shd w:val="clear" w:color="auto" w:fill="FFFFFF" w:themeFill="background1"/>
                  <w:vAlign w:val="center"/>
                  <w:hideMark/>
                </w:tcPr>
                <w:p w14:paraId="05F77875" w14:textId="77777777" w:rsidR="00EC0167" w:rsidRPr="00C34DE9" w:rsidRDefault="00EC0167" w:rsidP="00661E40">
                  <w:pPr>
                    <w:spacing w:after="0" w:line="240" w:lineRule="auto"/>
                    <w:rPr>
                      <w:rFonts w:ascii="Verdana" w:eastAsia="Times New Roman" w:hAnsi="Verdana"/>
                      <w:color w:val="000000"/>
                      <w:sz w:val="18"/>
                      <w:szCs w:val="18"/>
                    </w:rPr>
                  </w:pPr>
                  <w:r w:rsidRPr="00C34DE9">
                    <w:rPr>
                      <w:rFonts w:ascii="Verdana" w:eastAsia="Times New Roman" w:hAnsi="Verdana"/>
                      <w:color w:val="000000"/>
                      <w:sz w:val="18"/>
                      <w:szCs w:val="18"/>
                    </w:rPr>
                    <w:t>Mixed</w:t>
                  </w:r>
                </w:p>
              </w:tc>
              <w:tc>
                <w:tcPr>
                  <w:tcW w:w="2639" w:type="pct"/>
                  <w:shd w:val="clear" w:color="auto" w:fill="FFFFFF" w:themeFill="background1"/>
                  <w:vAlign w:val="center"/>
                </w:tcPr>
                <w:p w14:paraId="01D4CD64" w14:textId="77777777" w:rsidR="00EC0167" w:rsidRPr="00C34DE9" w:rsidRDefault="00EC0167" w:rsidP="00661E40">
                  <w:pPr>
                    <w:spacing w:after="0" w:line="240" w:lineRule="auto"/>
                    <w:rPr>
                      <w:rFonts w:ascii="Verdana" w:eastAsia="Times New Roman" w:hAnsi="Verdana"/>
                      <w:color w:val="000000"/>
                      <w:sz w:val="18"/>
                      <w:szCs w:val="18"/>
                    </w:rPr>
                  </w:pPr>
                </w:p>
              </w:tc>
            </w:tr>
          </w:tbl>
          <w:p w14:paraId="4B059E6D" w14:textId="2B5A3B9F" w:rsidR="00C63CAF" w:rsidRDefault="00C63CAF" w:rsidP="00661E40">
            <w:pPr>
              <w:spacing w:before="120" w:after="60"/>
              <w:rPr>
                <w:rFonts w:ascii="Verdana" w:hAnsi="Verdana"/>
                <w:sz w:val="18"/>
                <w:szCs w:val="18"/>
              </w:rPr>
            </w:pPr>
            <w:r>
              <w:rPr>
                <w:rFonts w:ascii="Verdana" w:hAnsi="Verdana"/>
                <w:sz w:val="18"/>
                <w:szCs w:val="18"/>
              </w:rPr>
              <w:t>2</w:t>
            </w:r>
            <w:r w:rsidRPr="00C63CAF">
              <w:rPr>
                <w:rFonts w:ascii="Verdana" w:hAnsi="Verdana"/>
                <w:sz w:val="18"/>
                <w:szCs w:val="18"/>
              </w:rPr>
              <w:t>:</w:t>
            </w:r>
            <w:r w:rsidRPr="7D5D9235">
              <w:rPr>
                <w:rFonts w:ascii="Verdana" w:hAnsi="Verdana"/>
                <w:b/>
                <w:bCs/>
                <w:sz w:val="18"/>
                <w:szCs w:val="18"/>
              </w:rPr>
              <w:t xml:space="preserve"> </w:t>
            </w:r>
            <w:r w:rsidRPr="00C63CAF">
              <w:rPr>
                <w:rFonts w:ascii="Verdana" w:hAnsi="Verdana"/>
                <w:sz w:val="18"/>
                <w:szCs w:val="18"/>
              </w:rPr>
              <w:t xml:space="preserve">Region: FNVA </w:t>
            </w:r>
            <w:r>
              <w:rPr>
                <w:rFonts w:ascii="Verdana" w:hAnsi="Verdana"/>
                <w:sz w:val="18"/>
                <w:szCs w:val="18"/>
              </w:rPr>
              <w:t xml:space="preserve">is </w:t>
            </w:r>
            <w:r w:rsidRPr="00C63CAF">
              <w:rPr>
                <w:rFonts w:ascii="Verdana" w:hAnsi="Verdana"/>
                <w:sz w:val="18"/>
                <w:szCs w:val="18"/>
              </w:rPr>
              <w:t xml:space="preserve">provided by the FADN regions </w:t>
            </w:r>
            <w:r>
              <w:rPr>
                <w:rFonts w:ascii="Verdana" w:hAnsi="Verdana"/>
                <w:sz w:val="18"/>
                <w:szCs w:val="18"/>
              </w:rPr>
              <w:t>(</w:t>
            </w:r>
            <w:hyperlink r:id="rId119" w:history="1">
              <w:r w:rsidR="003B43D9">
                <w:rPr>
                  <w:rStyle w:val="Hyperlink"/>
                </w:rPr>
                <w:t>European Commission | Agri food-data | Farm Economics (europa.eu)</w:t>
              </w:r>
            </w:hyperlink>
            <w:r>
              <w:rPr>
                <w:rFonts w:ascii="Verdana" w:hAnsi="Verdana"/>
                <w:sz w:val="18"/>
                <w:szCs w:val="18"/>
              </w:rPr>
              <w:t>)</w:t>
            </w:r>
          </w:p>
          <w:p w14:paraId="5BA829B4" w14:textId="78B08A2A" w:rsidR="00EC0167" w:rsidRDefault="00C63CAF" w:rsidP="00C63CAF">
            <w:pPr>
              <w:spacing w:before="120" w:after="60"/>
              <w:rPr>
                <w:rFonts w:ascii="Verdana" w:hAnsi="Verdana"/>
                <w:sz w:val="18"/>
                <w:szCs w:val="18"/>
              </w:rPr>
            </w:pPr>
            <w:r>
              <w:rPr>
                <w:rFonts w:ascii="Verdana" w:hAnsi="Verdana"/>
                <w:sz w:val="18"/>
                <w:szCs w:val="18"/>
              </w:rPr>
              <w:t xml:space="preserve">4: FNVA </w:t>
            </w:r>
            <w:r w:rsidRPr="00C63CAF">
              <w:rPr>
                <w:rFonts w:ascii="Verdana" w:hAnsi="Verdana"/>
                <w:sz w:val="18"/>
                <w:szCs w:val="18"/>
              </w:rPr>
              <w:t xml:space="preserve">by physical farm size </w:t>
            </w:r>
            <w:r>
              <w:rPr>
                <w:rFonts w:ascii="Verdana" w:hAnsi="Verdana"/>
                <w:sz w:val="18"/>
                <w:szCs w:val="18"/>
              </w:rPr>
              <w:t>= Utilised A</w:t>
            </w:r>
            <w:r w:rsidRPr="00C63CAF">
              <w:rPr>
                <w:rFonts w:ascii="Verdana" w:hAnsi="Verdana"/>
                <w:sz w:val="18"/>
                <w:szCs w:val="18"/>
              </w:rPr>
              <w:t xml:space="preserve">gricultural </w:t>
            </w:r>
            <w:r>
              <w:rPr>
                <w:rFonts w:ascii="Verdana" w:hAnsi="Verdana"/>
                <w:sz w:val="18"/>
                <w:szCs w:val="18"/>
              </w:rPr>
              <w:t>A</w:t>
            </w:r>
            <w:r w:rsidRPr="00C63CAF">
              <w:rPr>
                <w:rFonts w:ascii="Verdana" w:hAnsi="Verdana"/>
                <w:sz w:val="18"/>
                <w:szCs w:val="18"/>
              </w:rPr>
              <w:t>rea (UAA)</w:t>
            </w:r>
            <w:r>
              <w:rPr>
                <w:rFonts w:ascii="Verdana" w:hAnsi="Verdana"/>
                <w:sz w:val="18"/>
                <w:szCs w:val="18"/>
              </w:rPr>
              <w:t xml:space="preserve"> (</w:t>
            </w:r>
            <w:r w:rsidRPr="00C63CAF">
              <w:rPr>
                <w:rFonts w:ascii="Verdana" w:hAnsi="Verdana"/>
                <w:sz w:val="18"/>
                <w:szCs w:val="18"/>
              </w:rPr>
              <w:t>SE02</w:t>
            </w:r>
            <w:r w:rsidR="003B43D9">
              <w:rPr>
                <w:rFonts w:ascii="Verdana" w:hAnsi="Verdana"/>
                <w:sz w:val="18"/>
                <w:szCs w:val="18"/>
              </w:rPr>
              <w:t>5</w:t>
            </w:r>
            <w:r>
              <w:rPr>
                <w:rFonts w:ascii="Verdana" w:hAnsi="Verdana"/>
                <w:sz w:val="18"/>
                <w:szCs w:val="18"/>
              </w:rPr>
              <w:t>)</w:t>
            </w:r>
          </w:p>
          <w:p w14:paraId="42994B90" w14:textId="77777777" w:rsidR="00C63CAF" w:rsidRPr="00E50484" w:rsidRDefault="00C63CAF" w:rsidP="00C63CAF">
            <w:pPr>
              <w:spacing w:before="120" w:after="60"/>
              <w:rPr>
                <w:rFonts w:ascii="Verdana" w:hAnsi="Verdana"/>
                <w:sz w:val="18"/>
                <w:szCs w:val="18"/>
                <w:lang w:val="it-IT"/>
              </w:rPr>
            </w:pPr>
            <w:r w:rsidRPr="00E50484">
              <w:rPr>
                <w:rFonts w:ascii="Verdana" w:hAnsi="Verdana"/>
                <w:sz w:val="18"/>
                <w:szCs w:val="18"/>
                <w:lang w:val="it-IT"/>
              </w:rPr>
              <w:t>=&gt; 5 ha =&gt; 10 ha =&gt; 20 ha =&gt; 30 ha =&gt; 50 ha =&gt; 75 ha =&gt; 100 ha =&gt; 150 ha =&gt; 200 ha =&gt; 250 ha =&gt; 500 ha =&gt; 1000 ha =&gt; more</w:t>
            </w:r>
          </w:p>
          <w:p w14:paraId="0D7FE593" w14:textId="6BBF5B2B" w:rsidR="00EC0167" w:rsidRPr="00C63CAF" w:rsidRDefault="00C63CAF" w:rsidP="00661E40">
            <w:pPr>
              <w:spacing w:before="120" w:after="60"/>
              <w:rPr>
                <w:rFonts w:ascii="Verdana" w:hAnsi="Verdana"/>
                <w:sz w:val="18"/>
                <w:szCs w:val="18"/>
              </w:rPr>
            </w:pPr>
            <w:r>
              <w:rPr>
                <w:rFonts w:ascii="Verdana" w:hAnsi="Verdana"/>
                <w:sz w:val="18"/>
                <w:szCs w:val="18"/>
              </w:rPr>
              <w:t xml:space="preserve">5: according to 3 classes: </w:t>
            </w:r>
            <w:r>
              <w:rPr>
                <w:color w:val="1F497D"/>
              </w:rPr>
              <w:t>“ANC/LFA areas other than mountain”, “mountain ANC/LFA areas” and “not in ANC/LFA areas”.</w:t>
            </w:r>
          </w:p>
        </w:tc>
      </w:tr>
      <w:tr w:rsidR="00EC0167" w:rsidRPr="00C34DE9" w14:paraId="10A68C2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0167CB72"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lastRenderedPageBreak/>
              <w:t>Unit of measurement</w:t>
            </w:r>
          </w:p>
        </w:tc>
        <w:tc>
          <w:tcPr>
            <w:tcW w:w="7088" w:type="dxa"/>
            <w:tcBorders>
              <w:top w:val="single" w:sz="4" w:space="0" w:color="auto"/>
              <w:left w:val="single" w:sz="4" w:space="0" w:color="auto"/>
              <w:bottom w:val="single" w:sz="4" w:space="0" w:color="auto"/>
              <w:right w:val="single" w:sz="4" w:space="0" w:color="auto"/>
            </w:tcBorders>
          </w:tcPr>
          <w:p w14:paraId="05F48532" w14:textId="77777777" w:rsidR="00EC0167" w:rsidRPr="00C34DE9" w:rsidRDefault="008908FF" w:rsidP="3F4AE0BD">
            <w:pPr>
              <w:spacing w:before="120" w:after="60"/>
              <w:rPr>
                <w:rFonts w:ascii="Verdana" w:hAnsi="Verdana"/>
                <w:b/>
                <w:bCs/>
                <w:sz w:val="18"/>
                <w:szCs w:val="18"/>
              </w:rPr>
            </w:pPr>
            <w:r w:rsidRPr="006D7BE3">
              <w:rPr>
                <w:rFonts w:ascii="Verdana" w:hAnsi="Verdana"/>
                <w:sz w:val="18"/>
                <w:szCs w:val="18"/>
              </w:rPr>
              <w:t>1-5:</w:t>
            </w:r>
            <w:r w:rsidRPr="3F4AE0BD">
              <w:rPr>
                <w:rFonts w:ascii="Verdana" w:hAnsi="Verdana"/>
                <w:b/>
                <w:bCs/>
                <w:sz w:val="18"/>
                <w:szCs w:val="18"/>
              </w:rPr>
              <w:t xml:space="preserve"> </w:t>
            </w:r>
            <w:r w:rsidR="00EC0167" w:rsidRPr="008908FF">
              <w:rPr>
                <w:rFonts w:ascii="Verdana" w:hAnsi="Verdana"/>
                <w:sz w:val="18"/>
                <w:szCs w:val="18"/>
              </w:rPr>
              <w:t>Euro per AWU</w:t>
            </w:r>
          </w:p>
        </w:tc>
      </w:tr>
      <w:tr w:rsidR="00EC0167" w:rsidRPr="00C34DE9" w14:paraId="57D9F82A"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605BBA52"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Data source</w:t>
            </w:r>
          </w:p>
        </w:tc>
        <w:tc>
          <w:tcPr>
            <w:tcW w:w="7088" w:type="dxa"/>
            <w:tcBorders>
              <w:top w:val="single" w:sz="4" w:space="0" w:color="auto"/>
              <w:left w:val="single" w:sz="4" w:space="0" w:color="auto"/>
              <w:bottom w:val="single" w:sz="4" w:space="0" w:color="auto"/>
              <w:right w:val="single" w:sz="4" w:space="0" w:color="auto"/>
            </w:tcBorders>
          </w:tcPr>
          <w:p w14:paraId="3A07C9EA"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FADN sample survey of farms</w:t>
            </w:r>
          </w:p>
        </w:tc>
      </w:tr>
      <w:tr w:rsidR="00EC0167" w:rsidRPr="00C34DE9" w14:paraId="1AC23959"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60123B26" w14:textId="77777777" w:rsidR="00EC0167" w:rsidRPr="00C34DE9" w:rsidRDefault="00EC0167" w:rsidP="790C88FB">
            <w:pPr>
              <w:spacing w:before="120" w:after="60"/>
              <w:rPr>
                <w:rFonts w:ascii="Verdana" w:hAnsi="Verdana"/>
                <w:b/>
                <w:bCs/>
                <w:i/>
                <w:i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8" w:type="dxa"/>
            <w:tcBorders>
              <w:top w:val="single" w:sz="4" w:space="0" w:color="auto"/>
              <w:left w:val="single" w:sz="4" w:space="0" w:color="auto"/>
              <w:bottom w:val="single" w:sz="4" w:space="0" w:color="auto"/>
              <w:right w:val="single" w:sz="4" w:space="0" w:color="auto"/>
            </w:tcBorders>
          </w:tcPr>
          <w:p w14:paraId="3673FD1E" w14:textId="77777777" w:rsidR="00EC0167" w:rsidRPr="00C34DE9" w:rsidRDefault="00EC0167" w:rsidP="5CB4B133">
            <w:pPr>
              <w:spacing w:before="120" w:after="60"/>
              <w:rPr>
                <w:rFonts w:ascii="Verdana" w:hAnsi="Verdana"/>
                <w:b/>
                <w:bCs/>
                <w:sz w:val="18"/>
                <w:szCs w:val="18"/>
              </w:rPr>
            </w:pPr>
            <w:r w:rsidRPr="00C34DE9">
              <w:rPr>
                <w:rFonts w:ascii="Verdana" w:hAnsi="Verdana"/>
                <w:sz w:val="18"/>
                <w:szCs w:val="18"/>
              </w:rPr>
              <w:t>SE425 in the FADN public database</w:t>
            </w:r>
          </w:p>
        </w:tc>
      </w:tr>
      <w:tr w:rsidR="00EC0167" w:rsidRPr="00C34DE9" w14:paraId="38B81595"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281ECFD1" w14:textId="77777777" w:rsidR="00EC0167" w:rsidRPr="00C34DE9" w:rsidRDefault="0087328F" w:rsidP="5CB4B133">
            <w:pPr>
              <w:spacing w:before="120" w:after="60"/>
              <w:rPr>
                <w:rFonts w:ascii="Verdana" w:hAnsi="Verdana"/>
                <w:b/>
                <w:bCs/>
                <w:sz w:val="18"/>
                <w:szCs w:val="18"/>
              </w:rPr>
            </w:pPr>
            <w:r w:rsidRPr="5CB4B133">
              <w:rPr>
                <w:rFonts w:ascii="Verdana" w:hAnsi="Verdana"/>
                <w:b/>
                <w:bCs/>
                <w:sz w:val="18"/>
                <w:szCs w:val="18"/>
              </w:rPr>
              <w:t>Data collection / dissemination level</w:t>
            </w:r>
          </w:p>
        </w:tc>
        <w:tc>
          <w:tcPr>
            <w:tcW w:w="7088" w:type="dxa"/>
            <w:tcBorders>
              <w:top w:val="single" w:sz="4" w:space="0" w:color="auto"/>
              <w:left w:val="single" w:sz="4" w:space="0" w:color="auto"/>
              <w:bottom w:val="single" w:sz="4" w:space="0" w:color="auto"/>
              <w:right w:val="single" w:sz="4" w:space="0" w:color="auto"/>
            </w:tcBorders>
          </w:tcPr>
          <w:p w14:paraId="41175F84"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National and by FADN division (similar to NUTS 2)</w:t>
            </w:r>
          </w:p>
        </w:tc>
      </w:tr>
      <w:tr w:rsidR="00EC0167" w:rsidRPr="00C34DE9" w14:paraId="0851F268"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0920CBAD"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088" w:type="dxa"/>
            <w:tcBorders>
              <w:top w:val="single" w:sz="4" w:space="0" w:color="auto"/>
              <w:left w:val="single" w:sz="4" w:space="0" w:color="auto"/>
              <w:bottom w:val="single" w:sz="4" w:space="0" w:color="auto"/>
              <w:right w:val="single" w:sz="4" w:space="0" w:color="auto"/>
            </w:tcBorders>
          </w:tcPr>
          <w:p w14:paraId="4A325775" w14:textId="77777777" w:rsidR="00EC0167" w:rsidRPr="00C34DE9" w:rsidRDefault="00EC0167" w:rsidP="5CB4B133">
            <w:pPr>
              <w:spacing w:before="120" w:after="60"/>
              <w:rPr>
                <w:rFonts w:ascii="Verdana" w:hAnsi="Verdana"/>
                <w:b/>
                <w:bCs/>
                <w:sz w:val="18"/>
                <w:szCs w:val="18"/>
                <w:u w:val="single"/>
              </w:rPr>
            </w:pPr>
            <w:r w:rsidRPr="00C34DE9">
              <w:rPr>
                <w:rFonts w:ascii="Verdana" w:hAnsi="Verdana"/>
                <w:sz w:val="18"/>
                <w:szCs w:val="18"/>
                <w:u w:val="single"/>
              </w:rPr>
              <w:t>Annually</w:t>
            </w:r>
          </w:p>
        </w:tc>
      </w:tr>
      <w:tr w:rsidR="00EC0167" w:rsidRPr="00C34DE9" w14:paraId="1BB630B8" w14:textId="77777777" w:rsidTr="240ABBB4">
        <w:trPr>
          <w:trHeight w:val="7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ACD3D86" w14:textId="77777777" w:rsidR="00EC0167" w:rsidRPr="00C34DE9" w:rsidRDefault="0087328F" w:rsidP="790C88FB">
            <w:pPr>
              <w:spacing w:before="120" w:after="60"/>
              <w:rPr>
                <w:rFonts w:ascii="Verdana" w:hAnsi="Verdana"/>
                <w:b/>
                <w:bCs/>
                <w:i/>
                <w:iCs/>
                <w:sz w:val="18"/>
                <w:szCs w:val="18"/>
              </w:rPr>
            </w:pPr>
            <w:r w:rsidRPr="5CB4B133">
              <w:rPr>
                <w:rFonts w:ascii="Verdana" w:hAnsi="Verdana"/>
                <w:b/>
                <w:bCs/>
                <w:sz w:val="18"/>
                <w:szCs w:val="18"/>
              </w:rPr>
              <w:t>Timeliness</w:t>
            </w:r>
          </w:p>
        </w:tc>
        <w:tc>
          <w:tcPr>
            <w:tcW w:w="7088" w:type="dxa"/>
            <w:tcBorders>
              <w:top w:val="single" w:sz="4" w:space="0" w:color="auto"/>
              <w:left w:val="single" w:sz="4" w:space="0" w:color="auto"/>
              <w:bottom w:val="single" w:sz="4" w:space="0" w:color="auto"/>
              <w:right w:val="single" w:sz="4" w:space="0" w:color="auto"/>
            </w:tcBorders>
          </w:tcPr>
          <w:p w14:paraId="3EBE0AEE" w14:textId="77777777" w:rsidR="00EC0167" w:rsidRPr="00C34DE9" w:rsidRDefault="00EC0167" w:rsidP="5CB4B133">
            <w:pPr>
              <w:spacing w:before="120" w:after="60"/>
              <w:rPr>
                <w:rFonts w:ascii="Verdana" w:hAnsi="Verdana"/>
                <w:b/>
                <w:bCs/>
                <w:sz w:val="18"/>
                <w:szCs w:val="18"/>
              </w:rPr>
            </w:pPr>
            <w:r w:rsidRPr="00C34DE9">
              <w:rPr>
                <w:rFonts w:ascii="Verdana" w:hAnsi="Verdana"/>
                <w:sz w:val="18"/>
                <w:szCs w:val="18"/>
              </w:rPr>
              <w:t>2-3 years</w:t>
            </w:r>
          </w:p>
        </w:tc>
      </w:tr>
      <w:tr w:rsidR="00EC0167" w:rsidRPr="00C34DE9" w14:paraId="268EAF4A" w14:textId="77777777" w:rsidTr="240ABBB4">
        <w:tc>
          <w:tcPr>
            <w:tcW w:w="2943" w:type="dxa"/>
            <w:tcBorders>
              <w:top w:val="single" w:sz="4" w:space="0" w:color="auto"/>
              <w:left w:val="single" w:sz="4" w:space="0" w:color="auto"/>
              <w:bottom w:val="single" w:sz="4" w:space="0" w:color="auto"/>
              <w:right w:val="single" w:sz="4" w:space="0" w:color="auto"/>
            </w:tcBorders>
            <w:shd w:val="clear" w:color="auto" w:fill="auto"/>
          </w:tcPr>
          <w:p w14:paraId="3777B7AB" w14:textId="77777777" w:rsidR="00EC0167" w:rsidRPr="00C34DE9" w:rsidRDefault="00EC0167" w:rsidP="5CB4B133">
            <w:pPr>
              <w:spacing w:before="120" w:after="60"/>
              <w:rPr>
                <w:rFonts w:ascii="Verdana" w:hAnsi="Verdana"/>
                <w:b/>
                <w:bCs/>
                <w:sz w:val="18"/>
                <w:szCs w:val="18"/>
              </w:rPr>
            </w:pPr>
            <w:r w:rsidRPr="5CB4B133">
              <w:rPr>
                <w:rFonts w:ascii="Verdana" w:hAnsi="Verdana"/>
                <w:b/>
                <w:bCs/>
                <w:sz w:val="18"/>
                <w:szCs w:val="18"/>
              </w:rPr>
              <w:t>Comments/caveats</w:t>
            </w:r>
            <w:r w:rsidRPr="00C34DE9">
              <w:rPr>
                <w:rFonts w:ascii="Verdana" w:hAnsi="Verdana"/>
                <w:sz w:val="18"/>
                <w:szCs w:val="18"/>
              </w:rPr>
              <w:t xml:space="preserve"> </w:t>
            </w:r>
          </w:p>
        </w:tc>
        <w:tc>
          <w:tcPr>
            <w:tcW w:w="7088" w:type="dxa"/>
            <w:tcBorders>
              <w:top w:val="single" w:sz="4" w:space="0" w:color="auto"/>
              <w:left w:val="single" w:sz="4" w:space="0" w:color="auto"/>
              <w:bottom w:val="single" w:sz="4" w:space="0" w:color="auto"/>
              <w:right w:val="single" w:sz="4" w:space="0" w:color="auto"/>
            </w:tcBorders>
          </w:tcPr>
          <w:p w14:paraId="06CDF723" w14:textId="77777777" w:rsidR="00EC0167" w:rsidRPr="00C34DE9" w:rsidRDefault="00EC0167" w:rsidP="00661E40">
            <w:pPr>
              <w:spacing w:before="120" w:after="60"/>
              <w:rPr>
                <w:rFonts w:ascii="Verdana" w:hAnsi="Verdana"/>
                <w:b/>
                <w:sz w:val="18"/>
                <w:szCs w:val="18"/>
              </w:rPr>
            </w:pPr>
          </w:p>
        </w:tc>
      </w:tr>
    </w:tbl>
    <w:p w14:paraId="4AE77EDA" w14:textId="77777777" w:rsidR="00BD6BF6" w:rsidRPr="00C34DE9" w:rsidRDefault="00BD6BF6">
      <w:pPr>
        <w:rPr>
          <w:rFonts w:ascii="Verdana" w:hAnsi="Verdana"/>
          <w:sz w:val="18"/>
          <w:szCs w:val="18"/>
        </w:rPr>
      </w:pPr>
      <w:r w:rsidRPr="00C34DE9">
        <w:rPr>
          <w:rFonts w:ascii="Verdana" w:hAnsi="Verdana"/>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371"/>
      </w:tblGrid>
      <w:tr w:rsidR="0007671D" w:rsidRPr="00C34DE9" w14:paraId="12B5F909"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2DFA4A49" w14:textId="04DA9C72" w:rsidR="0007671D" w:rsidRPr="00C34DE9" w:rsidRDefault="0007671D" w:rsidP="002D72D6">
            <w:pPr>
              <w:spacing w:after="60"/>
              <w:rPr>
                <w:rFonts w:ascii="Verdana" w:hAnsi="Verdana"/>
                <w:b/>
                <w:bCs/>
                <w:sz w:val="18"/>
                <w:szCs w:val="18"/>
              </w:rPr>
            </w:pPr>
            <w:bookmarkStart w:id="38" w:name="C27"/>
            <w:r w:rsidRPr="5CB4B133">
              <w:rPr>
                <w:rFonts w:ascii="Verdana" w:hAnsi="Verdana"/>
                <w:b/>
                <w:bCs/>
                <w:smallCaps/>
                <w:sz w:val="18"/>
                <w:szCs w:val="18"/>
              </w:rPr>
              <w:lastRenderedPageBreak/>
              <w:t>Indicator C.2</w:t>
            </w:r>
            <w:r w:rsidR="002D72D6">
              <w:rPr>
                <w:rFonts w:ascii="Verdana" w:hAnsi="Verdana"/>
                <w:b/>
                <w:bCs/>
                <w:smallCaps/>
                <w:sz w:val="18"/>
                <w:szCs w:val="18"/>
              </w:rPr>
              <w:t>8</w:t>
            </w:r>
            <w:bookmarkEnd w:id="38"/>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00AB3B" w14:textId="77777777" w:rsidR="0007671D" w:rsidRPr="00C34DE9" w:rsidRDefault="0007671D" w:rsidP="00C30187">
            <w:pPr>
              <w:spacing w:after="60"/>
              <w:rPr>
                <w:rFonts w:ascii="Verdana" w:hAnsi="Verdana"/>
                <w:caps/>
                <w:sz w:val="18"/>
                <w:szCs w:val="18"/>
              </w:rPr>
            </w:pPr>
          </w:p>
        </w:tc>
      </w:tr>
      <w:tr w:rsidR="0007671D" w:rsidRPr="00C34DE9" w14:paraId="2093D52A"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6A1F98D2"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936A63A"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Gross fixed capital formation in agriculture</w:t>
            </w:r>
          </w:p>
        </w:tc>
      </w:tr>
      <w:tr w:rsidR="0007671D" w:rsidRPr="00C34DE9" w14:paraId="4D7FFF47"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62657AC8"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Definition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243248" w14:textId="77777777" w:rsidR="0007671D" w:rsidRPr="00C34DE9" w:rsidRDefault="0007671D" w:rsidP="790C88FB">
            <w:pPr>
              <w:pStyle w:val="NormalWeb"/>
              <w:spacing w:before="0" w:beforeAutospacing="0" w:after="60" w:afterAutospacing="0"/>
              <w:jc w:val="both"/>
              <w:rPr>
                <w:rFonts w:ascii="Verdana" w:hAnsi="Verdana"/>
                <w:sz w:val="18"/>
                <w:szCs w:val="18"/>
              </w:rPr>
            </w:pPr>
            <w:r w:rsidRPr="00C34DE9">
              <w:rPr>
                <w:rFonts w:ascii="Verdana" w:hAnsi="Verdana"/>
                <w:sz w:val="18"/>
                <w:szCs w:val="18"/>
              </w:rPr>
              <w:t xml:space="preserve">The indicator measures </w:t>
            </w:r>
            <w:r w:rsidRPr="5CB4B133">
              <w:rPr>
                <w:rFonts w:ascii="Verdana" w:hAnsi="Verdana" w:cs="Arial"/>
                <w:b/>
                <w:bCs/>
                <w:sz w:val="18"/>
                <w:szCs w:val="18"/>
              </w:rPr>
              <w:t>producers’ investments, deducting disposals, in fixed assets</w:t>
            </w:r>
            <w:r w:rsidRPr="00C34DE9">
              <w:rPr>
                <w:rFonts w:ascii="Verdana" w:hAnsi="Verdana" w:cs="Arial"/>
                <w:sz w:val="18"/>
                <w:szCs w:val="18"/>
              </w:rPr>
              <w:t xml:space="preserve"> </w:t>
            </w:r>
            <w:r w:rsidRPr="5CB4B133">
              <w:rPr>
                <w:rFonts w:ascii="Verdana" w:hAnsi="Verdana" w:cs="Arial"/>
                <w:b/>
                <w:bCs/>
                <w:sz w:val="18"/>
                <w:szCs w:val="18"/>
              </w:rPr>
              <w:t>during a given period plus certain additions to the value of non-produced assets</w:t>
            </w:r>
            <w:r w:rsidRPr="00C34DE9">
              <w:rPr>
                <w:rFonts w:ascii="Verdana" w:hAnsi="Verdana" w:cs="Arial"/>
                <w:sz w:val="18"/>
                <w:szCs w:val="18"/>
              </w:rPr>
              <w:t xml:space="preserve"> reali</w:t>
            </w:r>
            <w:r w:rsidR="00A6594A">
              <w:rPr>
                <w:rFonts w:ascii="Verdana" w:hAnsi="Verdana" w:cs="Arial"/>
                <w:sz w:val="18"/>
                <w:szCs w:val="18"/>
              </w:rPr>
              <w:t>s</w:t>
            </w:r>
            <w:r w:rsidRPr="00C34DE9">
              <w:rPr>
                <w:rFonts w:ascii="Verdana" w:hAnsi="Verdana" w:cs="Arial"/>
                <w:sz w:val="18"/>
                <w:szCs w:val="18"/>
              </w:rPr>
              <w:t xml:space="preserve">ed by the productive activity of producer or institutional units (ESA 2010 definition). Therefore, </w:t>
            </w:r>
            <w:r w:rsidR="00E42816" w:rsidRPr="00E42816">
              <w:rPr>
                <w:rFonts w:ascii="Verdana" w:hAnsi="Verdana"/>
                <w:sz w:val="18"/>
                <w:szCs w:val="18"/>
              </w:rPr>
              <w:t>Gross fixed capital formation in agriculture</w:t>
            </w:r>
            <w:r w:rsidR="00E42816" w:rsidRPr="00C34DE9">
              <w:rPr>
                <w:rFonts w:ascii="Verdana" w:hAnsi="Verdana" w:cs="Arial"/>
                <w:sz w:val="18"/>
                <w:szCs w:val="18"/>
              </w:rPr>
              <w:t xml:space="preserve"> </w:t>
            </w:r>
            <w:r w:rsidR="00E42816">
              <w:rPr>
                <w:rFonts w:ascii="Verdana" w:hAnsi="Verdana" w:cs="Arial"/>
                <w:sz w:val="18"/>
                <w:szCs w:val="18"/>
              </w:rPr>
              <w:t>(</w:t>
            </w:r>
            <w:r w:rsidRPr="00C34DE9">
              <w:rPr>
                <w:rFonts w:ascii="Verdana" w:hAnsi="Verdana" w:cs="Arial"/>
                <w:sz w:val="18"/>
                <w:szCs w:val="18"/>
              </w:rPr>
              <w:t>GFCF</w:t>
            </w:r>
            <w:r w:rsidR="00E42816">
              <w:rPr>
                <w:rFonts w:ascii="Verdana" w:hAnsi="Verdana" w:cs="Arial"/>
                <w:sz w:val="18"/>
                <w:szCs w:val="18"/>
              </w:rPr>
              <w:t>)</w:t>
            </w:r>
            <w:r w:rsidRPr="00C34DE9">
              <w:rPr>
                <w:rFonts w:ascii="Verdana" w:hAnsi="Verdana" w:cs="Arial"/>
                <w:sz w:val="18"/>
                <w:szCs w:val="18"/>
                <w:lang w:val="en"/>
              </w:rPr>
              <w:t xml:space="preserve"> is a key element for future competitiveness.</w:t>
            </w:r>
          </w:p>
          <w:p w14:paraId="09A9D604" w14:textId="0438D6F5" w:rsidR="007C2BEC" w:rsidRDefault="0007671D" w:rsidP="790C88FB">
            <w:pPr>
              <w:pStyle w:val="NormalWeb"/>
              <w:spacing w:before="0" w:beforeAutospacing="0" w:after="60" w:afterAutospacing="0"/>
              <w:jc w:val="both"/>
              <w:rPr>
                <w:rFonts w:ascii="Verdana" w:hAnsi="Verdana"/>
                <w:sz w:val="18"/>
                <w:szCs w:val="18"/>
              </w:rPr>
            </w:pPr>
            <w:r w:rsidRPr="00C34DE9">
              <w:rPr>
                <w:rFonts w:ascii="Verdana" w:hAnsi="Verdana"/>
                <w:sz w:val="18"/>
                <w:szCs w:val="18"/>
              </w:rPr>
              <w:t xml:space="preserve">It </w:t>
            </w:r>
            <w:r w:rsidR="008908FF">
              <w:rPr>
                <w:rFonts w:ascii="Verdana" w:hAnsi="Verdana"/>
                <w:sz w:val="18"/>
                <w:szCs w:val="18"/>
              </w:rPr>
              <w:t>consists of 2</w:t>
            </w:r>
            <w:r w:rsidR="00AE59DD">
              <w:rPr>
                <w:rFonts w:ascii="Verdana" w:hAnsi="Verdana"/>
                <w:sz w:val="18"/>
                <w:szCs w:val="18"/>
              </w:rPr>
              <w:t xml:space="preserve"> </w:t>
            </w:r>
            <w:r w:rsidR="00DD478B">
              <w:rPr>
                <w:rFonts w:ascii="Verdana" w:hAnsi="Verdana"/>
                <w:sz w:val="18"/>
                <w:szCs w:val="18"/>
              </w:rPr>
              <w:t xml:space="preserve">specific </w:t>
            </w:r>
            <w:r w:rsidR="00AE59DD">
              <w:rPr>
                <w:rFonts w:ascii="Verdana" w:hAnsi="Verdana"/>
                <w:sz w:val="18"/>
                <w:szCs w:val="18"/>
              </w:rPr>
              <w:t>indicators</w:t>
            </w:r>
            <w:r w:rsidR="007C2BEC">
              <w:rPr>
                <w:rFonts w:ascii="Verdana" w:hAnsi="Verdana"/>
                <w:sz w:val="18"/>
                <w:szCs w:val="18"/>
              </w:rPr>
              <w:t>:</w:t>
            </w:r>
          </w:p>
          <w:p w14:paraId="53841378" w14:textId="422AAB55" w:rsidR="007C2BEC" w:rsidRPr="00D86F58" w:rsidRDefault="008908FF" w:rsidP="790C88FB">
            <w:pPr>
              <w:pStyle w:val="NormalWeb"/>
              <w:numPr>
                <w:ilvl w:val="0"/>
                <w:numId w:val="87"/>
              </w:numPr>
              <w:spacing w:before="0" w:beforeAutospacing="0" w:after="60" w:afterAutospacing="0"/>
              <w:jc w:val="both"/>
              <w:rPr>
                <w:rFonts w:ascii="Verdana" w:hAnsi="Verdana"/>
                <w:b/>
                <w:bCs/>
                <w:sz w:val="18"/>
                <w:szCs w:val="18"/>
              </w:rPr>
            </w:pPr>
            <w:r w:rsidRPr="3F4AE0BD">
              <w:rPr>
                <w:rFonts w:ascii="Verdana" w:hAnsi="Verdana"/>
                <w:b/>
                <w:bCs/>
                <w:sz w:val="18"/>
                <w:szCs w:val="18"/>
              </w:rPr>
              <w:t>G</w:t>
            </w:r>
            <w:r w:rsidR="00D86F58" w:rsidRPr="3F4AE0BD">
              <w:rPr>
                <w:rFonts w:ascii="Verdana" w:hAnsi="Verdana"/>
                <w:b/>
                <w:bCs/>
                <w:sz w:val="18"/>
                <w:szCs w:val="18"/>
              </w:rPr>
              <w:t xml:space="preserve">ross </w:t>
            </w:r>
            <w:r w:rsidRPr="3F4AE0BD">
              <w:rPr>
                <w:rFonts w:ascii="Verdana" w:hAnsi="Verdana"/>
                <w:b/>
                <w:bCs/>
                <w:sz w:val="18"/>
                <w:szCs w:val="18"/>
              </w:rPr>
              <w:t>F</w:t>
            </w:r>
            <w:r w:rsidR="00D86F58" w:rsidRPr="3F4AE0BD">
              <w:rPr>
                <w:rFonts w:ascii="Verdana" w:hAnsi="Verdana"/>
                <w:b/>
                <w:bCs/>
                <w:sz w:val="18"/>
                <w:szCs w:val="18"/>
              </w:rPr>
              <w:t xml:space="preserve">ixed </w:t>
            </w:r>
            <w:r w:rsidRPr="3F4AE0BD">
              <w:rPr>
                <w:rFonts w:ascii="Verdana" w:hAnsi="Verdana"/>
                <w:b/>
                <w:bCs/>
                <w:sz w:val="18"/>
                <w:szCs w:val="18"/>
              </w:rPr>
              <w:t>C</w:t>
            </w:r>
            <w:r w:rsidR="00D86F58" w:rsidRPr="3F4AE0BD">
              <w:rPr>
                <w:rFonts w:ascii="Verdana" w:hAnsi="Verdana"/>
                <w:b/>
                <w:bCs/>
                <w:sz w:val="18"/>
                <w:szCs w:val="18"/>
              </w:rPr>
              <w:t xml:space="preserve">apital </w:t>
            </w:r>
            <w:r w:rsidRPr="3F4AE0BD">
              <w:rPr>
                <w:rFonts w:ascii="Verdana" w:hAnsi="Verdana"/>
                <w:b/>
                <w:bCs/>
                <w:sz w:val="18"/>
                <w:szCs w:val="18"/>
              </w:rPr>
              <w:t>F</w:t>
            </w:r>
            <w:r w:rsidR="00D86F58" w:rsidRPr="3F4AE0BD">
              <w:rPr>
                <w:rFonts w:ascii="Verdana" w:hAnsi="Verdana"/>
                <w:b/>
                <w:bCs/>
                <w:sz w:val="18"/>
                <w:szCs w:val="18"/>
              </w:rPr>
              <w:t>ormation (GFCF)</w:t>
            </w:r>
          </w:p>
          <w:p w14:paraId="0CEBCF65" w14:textId="455AE957" w:rsidR="0007671D" w:rsidRPr="00C34DE9" w:rsidRDefault="00AE59DD" w:rsidP="790C88FB">
            <w:pPr>
              <w:pStyle w:val="NormalWeb"/>
              <w:numPr>
                <w:ilvl w:val="0"/>
                <w:numId w:val="87"/>
              </w:numPr>
              <w:spacing w:before="0" w:beforeAutospacing="0" w:after="60" w:afterAutospacing="0"/>
              <w:jc w:val="both"/>
              <w:rPr>
                <w:rFonts w:ascii="Verdana" w:hAnsi="Verdana"/>
                <w:sz w:val="18"/>
                <w:szCs w:val="18"/>
              </w:rPr>
            </w:pPr>
            <w:r w:rsidRPr="3F4AE0BD">
              <w:rPr>
                <w:rFonts w:ascii="Verdana" w:hAnsi="Verdana"/>
                <w:b/>
                <w:bCs/>
                <w:sz w:val="18"/>
                <w:szCs w:val="18"/>
              </w:rPr>
              <w:t xml:space="preserve">share </w:t>
            </w:r>
            <w:r w:rsidR="0007671D" w:rsidRPr="3F4AE0BD">
              <w:rPr>
                <w:rFonts w:ascii="Verdana" w:hAnsi="Verdana"/>
                <w:b/>
                <w:bCs/>
                <w:sz w:val="18"/>
                <w:szCs w:val="18"/>
              </w:rPr>
              <w:t xml:space="preserve"> of Gross Value Added (GVA) in agriculture</w:t>
            </w:r>
            <w:r w:rsidR="0007671D" w:rsidRPr="00C34DE9">
              <w:rPr>
                <w:rFonts w:ascii="Verdana" w:hAnsi="Verdana"/>
                <w:sz w:val="18"/>
                <w:szCs w:val="18"/>
              </w:rPr>
              <w:t>.</w:t>
            </w:r>
            <w:r w:rsidR="0007671D" w:rsidRPr="00C34DE9">
              <w:rPr>
                <w:rFonts w:ascii="Verdana" w:hAnsi="Verdana" w:cs="Arial"/>
                <w:sz w:val="18"/>
                <w:szCs w:val="18"/>
              </w:rPr>
              <w:t xml:space="preserve"> </w:t>
            </w:r>
          </w:p>
        </w:tc>
      </w:tr>
      <w:tr w:rsidR="0007671D" w:rsidRPr="00C34DE9" w14:paraId="417D0B19"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4271195D"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E6E512" w14:textId="4BB67EB4" w:rsidR="0007671D" w:rsidRPr="00C34DE9" w:rsidRDefault="008908FF" w:rsidP="005B5547">
            <w:pPr>
              <w:spacing w:after="60"/>
              <w:jc w:val="both"/>
              <w:rPr>
                <w:rFonts w:ascii="Verdana" w:hAnsi="Verdana"/>
                <w:sz w:val="18"/>
                <w:szCs w:val="18"/>
              </w:rPr>
            </w:pPr>
            <w:r>
              <w:rPr>
                <w:rFonts w:ascii="Verdana" w:hAnsi="Verdana"/>
                <w:sz w:val="18"/>
                <w:szCs w:val="18"/>
              </w:rPr>
              <w:t xml:space="preserve">1: </w:t>
            </w:r>
            <w:r w:rsidR="0007671D" w:rsidRPr="00C34DE9">
              <w:rPr>
                <w:rFonts w:ascii="Verdana" w:hAnsi="Verdana"/>
                <w:sz w:val="18"/>
                <w:szCs w:val="18"/>
              </w:rPr>
              <w:t>EUR million (in current prices)</w:t>
            </w:r>
          </w:p>
          <w:p w14:paraId="3FEEA6AD" w14:textId="122E1299" w:rsidR="0007671D" w:rsidRPr="00C34DE9" w:rsidRDefault="008908FF" w:rsidP="00156141">
            <w:pPr>
              <w:spacing w:after="60"/>
              <w:jc w:val="both"/>
              <w:rPr>
                <w:rFonts w:ascii="Verdana" w:hAnsi="Verdana"/>
                <w:sz w:val="18"/>
                <w:szCs w:val="18"/>
              </w:rPr>
            </w:pPr>
            <w:r>
              <w:rPr>
                <w:rFonts w:ascii="Verdana" w:hAnsi="Verdana"/>
                <w:sz w:val="18"/>
                <w:szCs w:val="18"/>
              </w:rPr>
              <w:t xml:space="preserve">2: </w:t>
            </w:r>
            <w:r w:rsidR="00156141">
              <w:rPr>
                <w:rFonts w:ascii="Verdana" w:hAnsi="Verdana"/>
                <w:sz w:val="18"/>
                <w:szCs w:val="18"/>
              </w:rPr>
              <w:t>%</w:t>
            </w:r>
          </w:p>
        </w:tc>
      </w:tr>
      <w:tr w:rsidR="0007671D" w:rsidRPr="00C34DE9" w14:paraId="7CB00928"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751F8629"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6AC90E" w14:textId="77777777" w:rsidR="0007671D" w:rsidRPr="00C34DE9" w:rsidRDefault="0007671D" w:rsidP="005B5547">
            <w:pPr>
              <w:spacing w:after="60"/>
              <w:jc w:val="both"/>
              <w:rPr>
                <w:rFonts w:ascii="Verdana" w:eastAsia="Times New Roman" w:hAnsi="Verdana"/>
                <w:sz w:val="18"/>
                <w:szCs w:val="18"/>
              </w:rPr>
            </w:pPr>
            <w:r w:rsidRPr="00C34DE9">
              <w:rPr>
                <w:rFonts w:ascii="Verdana" w:eastAsia="Times New Roman" w:hAnsi="Verdana"/>
                <w:sz w:val="18"/>
                <w:szCs w:val="18"/>
              </w:rPr>
              <w:t>Eurostat – Economic Accounts for Agriculture</w:t>
            </w:r>
            <w:r w:rsidR="006A3B3B" w:rsidRPr="00C34DE9">
              <w:rPr>
                <w:rFonts w:ascii="Verdana" w:eastAsia="Times New Roman" w:hAnsi="Verdana"/>
                <w:sz w:val="18"/>
                <w:szCs w:val="18"/>
              </w:rPr>
              <w:t xml:space="preserve"> (EAA)</w:t>
            </w:r>
            <w:r w:rsidRPr="00C34DE9">
              <w:rPr>
                <w:rFonts w:ascii="Verdana" w:eastAsia="Times New Roman" w:hAnsi="Verdana"/>
                <w:sz w:val="18"/>
                <w:szCs w:val="18"/>
              </w:rPr>
              <w:t xml:space="preserve">, National Accounts </w:t>
            </w:r>
          </w:p>
        </w:tc>
      </w:tr>
      <w:tr w:rsidR="0007671D" w:rsidRPr="00C34DE9" w14:paraId="595F910E"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085C3307"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41E51CF" w14:textId="77777777" w:rsidR="0007671D" w:rsidRPr="006D7BE3" w:rsidRDefault="0007671D" w:rsidP="005B5547">
            <w:pPr>
              <w:pStyle w:val="ListParagraph"/>
              <w:spacing w:after="60"/>
              <w:ind w:left="0"/>
              <w:jc w:val="both"/>
              <w:rPr>
                <w:rFonts w:ascii="Verdana" w:eastAsia="Times New Roman" w:hAnsi="Verdana"/>
                <w:sz w:val="18"/>
                <w:szCs w:val="18"/>
              </w:rPr>
            </w:pPr>
            <w:r w:rsidRPr="006D7BE3">
              <w:rPr>
                <w:rFonts w:ascii="Verdana" w:eastAsia="Times New Roman" w:hAnsi="Verdana"/>
                <w:sz w:val="18"/>
                <w:szCs w:val="18"/>
              </w:rPr>
              <w:t xml:space="preserve">National data: table </w:t>
            </w:r>
            <w:r w:rsidR="00A6594A" w:rsidRPr="006D7BE3">
              <w:rPr>
                <w:rFonts w:ascii="Verdana" w:eastAsia="Times New Roman" w:hAnsi="Verdana"/>
                <w:sz w:val="18"/>
                <w:szCs w:val="18"/>
              </w:rPr>
              <w:t>[</w:t>
            </w:r>
            <w:hyperlink r:id="rId120" w:history="1">
              <w:r w:rsidRPr="006D7BE3">
                <w:rPr>
                  <w:rStyle w:val="Hyperlink"/>
                  <w:rFonts w:ascii="Verdana" w:eastAsia="Times New Roman" w:hAnsi="Verdana"/>
                  <w:sz w:val="18"/>
                  <w:szCs w:val="18"/>
                </w:rPr>
                <w:t>aact_eaa01</w:t>
              </w:r>
            </w:hyperlink>
            <w:r w:rsidR="00A6594A" w:rsidRPr="006D7BE3">
              <w:rPr>
                <w:rStyle w:val="Hyperlink"/>
                <w:rFonts w:ascii="Verdana" w:eastAsia="Times New Roman" w:hAnsi="Verdana"/>
                <w:color w:val="auto"/>
                <w:sz w:val="18"/>
                <w:szCs w:val="18"/>
                <w:u w:val="none"/>
              </w:rPr>
              <w:t>]</w:t>
            </w:r>
            <w:r w:rsidRPr="006D7BE3">
              <w:rPr>
                <w:rFonts w:ascii="Verdana" w:eastAsia="Times New Roman" w:hAnsi="Verdana"/>
                <w:sz w:val="18"/>
                <w:szCs w:val="18"/>
              </w:rPr>
              <w:t xml:space="preserve"> (</w:t>
            </w:r>
            <w:hyperlink r:id="rId121" w:history="1">
              <w:r w:rsidRPr="006D7BE3">
                <w:rPr>
                  <w:rStyle w:val="Hyperlink"/>
                  <w:rFonts w:ascii="Verdana" w:eastAsia="Times New Roman" w:hAnsi="Verdana"/>
                  <w:sz w:val="18"/>
                  <w:szCs w:val="18"/>
                </w:rPr>
                <w:t>aact_eaa05</w:t>
              </w:r>
            </w:hyperlink>
            <w:r w:rsidRPr="006D7BE3">
              <w:rPr>
                <w:rFonts w:ascii="Verdana" w:eastAsia="Times New Roman" w:hAnsi="Verdana"/>
                <w:sz w:val="18"/>
                <w:szCs w:val="18"/>
              </w:rPr>
              <w:t xml:space="preserve"> and </w:t>
            </w:r>
            <w:hyperlink r:id="rId122" w:history="1">
              <w:r w:rsidRPr="006D7BE3">
                <w:rPr>
                  <w:rStyle w:val="Hyperlink"/>
                  <w:rFonts w:ascii="Verdana" w:eastAsia="Times New Roman" w:hAnsi="Verdana"/>
                  <w:sz w:val="18"/>
                  <w:szCs w:val="18"/>
                </w:rPr>
                <w:t>aact_eaa07</w:t>
              </w:r>
            </w:hyperlink>
            <w:r w:rsidRPr="006D7BE3">
              <w:rPr>
                <w:rFonts w:ascii="Verdana" w:eastAsia="Times New Roman" w:hAnsi="Verdana"/>
                <w:sz w:val="18"/>
                <w:szCs w:val="18"/>
              </w:rPr>
              <w:t xml:space="preserve"> were used to calculate GFCF at constant prices)</w:t>
            </w:r>
          </w:p>
          <w:p w14:paraId="2A3549DE" w14:textId="77777777" w:rsidR="0007671D" w:rsidRPr="00C34DE9" w:rsidRDefault="0007671D" w:rsidP="005B5547">
            <w:pPr>
              <w:pStyle w:val="ListParagraph"/>
              <w:spacing w:after="60"/>
              <w:ind w:left="0"/>
              <w:jc w:val="both"/>
            </w:pPr>
            <w:r w:rsidRPr="006D7BE3">
              <w:rPr>
                <w:rFonts w:ascii="Verdana" w:eastAsia="Times New Roman" w:hAnsi="Verdana"/>
                <w:sz w:val="18"/>
                <w:szCs w:val="18"/>
              </w:rPr>
              <w:t xml:space="preserve">Regional data: table </w:t>
            </w:r>
            <w:r w:rsidR="00A6594A" w:rsidRPr="006D7BE3">
              <w:rPr>
                <w:rFonts w:ascii="Verdana" w:eastAsia="Times New Roman" w:hAnsi="Verdana"/>
                <w:sz w:val="18"/>
                <w:szCs w:val="18"/>
              </w:rPr>
              <w:t>[</w:t>
            </w:r>
            <w:hyperlink r:id="rId123" w:history="1">
              <w:r w:rsidRPr="006D7BE3">
                <w:rPr>
                  <w:rStyle w:val="Hyperlink"/>
                  <w:rFonts w:ascii="Verdana" w:eastAsia="Times New Roman" w:hAnsi="Verdana"/>
                  <w:sz w:val="18"/>
                  <w:szCs w:val="18"/>
                </w:rPr>
                <w:t>nama_10r_3gva</w:t>
              </w:r>
            </w:hyperlink>
            <w:r w:rsidR="00A6594A" w:rsidRPr="006D7BE3">
              <w:rPr>
                <w:rStyle w:val="Hyperlink"/>
                <w:rFonts w:ascii="Verdana" w:eastAsia="Times New Roman" w:hAnsi="Verdana"/>
                <w:color w:val="auto"/>
                <w:sz w:val="18"/>
                <w:szCs w:val="18"/>
                <w:u w:val="none"/>
              </w:rPr>
              <w:t>]</w:t>
            </w:r>
            <w:r w:rsidRPr="006D7BE3">
              <w:rPr>
                <w:rStyle w:val="Hyperlink"/>
                <w:rFonts w:ascii="Verdana" w:eastAsia="Times New Roman" w:hAnsi="Verdana"/>
                <w:color w:val="auto"/>
                <w:sz w:val="18"/>
                <w:szCs w:val="18"/>
                <w:u w:val="none"/>
              </w:rPr>
              <w:t xml:space="preserve"> </w:t>
            </w:r>
            <w:r w:rsidRPr="006D7BE3">
              <w:rPr>
                <w:rFonts w:ascii="Verdana" w:eastAsia="Times New Roman" w:hAnsi="Verdana"/>
                <w:sz w:val="18"/>
                <w:szCs w:val="18"/>
              </w:rPr>
              <w:t xml:space="preserve">(GVA in agriculture, forestry and fishing) and </w:t>
            </w:r>
            <w:r w:rsidR="00A6594A" w:rsidRPr="006D7BE3">
              <w:rPr>
                <w:rFonts w:ascii="Verdana" w:eastAsia="Times New Roman" w:hAnsi="Verdana"/>
                <w:sz w:val="18"/>
                <w:szCs w:val="18"/>
              </w:rPr>
              <w:t>table [</w:t>
            </w:r>
            <w:hyperlink r:id="rId124" w:history="1">
              <w:r w:rsidRPr="006D7BE3">
                <w:rPr>
                  <w:rStyle w:val="Hyperlink"/>
                  <w:rFonts w:ascii="Verdana" w:hAnsi="Verdana"/>
                  <w:sz w:val="18"/>
                  <w:szCs w:val="18"/>
                </w:rPr>
                <w:t>nama_10_2gfcf</w:t>
              </w:r>
            </w:hyperlink>
            <w:r w:rsidR="00A6594A" w:rsidRPr="006D7BE3">
              <w:rPr>
                <w:rFonts w:ascii="Verdana" w:eastAsia="Times New Roman" w:hAnsi="Verdana"/>
                <w:sz w:val="18"/>
                <w:szCs w:val="18"/>
              </w:rPr>
              <w:t>]</w:t>
            </w:r>
          </w:p>
        </w:tc>
      </w:tr>
      <w:tr w:rsidR="0007671D" w:rsidRPr="00C34DE9" w14:paraId="3D770329"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424CA3E5"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3871EB" w14:textId="77777777" w:rsidR="0007671D" w:rsidRPr="00C34DE9" w:rsidDel="00F9611E" w:rsidRDefault="00C576F9" w:rsidP="005B5547">
            <w:pPr>
              <w:spacing w:after="60"/>
              <w:jc w:val="both"/>
              <w:rPr>
                <w:rFonts w:ascii="Verdana" w:hAnsi="Verdana"/>
                <w:sz w:val="18"/>
                <w:szCs w:val="18"/>
              </w:rPr>
            </w:pPr>
            <w:r>
              <w:rPr>
                <w:rFonts w:ascii="Verdana" w:hAnsi="Verdana"/>
                <w:sz w:val="18"/>
                <w:szCs w:val="18"/>
              </w:rPr>
              <w:t xml:space="preserve">EU, </w:t>
            </w:r>
            <w:r w:rsidR="0007671D" w:rsidRPr="00C34DE9">
              <w:rPr>
                <w:rFonts w:ascii="Verdana" w:hAnsi="Verdana"/>
                <w:sz w:val="18"/>
                <w:szCs w:val="18"/>
              </w:rPr>
              <w:t>National (NUTS 0)</w:t>
            </w:r>
            <w:r w:rsidR="00A6594A">
              <w:rPr>
                <w:rFonts w:ascii="Verdana" w:hAnsi="Verdana"/>
                <w:sz w:val="18"/>
                <w:szCs w:val="18"/>
              </w:rPr>
              <w:t xml:space="preserve">, </w:t>
            </w:r>
            <w:r w:rsidR="0007671D" w:rsidRPr="00C34DE9">
              <w:rPr>
                <w:rFonts w:ascii="Verdana" w:hAnsi="Verdana"/>
                <w:sz w:val="18"/>
                <w:szCs w:val="18"/>
              </w:rPr>
              <w:t>Regional (NUTS 1 and 2)</w:t>
            </w:r>
          </w:p>
        </w:tc>
      </w:tr>
      <w:tr w:rsidR="0007671D" w:rsidRPr="00C34DE9" w14:paraId="60FFE974"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19C11DFA"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0A7D0BF" w14:textId="77777777" w:rsidR="0007671D" w:rsidRPr="00C34DE9" w:rsidRDefault="0007671D" w:rsidP="790C88FB">
            <w:pPr>
              <w:pStyle w:val="NormalWeb"/>
              <w:spacing w:after="60" w:afterAutospacing="0"/>
              <w:jc w:val="both"/>
              <w:rPr>
                <w:rFonts w:ascii="Verdana" w:hAnsi="Verdana"/>
                <w:sz w:val="18"/>
                <w:szCs w:val="18"/>
              </w:rPr>
            </w:pPr>
            <w:r w:rsidRPr="00C34DE9">
              <w:rPr>
                <w:rFonts w:ascii="Verdana" w:hAnsi="Verdana"/>
                <w:sz w:val="18"/>
                <w:szCs w:val="18"/>
              </w:rPr>
              <w:t>Annual</w:t>
            </w:r>
          </w:p>
        </w:tc>
      </w:tr>
      <w:tr w:rsidR="0007671D" w:rsidRPr="00C34DE9" w14:paraId="1ECBE3C3"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54ABFE93"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5523BC5" w14:textId="77777777" w:rsidR="006A3B3B" w:rsidRPr="00C34DE9" w:rsidRDefault="00135DA7" w:rsidP="005B5547">
            <w:pPr>
              <w:spacing w:after="60"/>
              <w:jc w:val="both"/>
              <w:rPr>
                <w:rFonts w:ascii="Verdana" w:hAnsi="Verdana"/>
                <w:sz w:val="18"/>
                <w:szCs w:val="18"/>
              </w:rPr>
            </w:pPr>
            <w:r w:rsidRPr="00C34DE9">
              <w:rPr>
                <w:rFonts w:ascii="Verdana" w:hAnsi="Verdana"/>
                <w:sz w:val="18"/>
                <w:szCs w:val="18"/>
              </w:rPr>
              <w:t>1 year</w:t>
            </w:r>
          </w:p>
        </w:tc>
      </w:tr>
      <w:tr w:rsidR="0007671D" w:rsidRPr="00C34DE9" w14:paraId="67909C6C" w14:textId="77777777" w:rsidTr="4A21BF56">
        <w:tc>
          <w:tcPr>
            <w:tcW w:w="2802" w:type="dxa"/>
            <w:tcBorders>
              <w:top w:val="single" w:sz="4" w:space="0" w:color="auto"/>
              <w:left w:val="single" w:sz="4" w:space="0" w:color="auto"/>
              <w:bottom w:val="single" w:sz="4" w:space="0" w:color="auto"/>
              <w:right w:val="single" w:sz="4" w:space="0" w:color="auto"/>
            </w:tcBorders>
            <w:vAlign w:val="center"/>
          </w:tcPr>
          <w:p w14:paraId="0EED7899"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w:t>
            </w:r>
          </w:p>
          <w:p w14:paraId="4738475E"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/caveats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16CD6B" w14:textId="77777777" w:rsidR="0007671D" w:rsidRPr="005D44FE" w:rsidRDefault="0007671D" w:rsidP="005B5547">
            <w:pPr>
              <w:spacing w:after="60"/>
              <w:jc w:val="both"/>
              <w:rPr>
                <w:rFonts w:ascii="Verdana" w:hAnsi="Verdana"/>
                <w:sz w:val="18"/>
                <w:szCs w:val="18"/>
              </w:rPr>
            </w:pPr>
            <w:r w:rsidRPr="005D44FE">
              <w:rPr>
                <w:rFonts w:ascii="Verdana" w:hAnsi="Verdana"/>
                <w:sz w:val="18"/>
                <w:szCs w:val="18"/>
              </w:rPr>
              <w:t xml:space="preserve">GFCF variables for table </w:t>
            </w:r>
            <w:r w:rsidR="00A6594A" w:rsidRPr="005D44FE">
              <w:rPr>
                <w:rFonts w:ascii="Verdana" w:eastAsia="Times New Roman" w:hAnsi="Verdana"/>
                <w:sz w:val="18"/>
                <w:szCs w:val="18"/>
              </w:rPr>
              <w:t>[</w:t>
            </w:r>
            <w:hyperlink r:id="rId125" w:history="1">
              <w:r w:rsidR="00A6594A" w:rsidRPr="005D44FE">
                <w:rPr>
                  <w:rStyle w:val="Hyperlink"/>
                  <w:rFonts w:ascii="Verdana" w:eastAsia="Times New Roman" w:hAnsi="Verdana"/>
                  <w:sz w:val="18"/>
                  <w:szCs w:val="18"/>
                </w:rPr>
                <w:t>aact_eaa01</w:t>
              </w:r>
            </w:hyperlink>
            <w:r w:rsidR="00A6594A" w:rsidRPr="005D44FE">
              <w:rPr>
                <w:rStyle w:val="Hyperlink"/>
                <w:rFonts w:ascii="Verdana" w:eastAsia="Times New Roman" w:hAnsi="Verdana"/>
                <w:color w:val="auto"/>
                <w:sz w:val="18"/>
                <w:szCs w:val="18"/>
                <w:u w:val="none"/>
              </w:rPr>
              <w:t>]</w:t>
            </w:r>
            <w:r w:rsidRPr="005D44FE">
              <w:rPr>
                <w:rFonts w:ascii="Verdana" w:hAnsi="Verdana"/>
                <w:sz w:val="18"/>
                <w:szCs w:val="18"/>
              </w:rPr>
              <w:t xml:space="preserve">: Production value at basic price; 34000 Gross fixed capital formation (excluding deductible VAT); variables for table </w:t>
            </w:r>
            <w:r w:rsidR="00A6594A" w:rsidRPr="005D44FE">
              <w:rPr>
                <w:rFonts w:ascii="Verdana" w:hAnsi="Verdana"/>
                <w:sz w:val="18"/>
                <w:szCs w:val="18"/>
              </w:rPr>
              <w:t>[</w:t>
            </w:r>
            <w:hyperlink r:id="rId126" w:history="1">
              <w:r w:rsidRPr="005D44FE">
                <w:rPr>
                  <w:rStyle w:val="Hyperlink"/>
                  <w:rFonts w:ascii="Verdana" w:hAnsi="Verdana"/>
                  <w:sz w:val="18"/>
                  <w:szCs w:val="18"/>
                </w:rPr>
                <w:t>nama_10r_2gfcf</w:t>
              </w:r>
            </w:hyperlink>
            <w:r w:rsidR="00A6594A" w:rsidRPr="005D44FE">
              <w:rPr>
                <w:rFonts w:ascii="Verdana" w:hAnsi="Verdana"/>
                <w:sz w:val="18"/>
                <w:szCs w:val="18"/>
              </w:rPr>
              <w:t>]</w:t>
            </w:r>
            <w:r w:rsidRPr="005D44FE">
              <w:rPr>
                <w:rFonts w:ascii="Verdana" w:hAnsi="Verdana"/>
                <w:sz w:val="18"/>
                <w:szCs w:val="18"/>
              </w:rPr>
              <w:t>: Agriculture, forestry and fishing.</w:t>
            </w:r>
          </w:p>
          <w:p w14:paraId="66D36DC4" w14:textId="77777777" w:rsidR="0007671D" w:rsidRPr="005D44FE" w:rsidRDefault="0007671D" w:rsidP="005B5547">
            <w:pPr>
              <w:spacing w:after="60"/>
              <w:jc w:val="both"/>
              <w:rPr>
                <w:rFonts w:ascii="Verdana" w:hAnsi="Verdana"/>
                <w:sz w:val="18"/>
                <w:szCs w:val="18"/>
              </w:rPr>
            </w:pPr>
            <w:r w:rsidRPr="005D44FE">
              <w:rPr>
                <w:rFonts w:ascii="Verdana" w:hAnsi="Verdana"/>
                <w:sz w:val="18"/>
                <w:szCs w:val="18"/>
              </w:rPr>
              <w:t xml:space="preserve">GVA variables for table </w:t>
            </w:r>
            <w:r w:rsidR="00A6594A" w:rsidRPr="005D44FE">
              <w:rPr>
                <w:rFonts w:ascii="Verdana" w:eastAsia="Times New Roman" w:hAnsi="Verdana"/>
                <w:sz w:val="18"/>
                <w:szCs w:val="18"/>
              </w:rPr>
              <w:t>[</w:t>
            </w:r>
            <w:hyperlink r:id="rId127" w:history="1">
              <w:r w:rsidR="00A6594A" w:rsidRPr="005D44FE">
                <w:rPr>
                  <w:rStyle w:val="Hyperlink"/>
                  <w:rFonts w:ascii="Verdana" w:eastAsia="Times New Roman" w:hAnsi="Verdana"/>
                  <w:sz w:val="18"/>
                  <w:szCs w:val="18"/>
                </w:rPr>
                <w:t>aact_eaa01</w:t>
              </w:r>
            </w:hyperlink>
            <w:r w:rsidR="00A6594A" w:rsidRPr="005D44FE">
              <w:rPr>
                <w:rStyle w:val="Hyperlink"/>
                <w:rFonts w:ascii="Verdana" w:eastAsia="Times New Roman" w:hAnsi="Verdana"/>
                <w:color w:val="auto"/>
                <w:sz w:val="18"/>
                <w:szCs w:val="18"/>
                <w:u w:val="none"/>
              </w:rPr>
              <w:t>]</w:t>
            </w:r>
            <w:r w:rsidRPr="005D44FE">
              <w:rPr>
                <w:rFonts w:ascii="Verdana" w:hAnsi="Verdana"/>
                <w:sz w:val="18"/>
                <w:szCs w:val="18"/>
              </w:rPr>
              <w:t xml:space="preserve">: Gross value added at basic prices; variable for table </w:t>
            </w:r>
            <w:r w:rsidR="00A6594A" w:rsidRPr="005D44FE">
              <w:rPr>
                <w:rFonts w:ascii="Verdana" w:hAnsi="Verdana"/>
                <w:sz w:val="18"/>
                <w:szCs w:val="18"/>
              </w:rPr>
              <w:t>[</w:t>
            </w:r>
            <w:hyperlink r:id="rId128" w:history="1">
              <w:r w:rsidRPr="005D44FE">
                <w:rPr>
                  <w:rStyle w:val="Hyperlink"/>
                  <w:rFonts w:ascii="Verdana" w:hAnsi="Verdana"/>
                  <w:sz w:val="18"/>
                  <w:szCs w:val="18"/>
                </w:rPr>
                <w:t>nama_10r_3gva</w:t>
              </w:r>
            </w:hyperlink>
            <w:r w:rsidR="00A6594A" w:rsidRPr="005D44FE">
              <w:rPr>
                <w:rFonts w:ascii="Verdana" w:hAnsi="Verdana"/>
                <w:sz w:val="18"/>
                <w:szCs w:val="18"/>
              </w:rPr>
              <w:t>]</w:t>
            </w:r>
            <w:r w:rsidRPr="005D44FE">
              <w:rPr>
                <w:rFonts w:ascii="Verdana" w:hAnsi="Verdana"/>
                <w:sz w:val="18"/>
                <w:szCs w:val="18"/>
              </w:rPr>
              <w:t>: Agriculture, forestry and fishing.</w:t>
            </w:r>
          </w:p>
          <w:p w14:paraId="5826E79F" w14:textId="77777777" w:rsidR="0007671D" w:rsidRPr="00C34DE9" w:rsidRDefault="0007671D" w:rsidP="005B5547">
            <w:pPr>
              <w:spacing w:after="60"/>
              <w:jc w:val="both"/>
              <w:rPr>
                <w:rFonts w:ascii="Verdana" w:hAnsi="Verdana"/>
                <w:sz w:val="18"/>
                <w:szCs w:val="18"/>
              </w:rPr>
            </w:pPr>
            <w:r w:rsidRPr="005D44FE">
              <w:rPr>
                <w:rFonts w:ascii="Verdana" w:hAnsi="Verdana"/>
                <w:sz w:val="18"/>
                <w:szCs w:val="18"/>
              </w:rPr>
              <w:t>There are differences between national and regional data since the former is based on the Economic accounts for agriculture and the latter is related to the National Accounts (ESA 2010).</w:t>
            </w:r>
          </w:p>
        </w:tc>
      </w:tr>
    </w:tbl>
    <w:p w14:paraId="31CDB706" w14:textId="77777777" w:rsidR="005B5547" w:rsidRPr="00C34DE9" w:rsidRDefault="005B5547">
      <w:pPr>
        <w:rPr>
          <w:rFonts w:ascii="Verdana" w:hAnsi="Verdana"/>
          <w:sz w:val="18"/>
          <w:szCs w:val="18"/>
        </w:rPr>
      </w:pPr>
    </w:p>
    <w:p w14:paraId="3BF32836" w14:textId="77777777" w:rsidR="005B5547" w:rsidRPr="00C34DE9" w:rsidRDefault="005B5547">
      <w:pPr>
        <w:rPr>
          <w:rFonts w:ascii="Verdana" w:hAnsi="Verdana"/>
          <w:sz w:val="18"/>
          <w:szCs w:val="18"/>
        </w:rPr>
      </w:pPr>
      <w:r w:rsidRPr="00C34DE9">
        <w:rPr>
          <w:rFonts w:ascii="Verdana" w:hAnsi="Verdana"/>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371"/>
      </w:tblGrid>
      <w:tr w:rsidR="0007671D" w:rsidRPr="00C34DE9" w14:paraId="4A1916FA" w14:textId="77777777" w:rsidTr="790C88FB">
        <w:trPr>
          <w:trHeight w:val="411"/>
        </w:trPr>
        <w:tc>
          <w:tcPr>
            <w:tcW w:w="2802" w:type="dxa"/>
            <w:shd w:val="clear" w:color="auto" w:fill="00B0F0"/>
          </w:tcPr>
          <w:p w14:paraId="7A5A80F2" w14:textId="2147C76F" w:rsidR="0007671D" w:rsidRPr="00C34DE9" w:rsidRDefault="00A6594A" w:rsidP="002D72D6">
            <w:pPr>
              <w:spacing w:after="60" w:line="240" w:lineRule="auto"/>
              <w:rPr>
                <w:rFonts w:ascii="Verdana" w:hAnsi="Verdana"/>
                <w:b/>
                <w:bCs/>
                <w:sz w:val="18"/>
                <w:szCs w:val="18"/>
              </w:rPr>
            </w:pPr>
            <w:bookmarkStart w:id="39" w:name="C28"/>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2</w:t>
            </w:r>
            <w:r w:rsidR="002D72D6">
              <w:rPr>
                <w:rFonts w:ascii="Verdana" w:hAnsi="Verdana"/>
                <w:b/>
                <w:bCs/>
                <w:sz w:val="18"/>
                <w:szCs w:val="18"/>
              </w:rPr>
              <w:t>9</w:t>
            </w:r>
            <w:bookmarkEnd w:id="39"/>
          </w:p>
        </w:tc>
        <w:tc>
          <w:tcPr>
            <w:tcW w:w="7371" w:type="dxa"/>
            <w:shd w:val="clear" w:color="auto" w:fill="00B0F0"/>
          </w:tcPr>
          <w:p w14:paraId="7D11C23D" w14:textId="77777777" w:rsidR="00DF348E" w:rsidRPr="00DF348E" w:rsidRDefault="00DF348E" w:rsidP="00DF348E">
            <w:pPr>
              <w:spacing w:after="60" w:line="240" w:lineRule="auto"/>
              <w:rPr>
                <w:rFonts w:ascii="Verdana" w:hAnsi="Verdana"/>
                <w:caps/>
                <w:sz w:val="18"/>
                <w:szCs w:val="18"/>
              </w:rPr>
            </w:pPr>
            <w:bookmarkStart w:id="40" w:name="I06"/>
            <w:r w:rsidRPr="5CB4B133">
              <w:rPr>
                <w:rFonts w:ascii="Verdana" w:hAnsi="Verdana"/>
                <w:b/>
                <w:bCs/>
                <w:sz w:val="18"/>
                <w:szCs w:val="18"/>
              </w:rPr>
              <w:t>Indicator I.6</w:t>
            </w:r>
            <w:bookmarkEnd w:id="40"/>
            <w:r w:rsidRPr="5CB4B133">
              <w:rPr>
                <w:rFonts w:ascii="Verdana" w:hAnsi="Verdana"/>
                <w:b/>
                <w:bCs/>
                <w:sz w:val="18"/>
                <w:szCs w:val="18"/>
              </w:rPr>
              <w:t xml:space="preserve"> Increasing farm productivity</w:t>
            </w:r>
            <w:r w:rsidRPr="00DF348E">
              <w:rPr>
                <w:rFonts w:ascii="Verdana" w:hAnsi="Verdana"/>
                <w:sz w:val="18"/>
                <w:szCs w:val="18"/>
              </w:rPr>
              <w:t>:</w:t>
            </w:r>
          </w:p>
          <w:p w14:paraId="2D55A7F4" w14:textId="77777777" w:rsidR="0007671D" w:rsidRPr="00C34DE9" w:rsidRDefault="00DF348E" w:rsidP="00DF348E">
            <w:pPr>
              <w:spacing w:after="60"/>
              <w:rPr>
                <w:rFonts w:ascii="Verdana" w:hAnsi="Verdana"/>
                <w:caps/>
                <w:sz w:val="18"/>
                <w:szCs w:val="18"/>
              </w:rPr>
            </w:pPr>
            <w:r>
              <w:rPr>
                <w:rFonts w:ascii="Verdana" w:hAnsi="Verdana"/>
                <w:sz w:val="18"/>
                <w:szCs w:val="18"/>
              </w:rPr>
              <w:t>T</w:t>
            </w:r>
            <w:r w:rsidRPr="00DF348E">
              <w:rPr>
                <w:rFonts w:ascii="Verdana" w:hAnsi="Verdana"/>
                <w:sz w:val="18"/>
                <w:szCs w:val="18"/>
              </w:rPr>
              <w:t>otal factor productivity</w:t>
            </w:r>
            <w:r w:rsidRPr="00DF348E" w:rsidDel="00DF348E">
              <w:rPr>
                <w:rFonts w:ascii="Verdana" w:hAnsi="Verdana"/>
                <w:sz w:val="18"/>
                <w:szCs w:val="18"/>
              </w:rPr>
              <w:t xml:space="preserve"> </w:t>
            </w:r>
            <w:r w:rsidR="00E42816">
              <w:rPr>
                <w:rFonts w:ascii="Verdana" w:hAnsi="Verdana"/>
                <w:sz w:val="18"/>
                <w:szCs w:val="18"/>
              </w:rPr>
              <w:t>in agriculture</w:t>
            </w:r>
          </w:p>
        </w:tc>
      </w:tr>
      <w:tr w:rsidR="0007671D" w:rsidRPr="00C34DE9" w14:paraId="795967F4" w14:textId="77777777" w:rsidTr="790C88FB">
        <w:trPr>
          <w:trHeight w:val="556"/>
        </w:trPr>
        <w:tc>
          <w:tcPr>
            <w:tcW w:w="2802" w:type="dxa"/>
            <w:shd w:val="clear" w:color="auto" w:fill="auto"/>
          </w:tcPr>
          <w:p w14:paraId="5EF26601" w14:textId="77777777" w:rsidR="0007671D" w:rsidRPr="00C34DE9" w:rsidRDefault="0007671D" w:rsidP="5CB4B133">
            <w:pPr>
              <w:spacing w:before="60" w:after="60" w:line="240" w:lineRule="auto"/>
              <w:rPr>
                <w:rFonts w:ascii="Verdana" w:hAnsi="Verdana"/>
                <w:b/>
                <w:bCs/>
                <w:sz w:val="18"/>
                <w:szCs w:val="18"/>
              </w:rPr>
            </w:pPr>
            <w:r w:rsidRPr="5CB4B133">
              <w:rPr>
                <w:rFonts w:ascii="Verdana" w:hAnsi="Verdana"/>
                <w:b/>
                <w:bCs/>
                <w:sz w:val="18"/>
                <w:szCs w:val="18"/>
              </w:rPr>
              <w:t>Indicator Name</w:t>
            </w:r>
          </w:p>
        </w:tc>
        <w:tc>
          <w:tcPr>
            <w:tcW w:w="7371" w:type="dxa"/>
            <w:shd w:val="clear" w:color="auto" w:fill="auto"/>
          </w:tcPr>
          <w:p w14:paraId="14401459" w14:textId="77777777" w:rsidR="0007671D" w:rsidRPr="00C34DE9" w:rsidRDefault="0007671D" w:rsidP="5CB4B133">
            <w:pPr>
              <w:spacing w:before="60" w:after="60" w:line="240" w:lineRule="auto"/>
              <w:jc w:val="center"/>
              <w:rPr>
                <w:rFonts w:ascii="Verdana" w:hAnsi="Verdana"/>
                <w:b/>
                <w:bCs/>
                <w:sz w:val="18"/>
                <w:szCs w:val="18"/>
              </w:rPr>
            </w:pPr>
            <w:r w:rsidRPr="5CB4B133">
              <w:rPr>
                <w:rFonts w:ascii="Verdana" w:hAnsi="Verdana"/>
                <w:b/>
                <w:bCs/>
                <w:sz w:val="18"/>
                <w:szCs w:val="18"/>
              </w:rPr>
              <w:t>Total factor productivity in agriculture</w:t>
            </w:r>
          </w:p>
        </w:tc>
      </w:tr>
      <w:tr w:rsidR="0007671D" w:rsidRPr="00C34DE9" w14:paraId="04D3744C" w14:textId="77777777" w:rsidTr="790C88FB">
        <w:tc>
          <w:tcPr>
            <w:tcW w:w="2802" w:type="dxa"/>
            <w:shd w:val="clear" w:color="auto" w:fill="auto"/>
          </w:tcPr>
          <w:p w14:paraId="75F602BC"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371" w:type="dxa"/>
            <w:shd w:val="clear" w:color="auto" w:fill="auto"/>
            <w:vAlign w:val="center"/>
          </w:tcPr>
          <w:p w14:paraId="79D3D350" w14:textId="2A5A4A9E" w:rsidR="0007671D" w:rsidRPr="00C34DE9" w:rsidRDefault="0007671D" w:rsidP="005B5547">
            <w:pPr>
              <w:spacing w:after="240" w:line="240" w:lineRule="auto"/>
              <w:jc w:val="both"/>
              <w:rPr>
                <w:rFonts w:ascii="Verdana" w:hAnsi="Verdana"/>
                <w:sz w:val="18"/>
                <w:szCs w:val="18"/>
              </w:rPr>
            </w:pPr>
            <w:r w:rsidRPr="3B80D187">
              <w:rPr>
                <w:rFonts w:ascii="Verdana" w:hAnsi="Verdana"/>
                <w:b/>
                <w:bCs/>
                <w:sz w:val="18"/>
                <w:szCs w:val="18"/>
              </w:rPr>
              <w:t>Total factor productivity (TFP) compares total outputs relative to the total inputs used in production of the output. As both output and inputs are expressed in term of volume indices, the indicator measures TFP growth.</w:t>
            </w:r>
            <w:r w:rsidRPr="00C34DE9">
              <w:rPr>
                <w:rFonts w:ascii="Verdana" w:hAnsi="Verdana"/>
                <w:sz w:val="18"/>
                <w:szCs w:val="18"/>
              </w:rPr>
              <w:t xml:space="preserve"> The change in production and input volumes is measured over a defined period (20</w:t>
            </w:r>
            <w:r w:rsidR="00FA778A">
              <w:rPr>
                <w:rFonts w:ascii="Verdana" w:hAnsi="Verdana"/>
                <w:sz w:val="18"/>
                <w:szCs w:val="18"/>
              </w:rPr>
              <w:t>10</w:t>
            </w:r>
            <w:r w:rsidRPr="00C34DE9">
              <w:rPr>
                <w:rFonts w:ascii="Verdana" w:hAnsi="Verdana"/>
                <w:sz w:val="18"/>
                <w:szCs w:val="18"/>
              </w:rPr>
              <w:t>=100). To aggregate the different output (and input) volume indices, the production (and input) values are used as weights. This allows capturing the relative importance between outputs, or inputs.</w:t>
            </w:r>
          </w:p>
          <w:p w14:paraId="4E5EAF5B" w14:textId="77777777" w:rsidR="0007671D" w:rsidRPr="00C34DE9" w:rsidRDefault="0007671D" w:rsidP="5CB4B133">
            <w:pPr>
              <w:spacing w:after="240" w:line="240" w:lineRule="auto"/>
              <w:jc w:val="both"/>
              <w:rPr>
                <w:rFonts w:ascii="Verdana" w:hAnsi="Verdana"/>
                <w:b/>
                <w:bCs/>
                <w:sz w:val="18"/>
                <w:szCs w:val="18"/>
              </w:rPr>
            </w:pPr>
            <w:r w:rsidRPr="5CB4B133">
              <w:rPr>
                <w:rFonts w:ascii="Verdana" w:hAnsi="Verdana"/>
                <w:b/>
                <w:bCs/>
                <w:sz w:val="18"/>
                <w:szCs w:val="18"/>
              </w:rPr>
              <w:t>TFP reflects output per unit of some combined set of inputs: an increase in TFP reflects a gain in output quantity</w:t>
            </w:r>
            <w:r w:rsidR="00DF348E" w:rsidRPr="5CB4B133">
              <w:rPr>
                <w:rFonts w:ascii="Verdana" w:hAnsi="Verdana"/>
                <w:b/>
                <w:bCs/>
                <w:sz w:val="18"/>
                <w:szCs w:val="18"/>
              </w:rPr>
              <w:t>,</w:t>
            </w:r>
            <w:r w:rsidRPr="5CB4B133">
              <w:rPr>
                <w:rFonts w:ascii="Verdana" w:hAnsi="Verdana"/>
                <w:b/>
                <w:bCs/>
                <w:sz w:val="18"/>
                <w:szCs w:val="18"/>
              </w:rPr>
              <w:t xml:space="preserve"> which is not originating in from an increase of input use.</w:t>
            </w:r>
          </w:p>
          <w:p w14:paraId="217A0350"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As a result, TFP reveals the joint effects of many factors including new technologies, efficiency gains, economies of scale, managerial skill, and changes in the organi</w:t>
            </w:r>
            <w:r w:rsidR="00A6594A">
              <w:rPr>
                <w:rFonts w:ascii="Verdana" w:hAnsi="Verdana"/>
                <w:sz w:val="18"/>
                <w:szCs w:val="18"/>
              </w:rPr>
              <w:t>s</w:t>
            </w:r>
            <w:r w:rsidRPr="00C34DE9">
              <w:rPr>
                <w:rFonts w:ascii="Verdana" w:hAnsi="Verdana"/>
                <w:sz w:val="18"/>
                <w:szCs w:val="18"/>
              </w:rPr>
              <w:t>ation of production.</w:t>
            </w:r>
          </w:p>
          <w:p w14:paraId="60DDD1F4" w14:textId="77777777" w:rsidR="0007671D" w:rsidRPr="00C34DE9" w:rsidRDefault="0007671D" w:rsidP="005B5547">
            <w:pPr>
              <w:spacing w:after="60" w:line="240" w:lineRule="auto"/>
              <w:jc w:val="both"/>
              <w:rPr>
                <w:rFonts w:ascii="Verdana" w:hAnsi="Verdana"/>
                <w:sz w:val="18"/>
                <w:szCs w:val="18"/>
              </w:rPr>
            </w:pPr>
          </w:p>
          <w:p w14:paraId="38CC58D4"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TFP index is defined as the ratio between an Output Index (i.e. the change in production volumes over a considered period) and an Input Index (the corresponding change in inputs/factors used to produce them).</w:t>
            </w:r>
          </w:p>
          <w:p w14:paraId="12789908"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 xml:space="preserve">Output and input indices are calculated as weighted averages of changes in produced quantities and in input quantities respectively, where the weights are represented by the production value of the various products and the expenditure for each of the four considered production factors (intermediate inputs, land, labour, capital). </w:t>
            </w:r>
          </w:p>
          <w:p w14:paraId="37937D7B"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Depending on the type of average applied and the chosen reference period for the weights, the TFP indicator assumes different analytical forms. Laspeyres indices are defined as arithmetic means with weighting factors referring to the time 0 (base year), while Paasche indices are harmonic means with weighting factors referring to the time t (current year).</w:t>
            </w:r>
          </w:p>
          <w:p w14:paraId="3041ACA7"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 xml:space="preserve">In formula, the TFP Laspeyres index is given by: </w:t>
            </w:r>
            <w:r w:rsidR="00C93C4D">
              <w:rPr>
                <w:rFonts w:ascii="Verdana" w:hAnsi="Verdana"/>
                <w:noProof/>
                <w:sz w:val="18"/>
                <w:szCs w:val="18"/>
                <w:lang w:val="en-US" w:eastAsia="en-US"/>
              </w:rPr>
              <w:drawing>
                <wp:inline distT="0" distB="0" distL="0" distR="0" wp14:anchorId="5E057DD6" wp14:editId="13B96B96">
                  <wp:extent cx="12801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C93C4D">
              <w:rPr>
                <w:rFonts w:ascii="Verdana" w:hAnsi="Verdana"/>
                <w:noProof/>
                <w:sz w:val="18"/>
                <w:szCs w:val="18"/>
                <w:lang w:val="en-US" w:eastAsia="en-US"/>
              </w:rPr>
              <w:drawing>
                <wp:inline distT="0" distB="0" distL="0" distR="0" wp14:anchorId="4B612219" wp14:editId="6865F34B">
                  <wp:extent cx="356616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66160" cy="937260"/>
                          </a:xfrm>
                          <a:prstGeom prst="rect">
                            <a:avLst/>
                          </a:prstGeom>
                          <a:noFill/>
                          <a:ln>
                            <a:noFill/>
                          </a:ln>
                        </pic:spPr>
                      </pic:pic>
                    </a:graphicData>
                  </a:graphic>
                </wp:inline>
              </w:drawing>
            </w:r>
            <w:r w:rsidRPr="00C34DE9">
              <w:rPr>
                <w:rFonts w:ascii="Verdana" w:hAnsi="Verdana"/>
                <w:sz w:val="18"/>
                <w:szCs w:val="18"/>
              </w:rPr>
              <w:t>,</w:t>
            </w:r>
          </w:p>
          <w:p w14:paraId="62895BC2"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while TFP Paasche index is defined as:</w:t>
            </w:r>
          </w:p>
          <w:p w14:paraId="4A91FA31" w14:textId="77777777" w:rsidR="0007671D" w:rsidRPr="00C34DE9" w:rsidRDefault="00C93C4D" w:rsidP="005B5547">
            <w:pPr>
              <w:spacing w:after="240" w:line="240" w:lineRule="auto"/>
              <w:jc w:val="both"/>
              <w:rPr>
                <w:rFonts w:ascii="Verdana" w:hAnsi="Verdana"/>
                <w:sz w:val="18"/>
                <w:szCs w:val="18"/>
              </w:rPr>
            </w:pPr>
            <w:r>
              <w:rPr>
                <w:rFonts w:ascii="Verdana" w:hAnsi="Verdana"/>
                <w:noProof/>
                <w:sz w:val="18"/>
                <w:szCs w:val="18"/>
                <w:lang w:val="en-US" w:eastAsia="en-US"/>
              </w:rPr>
              <w:drawing>
                <wp:inline distT="0" distB="0" distL="0" distR="0" wp14:anchorId="2A3378C3" wp14:editId="13AC95A1">
                  <wp:extent cx="128016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Pr>
                <w:rFonts w:ascii="Verdana" w:hAnsi="Verdana"/>
                <w:noProof/>
                <w:sz w:val="18"/>
                <w:szCs w:val="18"/>
                <w:lang w:val="en-US" w:eastAsia="en-US"/>
              </w:rPr>
              <w:lastRenderedPageBreak/>
              <w:drawing>
                <wp:inline distT="0" distB="0" distL="0" distR="0" wp14:anchorId="5EF4EB39" wp14:editId="74F0CA36">
                  <wp:extent cx="38938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893820" cy="1066800"/>
                          </a:xfrm>
                          <a:prstGeom prst="rect">
                            <a:avLst/>
                          </a:prstGeom>
                          <a:noFill/>
                          <a:ln>
                            <a:noFill/>
                          </a:ln>
                        </pic:spPr>
                      </pic:pic>
                    </a:graphicData>
                  </a:graphic>
                </wp:inline>
              </w:drawing>
            </w:r>
            <w:r w:rsidR="0007671D" w:rsidRPr="00C34DE9">
              <w:rPr>
                <w:rFonts w:ascii="Verdana" w:hAnsi="Verdana"/>
                <w:sz w:val="18"/>
                <w:szCs w:val="18"/>
              </w:rPr>
              <w:t>,</w:t>
            </w:r>
          </w:p>
          <w:p w14:paraId="5D380609"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 xml:space="preserve">where </w:t>
            </w:r>
            <w:r w:rsidR="00C93C4D">
              <w:rPr>
                <w:rFonts w:ascii="Verdana" w:hAnsi="Verdana"/>
                <w:noProof/>
                <w:sz w:val="18"/>
                <w:szCs w:val="18"/>
                <w:lang w:val="en-US" w:eastAsia="en-US"/>
              </w:rPr>
              <w:drawing>
                <wp:inline distT="0" distB="0" distL="0" distR="0" wp14:anchorId="548A7805" wp14:editId="5F2B4223">
                  <wp:extent cx="19812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Pr="00C34DE9">
              <w:rPr>
                <w:rFonts w:ascii="Verdana" w:hAnsi="Verdana"/>
                <w:sz w:val="18"/>
                <w:szCs w:val="18"/>
              </w:rPr>
              <w:t xml:space="preserve"> and </w:t>
            </w:r>
            <w:r w:rsidR="00C93C4D">
              <w:rPr>
                <w:rFonts w:ascii="Verdana" w:hAnsi="Verdana"/>
                <w:noProof/>
                <w:sz w:val="18"/>
                <w:szCs w:val="18"/>
                <w:lang w:val="en-US" w:eastAsia="en-US"/>
              </w:rPr>
              <w:drawing>
                <wp:inline distT="0" distB="0" distL="0" distR="0" wp14:anchorId="19952F41" wp14:editId="0B4291BB">
                  <wp:extent cx="17526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C34DE9">
              <w:rPr>
                <w:rFonts w:ascii="Verdana" w:hAnsi="Verdana"/>
                <w:sz w:val="18"/>
                <w:szCs w:val="18"/>
              </w:rPr>
              <w:t xml:space="preserve"> are respectively the quantity of product j and factor k at time t, while</w:t>
            </w:r>
            <w:r w:rsidR="00C93C4D">
              <w:rPr>
                <w:rFonts w:ascii="Verdana" w:hAnsi="Verdana"/>
                <w:noProof/>
                <w:sz w:val="18"/>
                <w:szCs w:val="18"/>
                <w:lang w:val="en-US" w:eastAsia="en-US"/>
              </w:rPr>
              <w:drawing>
                <wp:inline distT="0" distB="0" distL="0" distR="0" wp14:anchorId="13DD607E" wp14:editId="2ECB8609">
                  <wp:extent cx="23622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36220" cy="251460"/>
                          </a:xfrm>
                          <a:prstGeom prst="rect">
                            <a:avLst/>
                          </a:prstGeom>
                          <a:noFill/>
                          <a:ln>
                            <a:noFill/>
                          </a:ln>
                        </pic:spPr>
                      </pic:pic>
                    </a:graphicData>
                  </a:graphic>
                </wp:inline>
              </w:drawing>
            </w:r>
            <w:r w:rsidRPr="00C34DE9">
              <w:rPr>
                <w:rFonts w:ascii="Verdana" w:hAnsi="Verdana"/>
                <w:sz w:val="18"/>
                <w:szCs w:val="18"/>
              </w:rPr>
              <w:t xml:space="preserve"> and </w:t>
            </w:r>
            <w:r w:rsidR="00C93C4D">
              <w:rPr>
                <w:rFonts w:ascii="Verdana" w:hAnsi="Verdana"/>
                <w:noProof/>
                <w:sz w:val="18"/>
                <w:szCs w:val="18"/>
                <w:lang w:val="en-US" w:eastAsia="en-US"/>
              </w:rPr>
              <w:drawing>
                <wp:inline distT="0" distB="0" distL="0" distR="0" wp14:anchorId="50E1CCF4" wp14:editId="018083A3">
                  <wp:extent cx="19812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sidRPr="00C34DE9">
              <w:rPr>
                <w:rFonts w:ascii="Verdana" w:hAnsi="Verdana"/>
                <w:sz w:val="18"/>
                <w:szCs w:val="18"/>
              </w:rPr>
              <w:t xml:space="preserve"> are the weights of product j and factor k within the agricultural sector.</w:t>
            </w:r>
          </w:p>
          <w:p w14:paraId="494C781C" w14:textId="77777777" w:rsidR="0007671D" w:rsidRPr="00C34DE9" w:rsidRDefault="0007671D" w:rsidP="005B5547">
            <w:pPr>
              <w:spacing w:after="240" w:line="240" w:lineRule="auto"/>
              <w:jc w:val="both"/>
              <w:rPr>
                <w:rFonts w:ascii="Verdana" w:hAnsi="Verdana"/>
                <w:sz w:val="18"/>
                <w:szCs w:val="18"/>
              </w:rPr>
            </w:pPr>
            <w:r w:rsidRPr="00C34DE9">
              <w:rPr>
                <w:rFonts w:ascii="Verdana" w:hAnsi="Verdana"/>
                <w:sz w:val="18"/>
                <w:szCs w:val="18"/>
              </w:rPr>
              <w:t>Finally, the geometrical average of the Laspeyres and the Paasche index gives the Fischer index, which benefits from the most suitable statistical properties. In formula, the TFP Fisher index is computed as follows:</w:t>
            </w:r>
          </w:p>
          <w:p w14:paraId="15A8B925" w14:textId="77777777" w:rsidR="0007671D" w:rsidRPr="00C34DE9" w:rsidRDefault="00C93C4D" w:rsidP="005B5547">
            <w:pPr>
              <w:pStyle w:val="RD-Indicatortabletext"/>
              <w:spacing w:after="60"/>
              <w:jc w:val="both"/>
              <w:rPr>
                <w:rFonts w:cs="Times New Roman"/>
                <w:b/>
                <w:sz w:val="18"/>
                <w:szCs w:val="18"/>
              </w:rPr>
            </w:pPr>
            <w:r>
              <w:rPr>
                <w:rFonts w:eastAsia="Calibri" w:cs="Times New Roman"/>
                <w:noProof/>
                <w:sz w:val="18"/>
                <w:szCs w:val="18"/>
                <w:lang w:val="en-US" w:eastAsia="en-US"/>
              </w:rPr>
              <w:drawing>
                <wp:inline distT="0" distB="0" distL="0" distR="0" wp14:anchorId="3A46B345" wp14:editId="45583A9B">
                  <wp:extent cx="19431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inline>
              </w:drawing>
            </w:r>
          </w:p>
        </w:tc>
      </w:tr>
      <w:tr w:rsidR="0007671D" w:rsidRPr="00C34DE9" w14:paraId="400CA834" w14:textId="77777777" w:rsidTr="790C88FB">
        <w:tc>
          <w:tcPr>
            <w:tcW w:w="2802" w:type="dxa"/>
            <w:shd w:val="clear" w:color="auto" w:fill="auto"/>
          </w:tcPr>
          <w:p w14:paraId="3F212F6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lastRenderedPageBreak/>
              <w:t>Unit of measurement</w:t>
            </w:r>
          </w:p>
        </w:tc>
        <w:tc>
          <w:tcPr>
            <w:tcW w:w="7371" w:type="dxa"/>
            <w:shd w:val="clear" w:color="auto" w:fill="auto"/>
          </w:tcPr>
          <w:p w14:paraId="772420D6"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Index (3-year moving average)</w:t>
            </w:r>
          </w:p>
        </w:tc>
      </w:tr>
      <w:tr w:rsidR="0007671D" w:rsidRPr="00C34DE9" w14:paraId="429B02EA" w14:textId="77777777" w:rsidTr="790C88FB">
        <w:tc>
          <w:tcPr>
            <w:tcW w:w="2802" w:type="dxa"/>
            <w:shd w:val="clear" w:color="auto" w:fill="auto"/>
          </w:tcPr>
          <w:p w14:paraId="409DB37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371" w:type="dxa"/>
            <w:shd w:val="clear" w:color="auto" w:fill="auto"/>
            <w:vAlign w:val="center"/>
          </w:tcPr>
          <w:p w14:paraId="7CFB07F6" w14:textId="77777777" w:rsidR="0007671D" w:rsidRPr="00C34DE9" w:rsidRDefault="0007671D" w:rsidP="005B5547">
            <w:pPr>
              <w:rPr>
                <w:rFonts w:ascii="Verdana" w:hAnsi="Verdana"/>
                <w:sz w:val="18"/>
                <w:szCs w:val="18"/>
              </w:rPr>
            </w:pPr>
            <w:r w:rsidRPr="00C34DE9">
              <w:rPr>
                <w:rFonts w:ascii="Verdana" w:hAnsi="Verdana"/>
                <w:sz w:val="18"/>
                <w:szCs w:val="18"/>
              </w:rPr>
              <w:t xml:space="preserve">The </w:t>
            </w:r>
            <w:r w:rsidRPr="5CB4B133">
              <w:rPr>
                <w:rFonts w:ascii="Verdana" w:hAnsi="Verdana"/>
                <w:b/>
                <w:bCs/>
                <w:sz w:val="18"/>
                <w:szCs w:val="18"/>
              </w:rPr>
              <w:t>Economic Accounts for Agriculture (EAA)</w:t>
            </w:r>
            <w:r w:rsidRPr="00C34DE9">
              <w:rPr>
                <w:rFonts w:ascii="Verdana" w:hAnsi="Verdana"/>
                <w:sz w:val="18"/>
                <w:szCs w:val="18"/>
              </w:rPr>
              <w:t xml:space="preserve"> from Eurostat.</w:t>
            </w:r>
          </w:p>
          <w:p w14:paraId="456D74DC" w14:textId="77777777" w:rsidR="0007671D" w:rsidRPr="00C34DE9" w:rsidRDefault="0007671D" w:rsidP="005B5547">
            <w:pPr>
              <w:rPr>
                <w:rFonts w:ascii="Verdana" w:hAnsi="Verdana"/>
                <w:sz w:val="18"/>
                <w:szCs w:val="18"/>
              </w:rPr>
            </w:pPr>
            <w:r w:rsidRPr="00C34DE9">
              <w:rPr>
                <w:rFonts w:ascii="Verdana" w:hAnsi="Verdana"/>
                <w:sz w:val="18"/>
                <w:szCs w:val="18"/>
              </w:rPr>
              <w:t>The volume indices calculated by Eurostat are Laspeyres indices and changes in volume are measured using the weightings for the preceding year to guarantee the weightings are relatively up-to-date (see Reg. N° 138/2004). They correspond to the term q</w:t>
            </w:r>
            <w:r w:rsidRPr="00C34DE9">
              <w:rPr>
                <w:rFonts w:ascii="Verdana" w:hAnsi="Verdana"/>
                <w:sz w:val="18"/>
                <w:szCs w:val="18"/>
                <w:vertAlign w:val="subscript"/>
              </w:rPr>
              <w:t>lt</w:t>
            </w:r>
            <w:r w:rsidRPr="00C34DE9">
              <w:rPr>
                <w:rFonts w:ascii="Verdana" w:hAnsi="Verdana"/>
                <w:sz w:val="18"/>
                <w:szCs w:val="18"/>
              </w:rPr>
              <w:t>/q</w:t>
            </w:r>
            <w:r w:rsidRPr="00C34DE9">
              <w:rPr>
                <w:rFonts w:ascii="Verdana" w:hAnsi="Verdana"/>
                <w:sz w:val="18"/>
                <w:szCs w:val="18"/>
                <w:vertAlign w:val="subscript"/>
              </w:rPr>
              <w:t>l0</w:t>
            </w:r>
            <w:r w:rsidRPr="00C34DE9">
              <w:rPr>
                <w:rFonts w:ascii="Verdana" w:hAnsi="Verdana"/>
                <w:sz w:val="18"/>
                <w:szCs w:val="18"/>
              </w:rPr>
              <w:t xml:space="preserve"> of the equations displayed above.</w:t>
            </w:r>
          </w:p>
          <w:p w14:paraId="1328E594" w14:textId="77777777" w:rsidR="0007671D" w:rsidRPr="00C34DE9" w:rsidRDefault="0007671D" w:rsidP="005B5547">
            <w:pPr>
              <w:spacing w:after="0"/>
              <w:rPr>
                <w:rFonts w:ascii="Verdana" w:hAnsi="Verdana"/>
                <w:sz w:val="18"/>
                <w:szCs w:val="18"/>
              </w:rPr>
            </w:pPr>
            <w:r w:rsidRPr="00C34DE9">
              <w:rPr>
                <w:rFonts w:ascii="Verdana" w:hAnsi="Verdana"/>
                <w:sz w:val="18"/>
                <w:szCs w:val="18"/>
              </w:rPr>
              <w:t>Precise indicators chosen in the EAA:</w:t>
            </w:r>
          </w:p>
          <w:p w14:paraId="22FC2773" w14:textId="64ED67BD" w:rsidR="0007671D" w:rsidRPr="00C34DE9" w:rsidRDefault="0007671D" w:rsidP="005B5547">
            <w:pPr>
              <w:spacing w:after="0"/>
              <w:rPr>
                <w:rFonts w:ascii="Verdana" w:hAnsi="Verdana"/>
                <w:sz w:val="18"/>
                <w:szCs w:val="18"/>
              </w:rPr>
            </w:pPr>
            <w:r w:rsidRPr="00C34DE9">
              <w:rPr>
                <w:rFonts w:ascii="Verdana" w:hAnsi="Verdana"/>
                <w:sz w:val="18"/>
                <w:szCs w:val="18"/>
              </w:rPr>
              <w:t>- Change in output volume (q</w:t>
            </w:r>
            <w:r w:rsidRPr="00C34DE9">
              <w:rPr>
                <w:rFonts w:ascii="Verdana" w:hAnsi="Verdana"/>
                <w:sz w:val="18"/>
                <w:szCs w:val="18"/>
                <w:vertAlign w:val="subscript"/>
              </w:rPr>
              <w:t>lt</w:t>
            </w:r>
            <w:r w:rsidRPr="00C34DE9">
              <w:rPr>
                <w:rFonts w:ascii="Verdana" w:hAnsi="Verdana"/>
                <w:sz w:val="18"/>
                <w:szCs w:val="18"/>
              </w:rPr>
              <w:t>/q</w:t>
            </w:r>
            <w:r w:rsidRPr="00C34DE9">
              <w:rPr>
                <w:rFonts w:ascii="Verdana" w:hAnsi="Verdana"/>
                <w:sz w:val="18"/>
                <w:szCs w:val="18"/>
                <w:vertAlign w:val="subscript"/>
              </w:rPr>
              <w:t xml:space="preserve">l0): </w:t>
            </w:r>
            <w:r w:rsidRPr="00C34DE9">
              <w:rPr>
                <w:rFonts w:ascii="Verdana" w:hAnsi="Verdana"/>
                <w:sz w:val="18"/>
                <w:szCs w:val="18"/>
              </w:rPr>
              <w:t xml:space="preserve">Volume Indices, n-1 = 100, Production value at </w:t>
            </w:r>
            <w:r w:rsidR="00680A32">
              <w:rPr>
                <w:rFonts w:ascii="Verdana" w:hAnsi="Verdana"/>
                <w:sz w:val="18"/>
                <w:szCs w:val="18"/>
              </w:rPr>
              <w:t xml:space="preserve">basic </w:t>
            </w:r>
            <w:r w:rsidRPr="00C34DE9">
              <w:rPr>
                <w:rFonts w:ascii="Verdana" w:hAnsi="Verdana"/>
                <w:sz w:val="18"/>
                <w:szCs w:val="18"/>
              </w:rPr>
              <w:t xml:space="preserve"> price </w:t>
            </w:r>
            <w:r w:rsidR="00A6594A">
              <w:rPr>
                <w:rFonts w:ascii="Verdana" w:hAnsi="Verdana"/>
                <w:sz w:val="18"/>
                <w:szCs w:val="18"/>
              </w:rPr>
              <w:t>[</w:t>
            </w:r>
            <w:hyperlink r:id="rId138" w:history="1">
              <w:r w:rsidRPr="00A6594A">
                <w:rPr>
                  <w:rStyle w:val="Hyperlink"/>
                  <w:rFonts w:ascii="Verdana" w:hAnsi="Verdana"/>
                  <w:sz w:val="18"/>
                  <w:szCs w:val="18"/>
                </w:rPr>
                <w:t>aact_eaa05</w:t>
              </w:r>
            </w:hyperlink>
            <w:r w:rsidR="00A6594A">
              <w:rPr>
                <w:rFonts w:ascii="Verdana" w:hAnsi="Verdana"/>
                <w:sz w:val="18"/>
                <w:szCs w:val="18"/>
              </w:rPr>
              <w:t>]</w:t>
            </w:r>
          </w:p>
          <w:p w14:paraId="3E822199" w14:textId="02B19D6C" w:rsidR="0007671D" w:rsidRPr="00C34DE9" w:rsidRDefault="0007671D" w:rsidP="005B5547">
            <w:pPr>
              <w:spacing w:after="0"/>
              <w:rPr>
                <w:rFonts w:ascii="Verdana" w:hAnsi="Verdana"/>
                <w:sz w:val="18"/>
                <w:szCs w:val="18"/>
              </w:rPr>
            </w:pPr>
            <w:r w:rsidRPr="00C34DE9">
              <w:rPr>
                <w:rFonts w:ascii="Verdana" w:hAnsi="Verdana"/>
                <w:sz w:val="18"/>
                <w:szCs w:val="18"/>
              </w:rPr>
              <w:t xml:space="preserve">- Output weights: Real price in Euro, 2010 = 100, Production value at </w:t>
            </w:r>
            <w:r w:rsidR="00680A32">
              <w:rPr>
                <w:rFonts w:ascii="Verdana" w:hAnsi="Verdana"/>
                <w:sz w:val="18"/>
                <w:szCs w:val="18"/>
              </w:rPr>
              <w:t>basic</w:t>
            </w:r>
            <w:r w:rsidRPr="00C34DE9">
              <w:rPr>
                <w:rFonts w:ascii="Verdana" w:hAnsi="Verdana"/>
                <w:sz w:val="18"/>
                <w:szCs w:val="18"/>
              </w:rPr>
              <w:t xml:space="preserve"> price </w:t>
            </w:r>
            <w:r w:rsidR="00A6594A">
              <w:rPr>
                <w:rFonts w:ascii="Verdana" w:hAnsi="Verdana"/>
                <w:sz w:val="18"/>
                <w:szCs w:val="18"/>
              </w:rPr>
              <w:t>[</w:t>
            </w:r>
            <w:hyperlink r:id="rId139" w:history="1">
              <w:r w:rsidRPr="00A6594A">
                <w:rPr>
                  <w:rStyle w:val="Hyperlink"/>
                  <w:rFonts w:ascii="Verdana" w:hAnsi="Verdana"/>
                  <w:sz w:val="18"/>
                  <w:szCs w:val="18"/>
                </w:rPr>
                <w:t>aact_eaa04</w:t>
              </w:r>
            </w:hyperlink>
            <w:r w:rsidR="00A6594A">
              <w:rPr>
                <w:rFonts w:ascii="Verdana" w:hAnsi="Verdana"/>
                <w:sz w:val="18"/>
                <w:szCs w:val="18"/>
              </w:rPr>
              <w:t>]</w:t>
            </w:r>
          </w:p>
          <w:p w14:paraId="214FB49D" w14:textId="77777777" w:rsidR="0007671D" w:rsidRPr="00C34DE9" w:rsidRDefault="0007671D" w:rsidP="005B5547">
            <w:pPr>
              <w:spacing w:after="0"/>
              <w:rPr>
                <w:rFonts w:ascii="Verdana" w:hAnsi="Verdana"/>
                <w:sz w:val="18"/>
                <w:szCs w:val="18"/>
              </w:rPr>
            </w:pPr>
            <w:r w:rsidRPr="00C34DE9">
              <w:rPr>
                <w:rFonts w:ascii="Verdana" w:hAnsi="Verdana"/>
                <w:sz w:val="18"/>
                <w:szCs w:val="18"/>
              </w:rPr>
              <w:t>- Change in input volume (i</w:t>
            </w:r>
            <w:r w:rsidRPr="00C34DE9">
              <w:rPr>
                <w:rFonts w:ascii="Verdana" w:hAnsi="Verdana"/>
                <w:sz w:val="18"/>
                <w:szCs w:val="18"/>
                <w:vertAlign w:val="subscript"/>
              </w:rPr>
              <w:t>lt</w:t>
            </w:r>
            <w:r w:rsidRPr="00C34DE9">
              <w:rPr>
                <w:rFonts w:ascii="Verdana" w:hAnsi="Verdana"/>
                <w:sz w:val="18"/>
                <w:szCs w:val="18"/>
              </w:rPr>
              <w:t>/i</w:t>
            </w:r>
            <w:r w:rsidRPr="00C34DE9">
              <w:rPr>
                <w:rFonts w:ascii="Verdana" w:hAnsi="Verdana"/>
                <w:sz w:val="18"/>
                <w:szCs w:val="18"/>
                <w:vertAlign w:val="subscript"/>
              </w:rPr>
              <w:t xml:space="preserve">l0) </w:t>
            </w:r>
            <w:r w:rsidRPr="00C34DE9">
              <w:rPr>
                <w:rFonts w:ascii="Verdana" w:hAnsi="Verdana"/>
                <w:sz w:val="18"/>
                <w:szCs w:val="18"/>
              </w:rPr>
              <w:t>for every input except land and labour cost:</w:t>
            </w:r>
            <w:r w:rsidRPr="00C34DE9">
              <w:rPr>
                <w:rFonts w:ascii="Verdana" w:hAnsi="Verdana"/>
                <w:sz w:val="18"/>
                <w:szCs w:val="18"/>
                <w:vertAlign w:val="subscript"/>
              </w:rPr>
              <w:t xml:space="preserve"> </w:t>
            </w:r>
            <w:r w:rsidRPr="00C34DE9">
              <w:rPr>
                <w:rFonts w:ascii="Verdana" w:hAnsi="Verdana"/>
                <w:sz w:val="18"/>
                <w:szCs w:val="18"/>
              </w:rPr>
              <w:t xml:space="preserve">Volume Indices, n-1 = 100, Production value at basic price </w:t>
            </w:r>
            <w:r w:rsidR="00A6594A">
              <w:rPr>
                <w:rFonts w:ascii="Verdana" w:hAnsi="Verdana"/>
                <w:sz w:val="18"/>
                <w:szCs w:val="18"/>
              </w:rPr>
              <w:t>[</w:t>
            </w:r>
            <w:hyperlink r:id="rId140" w:history="1">
              <w:r w:rsidR="00A6594A" w:rsidRPr="00A6594A">
                <w:rPr>
                  <w:rStyle w:val="Hyperlink"/>
                  <w:rFonts w:ascii="Verdana" w:hAnsi="Verdana"/>
                  <w:sz w:val="18"/>
                  <w:szCs w:val="18"/>
                </w:rPr>
                <w:t>aact_eaa05</w:t>
              </w:r>
            </w:hyperlink>
            <w:r w:rsidR="00A6594A">
              <w:rPr>
                <w:rFonts w:ascii="Verdana" w:hAnsi="Verdana"/>
                <w:sz w:val="18"/>
                <w:szCs w:val="18"/>
              </w:rPr>
              <w:t>]</w:t>
            </w:r>
          </w:p>
          <w:p w14:paraId="09D0B033"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Input weights: Real price in Euro, 2010 = 100, Production value at basic price </w:t>
            </w:r>
            <w:r w:rsidR="00A6594A">
              <w:rPr>
                <w:rFonts w:ascii="Verdana" w:hAnsi="Verdana"/>
                <w:sz w:val="18"/>
                <w:szCs w:val="18"/>
              </w:rPr>
              <w:t>[</w:t>
            </w:r>
            <w:hyperlink r:id="rId141" w:history="1">
              <w:r w:rsidR="00A6594A" w:rsidRPr="00A6594A">
                <w:rPr>
                  <w:rStyle w:val="Hyperlink"/>
                  <w:rFonts w:ascii="Verdana" w:hAnsi="Verdana"/>
                  <w:sz w:val="18"/>
                  <w:szCs w:val="18"/>
                </w:rPr>
                <w:t>aact_eaa04</w:t>
              </w:r>
            </w:hyperlink>
            <w:r w:rsidR="00A6594A">
              <w:rPr>
                <w:rFonts w:ascii="Verdana" w:hAnsi="Verdana"/>
                <w:sz w:val="18"/>
                <w:szCs w:val="18"/>
              </w:rPr>
              <w:t>]</w:t>
            </w:r>
          </w:p>
          <w:p w14:paraId="26043ABE"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Volume index for labour costs: Change in Total labour input measured in 1000 AWU </w:t>
            </w:r>
            <w:r w:rsidR="00A6594A">
              <w:rPr>
                <w:rFonts w:ascii="Verdana" w:hAnsi="Verdana"/>
                <w:sz w:val="18"/>
                <w:szCs w:val="18"/>
              </w:rPr>
              <w:t>[</w:t>
            </w:r>
            <w:hyperlink r:id="rId142" w:history="1">
              <w:r w:rsidRPr="00A6594A">
                <w:rPr>
                  <w:rStyle w:val="Hyperlink"/>
                  <w:rFonts w:ascii="Verdana" w:hAnsi="Verdana"/>
                  <w:sz w:val="18"/>
                  <w:szCs w:val="18"/>
                </w:rPr>
                <w:t>aact_ali01</w:t>
              </w:r>
            </w:hyperlink>
            <w:r w:rsidR="00A6594A">
              <w:rPr>
                <w:rFonts w:ascii="Verdana" w:hAnsi="Verdana"/>
                <w:sz w:val="18"/>
                <w:szCs w:val="18"/>
              </w:rPr>
              <w:t>]</w:t>
            </w:r>
          </w:p>
          <w:p w14:paraId="0B4E56EE"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Correction of the weight for labour costs to cover the family labour costs: the compensation of employees is divided by the share of paid labour also directly available from the EAA </w:t>
            </w:r>
            <w:r w:rsidR="00A6594A">
              <w:rPr>
                <w:rFonts w:ascii="Verdana" w:hAnsi="Verdana"/>
                <w:sz w:val="18"/>
                <w:szCs w:val="18"/>
              </w:rPr>
              <w:t>[</w:t>
            </w:r>
            <w:hyperlink r:id="rId143" w:history="1">
              <w:r w:rsidR="00A6594A" w:rsidRPr="00A6594A">
                <w:rPr>
                  <w:rStyle w:val="Hyperlink"/>
                  <w:rFonts w:ascii="Verdana" w:hAnsi="Verdana"/>
                  <w:sz w:val="18"/>
                  <w:szCs w:val="18"/>
                </w:rPr>
                <w:t>aact_ali01</w:t>
              </w:r>
            </w:hyperlink>
            <w:r w:rsidR="00A6594A">
              <w:rPr>
                <w:rFonts w:ascii="Verdana" w:hAnsi="Verdana"/>
                <w:sz w:val="18"/>
                <w:szCs w:val="18"/>
              </w:rPr>
              <w:t>]</w:t>
            </w:r>
          </w:p>
          <w:p w14:paraId="57699C03" w14:textId="77777777" w:rsidR="0007671D" w:rsidRPr="00C34DE9" w:rsidRDefault="0007671D" w:rsidP="005B5547">
            <w:pPr>
              <w:spacing w:after="0"/>
              <w:rPr>
                <w:rFonts w:ascii="Verdana" w:hAnsi="Verdana"/>
                <w:sz w:val="18"/>
                <w:szCs w:val="18"/>
              </w:rPr>
            </w:pPr>
            <w:r w:rsidRPr="00C34DE9">
              <w:rPr>
                <w:rFonts w:ascii="Verdana" w:hAnsi="Verdana"/>
                <w:sz w:val="18"/>
                <w:szCs w:val="18"/>
              </w:rPr>
              <w:t>Complementary data is required from:</w:t>
            </w:r>
          </w:p>
          <w:p w14:paraId="0992F7BC" w14:textId="6DEF054F" w:rsidR="0007671D" w:rsidRPr="00C34DE9" w:rsidRDefault="0007671D" w:rsidP="005B5547">
            <w:pPr>
              <w:spacing w:after="0"/>
              <w:rPr>
                <w:rFonts w:ascii="Verdana" w:hAnsi="Verdana"/>
                <w:sz w:val="18"/>
                <w:szCs w:val="18"/>
              </w:rPr>
            </w:pPr>
            <w:r w:rsidRPr="00C34DE9">
              <w:rPr>
                <w:rFonts w:ascii="Verdana" w:hAnsi="Verdana"/>
                <w:sz w:val="18"/>
                <w:szCs w:val="18"/>
              </w:rPr>
              <w:t xml:space="preserve">- the </w:t>
            </w:r>
            <w:r w:rsidRPr="5CB4B133">
              <w:rPr>
                <w:rFonts w:ascii="Verdana" w:hAnsi="Verdana"/>
                <w:b/>
                <w:bCs/>
                <w:sz w:val="18"/>
                <w:szCs w:val="18"/>
              </w:rPr>
              <w:t>Farm Structure Survey (FSS - Eurostat)</w:t>
            </w:r>
            <w:r w:rsidRPr="00C34DE9">
              <w:rPr>
                <w:rFonts w:ascii="Verdana" w:hAnsi="Verdana"/>
                <w:sz w:val="18"/>
                <w:szCs w:val="18"/>
              </w:rPr>
              <w:t xml:space="preserve"> to assess the share of rented land (in order to correct the weight of land by including the own land) </w:t>
            </w:r>
            <w:r w:rsidR="00A6594A">
              <w:rPr>
                <w:rFonts w:ascii="Verdana" w:hAnsi="Verdana"/>
                <w:sz w:val="18"/>
                <w:szCs w:val="18"/>
              </w:rPr>
              <w:t>[</w:t>
            </w:r>
            <w:hyperlink r:id="rId144" w:history="1">
              <w:r w:rsidR="001B51E2" w:rsidRPr="00A6594A">
                <w:rPr>
                  <w:rStyle w:val="Hyperlink"/>
                  <w:rFonts w:ascii="Verdana" w:hAnsi="Verdana"/>
                  <w:sz w:val="18"/>
                  <w:szCs w:val="18"/>
                </w:rPr>
                <w:t>ef_mptenure</w:t>
              </w:r>
            </w:hyperlink>
            <w:r w:rsidR="00A6594A">
              <w:rPr>
                <w:rFonts w:ascii="Verdana" w:hAnsi="Verdana"/>
                <w:sz w:val="18"/>
                <w:szCs w:val="18"/>
              </w:rPr>
              <w:t>]</w:t>
            </w:r>
            <w:r w:rsidR="00006DA8">
              <w:rPr>
                <w:rFonts w:ascii="Verdana" w:hAnsi="Verdana"/>
                <w:sz w:val="18"/>
                <w:szCs w:val="18"/>
              </w:rPr>
              <w:t xml:space="preserve"> - </w:t>
            </w:r>
            <w:r w:rsidR="00006DA8" w:rsidRPr="00006DA8">
              <w:rPr>
                <w:rFonts w:ascii="Verdana" w:hAnsi="Verdana" w:cs="Calibri"/>
                <w:sz w:val="18"/>
                <w:szCs w:val="18"/>
              </w:rPr>
              <w:t>Integrated Farm Statistics (IFS</w:t>
            </w:r>
            <w:r w:rsidR="00006DA8">
              <w:rPr>
                <w:rFonts w:ascii="Verdana" w:hAnsi="Verdana" w:cs="Calibri"/>
                <w:sz w:val="18"/>
                <w:szCs w:val="18"/>
              </w:rPr>
              <w:t xml:space="preserve"> - Eurostat</w:t>
            </w:r>
            <w:r w:rsidR="00006DA8" w:rsidRPr="00006DA8">
              <w:rPr>
                <w:rFonts w:ascii="Verdana" w:hAnsi="Verdana" w:cs="Calibri"/>
                <w:sz w:val="18"/>
                <w:szCs w:val="18"/>
              </w:rPr>
              <w:t>)</w:t>
            </w:r>
            <w:r w:rsidR="00006DA8">
              <w:rPr>
                <w:rFonts w:ascii="Verdana" w:hAnsi="Verdana" w:cs="Calibri"/>
                <w:sz w:val="18"/>
                <w:szCs w:val="18"/>
              </w:rPr>
              <w:t xml:space="preserve"> </w:t>
            </w:r>
            <w:r w:rsidR="00006DA8">
              <w:rPr>
                <w:rFonts w:ascii="Verdana" w:eastAsia="Times New Roman" w:hAnsi="Verdana"/>
                <w:sz w:val="18"/>
                <w:szCs w:val="18"/>
              </w:rPr>
              <w:t>as of survey year 2020.</w:t>
            </w:r>
          </w:p>
          <w:p w14:paraId="66369633" w14:textId="77777777" w:rsidR="0007671D" w:rsidRPr="00C34DE9" w:rsidRDefault="0007671D" w:rsidP="005B5547">
            <w:pPr>
              <w:spacing w:after="0"/>
              <w:rPr>
                <w:rFonts w:ascii="Verdana" w:hAnsi="Verdana"/>
                <w:sz w:val="18"/>
                <w:szCs w:val="18"/>
              </w:rPr>
            </w:pPr>
            <w:r w:rsidRPr="00C34DE9">
              <w:rPr>
                <w:rFonts w:ascii="Verdana" w:hAnsi="Verdana"/>
                <w:sz w:val="18"/>
                <w:szCs w:val="18"/>
              </w:rPr>
              <w:t xml:space="preserve">- the </w:t>
            </w:r>
            <w:r w:rsidRPr="5CB4B133">
              <w:rPr>
                <w:rFonts w:ascii="Verdana" w:hAnsi="Verdana"/>
                <w:b/>
                <w:bCs/>
                <w:sz w:val="18"/>
                <w:szCs w:val="18"/>
              </w:rPr>
              <w:t>Agricultural Production Data – Crop Products</w:t>
            </w:r>
            <w:r w:rsidRPr="5CB4B133" w:rsidDel="00FE674D">
              <w:rPr>
                <w:rFonts w:ascii="Verdana" w:hAnsi="Verdana"/>
                <w:b/>
                <w:bCs/>
                <w:sz w:val="18"/>
                <w:szCs w:val="18"/>
              </w:rPr>
              <w:t xml:space="preserve"> </w:t>
            </w:r>
            <w:r w:rsidRPr="00C34DE9">
              <w:rPr>
                <w:rFonts w:ascii="Verdana" w:hAnsi="Verdana"/>
                <w:sz w:val="18"/>
                <w:szCs w:val="18"/>
              </w:rPr>
              <w:t>(</w:t>
            </w:r>
            <w:r w:rsidRPr="5CB4B133">
              <w:rPr>
                <w:rFonts w:ascii="Verdana" w:hAnsi="Verdana"/>
                <w:b/>
                <w:bCs/>
                <w:sz w:val="18"/>
                <w:szCs w:val="18"/>
              </w:rPr>
              <w:t>Eurostat</w:t>
            </w:r>
            <w:r w:rsidRPr="00C34DE9">
              <w:rPr>
                <w:rFonts w:ascii="Verdana" w:hAnsi="Verdana"/>
                <w:sz w:val="18"/>
                <w:szCs w:val="18"/>
              </w:rPr>
              <w:t xml:space="preserve">) for the volume index of the UAA </w:t>
            </w:r>
            <w:r w:rsidR="00A6594A" w:rsidRPr="00A6594A">
              <w:rPr>
                <w:rFonts w:ascii="Verdana" w:hAnsi="Verdana" w:cs="Calibri"/>
                <w:sz w:val="18"/>
                <w:szCs w:val="18"/>
              </w:rPr>
              <w:t>[</w:t>
            </w:r>
            <w:hyperlink r:id="rId145" w:history="1">
              <w:r w:rsidR="00A6594A" w:rsidRPr="00A6594A">
                <w:rPr>
                  <w:rStyle w:val="Hyperlink"/>
                  <w:rFonts w:ascii="Verdana" w:hAnsi="Verdana" w:cs="Calibri"/>
                  <w:sz w:val="18"/>
                  <w:szCs w:val="18"/>
                </w:rPr>
                <w:t>apro_cpnh</w:t>
              </w:r>
            </w:hyperlink>
            <w:r w:rsidR="00A6594A" w:rsidRPr="00A6594A">
              <w:rPr>
                <w:rFonts w:ascii="Verdana" w:hAnsi="Verdana" w:cs="Calibri"/>
                <w:sz w:val="18"/>
                <w:szCs w:val="18"/>
              </w:rPr>
              <w:t>]</w:t>
            </w:r>
          </w:p>
          <w:p w14:paraId="572D177D" w14:textId="77777777" w:rsidR="0007671D" w:rsidRDefault="0007671D" w:rsidP="005B5547">
            <w:pPr>
              <w:spacing w:after="60" w:line="240" w:lineRule="auto"/>
              <w:rPr>
                <w:rFonts w:ascii="Verdana" w:hAnsi="Verdana"/>
                <w:sz w:val="18"/>
                <w:szCs w:val="18"/>
              </w:rPr>
            </w:pPr>
            <w:r w:rsidRPr="00C34DE9">
              <w:rPr>
                <w:rFonts w:ascii="Verdana" w:hAnsi="Verdana"/>
                <w:sz w:val="18"/>
                <w:szCs w:val="18"/>
              </w:rPr>
              <w:t xml:space="preserve">- the </w:t>
            </w:r>
            <w:r w:rsidRPr="5CB4B133">
              <w:rPr>
                <w:rFonts w:ascii="Verdana" w:hAnsi="Verdana"/>
                <w:b/>
                <w:bCs/>
                <w:sz w:val="18"/>
                <w:szCs w:val="18"/>
              </w:rPr>
              <w:t>Farm Accountancy Data Network</w:t>
            </w:r>
            <w:r w:rsidRPr="00C34DE9">
              <w:rPr>
                <w:rFonts w:ascii="Verdana" w:hAnsi="Verdana"/>
                <w:sz w:val="18"/>
                <w:szCs w:val="18"/>
              </w:rPr>
              <w:t xml:space="preserve"> to estimate the national average depreciation rate.</w:t>
            </w:r>
          </w:p>
          <w:p w14:paraId="0E2BD51A" w14:textId="15AF85CF" w:rsidR="00263438" w:rsidRPr="00C34DE9" w:rsidRDefault="00263438" w:rsidP="005B5547">
            <w:pPr>
              <w:spacing w:after="60" w:line="240" w:lineRule="auto"/>
              <w:rPr>
                <w:rFonts w:ascii="Verdana" w:eastAsia="Times New Roman" w:hAnsi="Verdana"/>
                <w:sz w:val="18"/>
                <w:szCs w:val="18"/>
              </w:rPr>
            </w:pPr>
            <w:r w:rsidRPr="00C34DE9">
              <w:rPr>
                <w:sz w:val="18"/>
                <w:szCs w:val="18"/>
              </w:rPr>
              <w:t>-</w:t>
            </w:r>
            <w:r>
              <w:rPr>
                <w:sz w:val="18"/>
                <w:szCs w:val="18"/>
              </w:rPr>
              <w:t xml:space="preserve"> </w:t>
            </w:r>
            <w:r w:rsidRPr="172AA083">
              <w:rPr>
                <w:b/>
                <w:bCs/>
                <w:sz w:val="18"/>
                <w:szCs w:val="18"/>
              </w:rPr>
              <w:t>Annual Crop statistics:</w:t>
            </w:r>
            <w:r w:rsidRPr="00C34DE9">
              <w:rPr>
                <w:sz w:val="18"/>
                <w:szCs w:val="18"/>
              </w:rPr>
              <w:t xml:space="preserve"> Volume index for land costs: Change in Total UAA</w:t>
            </w:r>
            <w:r>
              <w:rPr>
                <w:sz w:val="18"/>
                <w:szCs w:val="18"/>
              </w:rPr>
              <w:t>, UAA</w:t>
            </w:r>
            <w:r w:rsidRPr="00C34DE9">
              <w:rPr>
                <w:sz w:val="18"/>
                <w:szCs w:val="18"/>
              </w:rPr>
              <w:t xml:space="preserve"> available in </w:t>
            </w:r>
            <w:r>
              <w:rPr>
                <w:rFonts w:cs="Calibri"/>
                <w:sz w:val="18"/>
                <w:szCs w:val="18"/>
              </w:rPr>
              <w:t>Eurostat – crop statistics [</w:t>
            </w:r>
            <w:hyperlink r:id="rId146" w:history="1">
              <w:r w:rsidRPr="00A6594A">
                <w:rPr>
                  <w:rStyle w:val="Hyperlink"/>
                  <w:rFonts w:cs="Calibri"/>
                  <w:sz w:val="18"/>
                  <w:szCs w:val="18"/>
                </w:rPr>
                <w:t>apro_cpnh</w:t>
              </w:r>
            </w:hyperlink>
            <w:r>
              <w:rPr>
                <w:rFonts w:cs="Calibri"/>
                <w:sz w:val="18"/>
                <w:szCs w:val="18"/>
              </w:rPr>
              <w:t>]</w:t>
            </w:r>
          </w:p>
        </w:tc>
      </w:tr>
      <w:tr w:rsidR="0007671D" w:rsidRPr="00693B7B" w14:paraId="4FBE158A" w14:textId="77777777" w:rsidTr="790C88FB">
        <w:tc>
          <w:tcPr>
            <w:tcW w:w="2802" w:type="dxa"/>
            <w:shd w:val="clear" w:color="auto" w:fill="auto"/>
          </w:tcPr>
          <w:p w14:paraId="4FCB94E3"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 xml:space="preserve">location of </w:t>
            </w:r>
            <w:r w:rsidRPr="5CB4B133">
              <w:rPr>
                <w:rFonts w:ascii="Verdana" w:hAnsi="Verdana"/>
                <w:b/>
                <w:bCs/>
                <w:sz w:val="18"/>
                <w:szCs w:val="18"/>
              </w:rPr>
              <w:lastRenderedPageBreak/>
              <w:t>the data</w:t>
            </w:r>
          </w:p>
        </w:tc>
        <w:tc>
          <w:tcPr>
            <w:tcW w:w="7371" w:type="dxa"/>
            <w:shd w:val="clear" w:color="auto" w:fill="auto"/>
          </w:tcPr>
          <w:p w14:paraId="501BA60D" w14:textId="0BE09FC7" w:rsidR="0007671D" w:rsidRPr="00C34DE9" w:rsidRDefault="0007671D" w:rsidP="005B5547">
            <w:pPr>
              <w:spacing w:after="60" w:line="240" w:lineRule="auto"/>
              <w:jc w:val="both"/>
              <w:rPr>
                <w:rFonts w:ascii="Verdana" w:hAnsi="Verdana"/>
                <w:sz w:val="18"/>
                <w:szCs w:val="18"/>
                <w:lang w:val="pt-PT"/>
              </w:rPr>
            </w:pPr>
            <w:r w:rsidRPr="00C34DE9">
              <w:rPr>
                <w:rFonts w:ascii="Verdana" w:hAnsi="Verdana"/>
                <w:sz w:val="18"/>
                <w:szCs w:val="18"/>
                <w:lang w:val="pt-PT"/>
              </w:rPr>
              <w:lastRenderedPageBreak/>
              <w:t>Eurostat: EAA, APRO, ALI, FSS</w:t>
            </w:r>
            <w:r w:rsidR="006F76AA">
              <w:rPr>
                <w:rFonts w:ascii="Verdana" w:hAnsi="Verdana"/>
                <w:sz w:val="18"/>
                <w:szCs w:val="18"/>
                <w:lang w:val="pt-PT"/>
              </w:rPr>
              <w:t xml:space="preserve"> (IFS)</w:t>
            </w:r>
            <w:r w:rsidRPr="00C34DE9">
              <w:rPr>
                <w:rFonts w:ascii="Verdana" w:hAnsi="Verdana"/>
                <w:sz w:val="18"/>
                <w:szCs w:val="18"/>
                <w:lang w:val="pt-PT"/>
              </w:rPr>
              <w:t>; FADN</w:t>
            </w:r>
          </w:p>
        </w:tc>
      </w:tr>
      <w:tr w:rsidR="0007671D" w:rsidRPr="00C34DE9" w14:paraId="315B42D4" w14:textId="77777777" w:rsidTr="790C88FB">
        <w:tc>
          <w:tcPr>
            <w:tcW w:w="2802" w:type="dxa"/>
            <w:shd w:val="clear" w:color="auto" w:fill="auto"/>
          </w:tcPr>
          <w:p w14:paraId="4A4D40A6"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371" w:type="dxa"/>
            <w:shd w:val="clear" w:color="auto" w:fill="auto"/>
          </w:tcPr>
          <w:p w14:paraId="10B60144" w14:textId="77777777" w:rsidR="0007671D" w:rsidRPr="00C34DE9" w:rsidRDefault="00156141" w:rsidP="005B5547">
            <w:pPr>
              <w:spacing w:after="60" w:line="240" w:lineRule="auto"/>
              <w:jc w:val="both"/>
              <w:rPr>
                <w:rFonts w:ascii="Verdana" w:hAnsi="Verdana"/>
                <w:sz w:val="18"/>
                <w:szCs w:val="18"/>
              </w:rPr>
            </w:pPr>
            <w:r>
              <w:rPr>
                <w:rFonts w:ascii="Verdana" w:hAnsi="Verdana"/>
                <w:sz w:val="18"/>
                <w:szCs w:val="18"/>
              </w:rPr>
              <w:t xml:space="preserve">EU, </w:t>
            </w:r>
            <w:r w:rsidR="0007671D" w:rsidRPr="00C34DE9">
              <w:rPr>
                <w:rFonts w:ascii="Verdana" w:hAnsi="Verdana"/>
                <w:sz w:val="18"/>
                <w:szCs w:val="18"/>
              </w:rPr>
              <w:t>National (NUTS 0)</w:t>
            </w:r>
          </w:p>
        </w:tc>
      </w:tr>
      <w:tr w:rsidR="0007671D" w:rsidRPr="00C34DE9" w14:paraId="415A55F6" w14:textId="77777777" w:rsidTr="790C88FB">
        <w:tc>
          <w:tcPr>
            <w:tcW w:w="2802" w:type="dxa"/>
            <w:shd w:val="clear" w:color="auto" w:fill="auto"/>
          </w:tcPr>
          <w:p w14:paraId="151F908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371" w:type="dxa"/>
            <w:shd w:val="clear" w:color="auto" w:fill="auto"/>
          </w:tcPr>
          <w:p w14:paraId="76F8C995" w14:textId="77777777" w:rsidR="0007671D" w:rsidRPr="00C34DE9" w:rsidRDefault="0007671D"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17ED1CEB" w14:textId="77777777" w:rsidTr="790C88FB">
        <w:tc>
          <w:tcPr>
            <w:tcW w:w="2802" w:type="dxa"/>
            <w:shd w:val="clear" w:color="auto" w:fill="auto"/>
          </w:tcPr>
          <w:p w14:paraId="41A08985"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371" w:type="dxa"/>
            <w:shd w:val="clear" w:color="auto" w:fill="auto"/>
          </w:tcPr>
          <w:p w14:paraId="46C89446" w14:textId="77777777" w:rsidR="0007671D" w:rsidRPr="00C34DE9" w:rsidRDefault="001B51E2" w:rsidP="005B5547">
            <w:pPr>
              <w:spacing w:after="60" w:line="240" w:lineRule="auto"/>
              <w:jc w:val="both"/>
              <w:rPr>
                <w:rFonts w:ascii="Verdana" w:hAnsi="Verdana"/>
                <w:sz w:val="18"/>
                <w:szCs w:val="18"/>
              </w:rPr>
            </w:pPr>
            <w:r w:rsidRPr="00C34DE9">
              <w:rPr>
                <w:rFonts w:ascii="Verdana" w:hAnsi="Verdana"/>
                <w:sz w:val="18"/>
                <w:szCs w:val="18"/>
              </w:rPr>
              <w:t>1 year</w:t>
            </w:r>
            <w:r w:rsidR="006A3B3B" w:rsidRPr="00C34DE9">
              <w:rPr>
                <w:rFonts w:ascii="Verdana" w:hAnsi="Verdana"/>
                <w:sz w:val="18"/>
                <w:szCs w:val="18"/>
              </w:rPr>
              <w:t xml:space="preserve"> </w:t>
            </w:r>
          </w:p>
        </w:tc>
      </w:tr>
      <w:tr w:rsidR="0007671D" w:rsidRPr="00C34DE9" w14:paraId="254768BF" w14:textId="77777777" w:rsidTr="790C88FB">
        <w:tc>
          <w:tcPr>
            <w:tcW w:w="2802" w:type="dxa"/>
            <w:shd w:val="clear" w:color="auto" w:fill="auto"/>
          </w:tcPr>
          <w:p w14:paraId="7E7B34E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371" w:type="dxa"/>
            <w:shd w:val="clear" w:color="auto" w:fill="auto"/>
          </w:tcPr>
          <w:p w14:paraId="57A900A5"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 climatic conditions affecting crop yields have strong impact on the crop output and as a consequence on the indicator. Therefore a moving average over 3 years is to be calculated to smooth the weather effect.</w:t>
            </w:r>
          </w:p>
          <w:p w14:paraId="098A907D"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 level of detailed information required to compile the indices (especially for the Paasche Index) does not allow for calculating long time series and complicates the calculation for the EU aggregates.</w:t>
            </w:r>
          </w:p>
          <w:p w14:paraId="23D5B705"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 length of the time series varies according to MS.</w:t>
            </w:r>
          </w:p>
          <w:p w14:paraId="58DB09B7"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There are breaks in time series and data is missing for some years, especially in the Agricultural Production Data. The methodology to value the fixed capital consumption seems to vary over time. Concerning the labour input any change in accounting rules has been normally smoothed. Nevertheless</w:t>
            </w:r>
            <w:r w:rsidR="00DF348E">
              <w:rPr>
                <w:rFonts w:ascii="Verdana" w:hAnsi="Verdana"/>
                <w:sz w:val="18"/>
                <w:szCs w:val="18"/>
              </w:rPr>
              <w:t>,</w:t>
            </w:r>
            <w:r w:rsidRPr="00C34DE9">
              <w:rPr>
                <w:rFonts w:ascii="Verdana" w:hAnsi="Verdana"/>
                <w:sz w:val="18"/>
                <w:szCs w:val="18"/>
              </w:rPr>
              <w:t xml:space="preserve"> this volume index is to be checked very carefully because the TFP indicator is very sensitive to any variation in labour input.</w:t>
            </w:r>
          </w:p>
          <w:p w14:paraId="66109595" w14:textId="77777777" w:rsidR="0007671D" w:rsidRPr="00C34DE9" w:rsidRDefault="0007671D" w:rsidP="005B5547">
            <w:pPr>
              <w:spacing w:after="60" w:line="240" w:lineRule="auto"/>
              <w:jc w:val="both"/>
              <w:rPr>
                <w:rFonts w:ascii="Verdana" w:eastAsia="Times New Roman" w:hAnsi="Verdana"/>
                <w:sz w:val="18"/>
                <w:szCs w:val="18"/>
              </w:rPr>
            </w:pPr>
            <w:r w:rsidRPr="00C34DE9">
              <w:rPr>
                <w:rFonts w:ascii="Verdana" w:hAnsi="Verdana"/>
                <w:sz w:val="18"/>
                <w:szCs w:val="18"/>
              </w:rPr>
              <w:t>The calculation of regional values is not possible due to the lack of data at such detailed geographical level.</w:t>
            </w:r>
          </w:p>
        </w:tc>
      </w:tr>
    </w:tbl>
    <w:p w14:paraId="3F8A2547" w14:textId="77777777" w:rsidR="005B5547" w:rsidRPr="00C34DE9" w:rsidRDefault="005B5547">
      <w:pPr>
        <w:rPr>
          <w:rFonts w:ascii="Verdana" w:hAnsi="Verdana"/>
          <w:sz w:val="18"/>
          <w:szCs w:val="18"/>
        </w:rPr>
      </w:pPr>
    </w:p>
    <w:p w14:paraId="31C4EFFB"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07671D" w:rsidRPr="00C34DE9" w14:paraId="2C58187E" w14:textId="77777777" w:rsidTr="790C88FB">
        <w:trPr>
          <w:trHeight w:val="428"/>
        </w:trPr>
        <w:tc>
          <w:tcPr>
            <w:tcW w:w="2943" w:type="dxa"/>
            <w:shd w:val="clear" w:color="auto" w:fill="auto"/>
          </w:tcPr>
          <w:p w14:paraId="6B374C31" w14:textId="6D046D51" w:rsidR="0007671D" w:rsidRPr="00C34DE9" w:rsidRDefault="00A6594A" w:rsidP="002D72D6">
            <w:pPr>
              <w:spacing w:after="60" w:line="240" w:lineRule="auto"/>
              <w:rPr>
                <w:rFonts w:ascii="Verdana" w:hAnsi="Verdana"/>
                <w:b/>
                <w:bCs/>
                <w:sz w:val="18"/>
                <w:szCs w:val="18"/>
              </w:rPr>
            </w:pPr>
            <w:bookmarkStart w:id="41" w:name="C29"/>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2D72D6">
              <w:rPr>
                <w:rFonts w:ascii="Verdana" w:hAnsi="Verdana"/>
                <w:b/>
                <w:bCs/>
                <w:smallCaps/>
                <w:sz w:val="18"/>
                <w:szCs w:val="18"/>
              </w:rPr>
              <w:t>30</w:t>
            </w:r>
            <w:bookmarkEnd w:id="41"/>
          </w:p>
        </w:tc>
        <w:tc>
          <w:tcPr>
            <w:tcW w:w="7088" w:type="dxa"/>
            <w:shd w:val="clear" w:color="auto" w:fill="auto"/>
          </w:tcPr>
          <w:p w14:paraId="4372F61A" w14:textId="77777777" w:rsidR="0007671D" w:rsidRPr="00C34DE9" w:rsidRDefault="0007671D" w:rsidP="00C30187">
            <w:pPr>
              <w:spacing w:after="60"/>
              <w:rPr>
                <w:rFonts w:ascii="Verdana" w:hAnsi="Verdana"/>
                <w:caps/>
                <w:sz w:val="18"/>
                <w:szCs w:val="18"/>
              </w:rPr>
            </w:pPr>
          </w:p>
        </w:tc>
      </w:tr>
      <w:tr w:rsidR="0007671D" w:rsidRPr="00C34DE9" w14:paraId="46DDC90C" w14:textId="77777777" w:rsidTr="790C88FB">
        <w:trPr>
          <w:trHeight w:val="561"/>
        </w:trPr>
        <w:tc>
          <w:tcPr>
            <w:tcW w:w="2943" w:type="dxa"/>
            <w:shd w:val="clear" w:color="auto" w:fill="auto"/>
          </w:tcPr>
          <w:p w14:paraId="4AB0537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8" w:type="dxa"/>
            <w:shd w:val="clear" w:color="auto" w:fill="auto"/>
          </w:tcPr>
          <w:p w14:paraId="697EF730" w14:textId="77777777" w:rsidR="0007671D" w:rsidRPr="00C34DE9" w:rsidRDefault="0007671D" w:rsidP="3F4AE0BD">
            <w:pPr>
              <w:spacing w:after="60" w:line="240" w:lineRule="auto"/>
              <w:jc w:val="center"/>
              <w:rPr>
                <w:rFonts w:ascii="Verdana" w:hAnsi="Verdana"/>
                <w:b/>
                <w:bCs/>
                <w:sz w:val="18"/>
                <w:szCs w:val="18"/>
              </w:rPr>
            </w:pPr>
            <w:r w:rsidRPr="3F4AE0BD">
              <w:rPr>
                <w:rFonts w:ascii="Verdana" w:hAnsi="Verdana"/>
                <w:b/>
                <w:bCs/>
                <w:sz w:val="18"/>
                <w:szCs w:val="18"/>
              </w:rPr>
              <w:t>Labour productivity in agriculture</w:t>
            </w:r>
            <w:r w:rsidR="00EC026F" w:rsidRPr="3F4AE0BD">
              <w:rPr>
                <w:rFonts w:ascii="Verdana" w:hAnsi="Verdana"/>
                <w:b/>
                <w:bCs/>
                <w:sz w:val="18"/>
                <w:szCs w:val="18"/>
              </w:rPr>
              <w:t>, in forestry and in the food industry</w:t>
            </w:r>
          </w:p>
        </w:tc>
      </w:tr>
      <w:tr w:rsidR="0007671D" w:rsidRPr="00C34DE9" w14:paraId="7F239447" w14:textId="77777777" w:rsidTr="790C88FB">
        <w:tc>
          <w:tcPr>
            <w:tcW w:w="2943" w:type="dxa"/>
            <w:shd w:val="clear" w:color="auto" w:fill="auto"/>
          </w:tcPr>
          <w:p w14:paraId="4576BEAE"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8" w:type="dxa"/>
            <w:shd w:val="clear" w:color="auto" w:fill="auto"/>
          </w:tcPr>
          <w:p w14:paraId="777DF392" w14:textId="77777777" w:rsidR="00161B7C" w:rsidRPr="007C2BEC" w:rsidRDefault="00161B7C" w:rsidP="00D320C1">
            <w:pPr>
              <w:pStyle w:val="RD-Indicatortabletext"/>
              <w:spacing w:after="60"/>
              <w:jc w:val="both"/>
              <w:rPr>
                <w:rFonts w:cs="Times New Roman"/>
                <w:sz w:val="18"/>
                <w:szCs w:val="18"/>
              </w:rPr>
            </w:pPr>
            <w:r w:rsidRPr="007C2BEC">
              <w:rPr>
                <w:rFonts w:cs="Times New Roman"/>
                <w:sz w:val="18"/>
                <w:szCs w:val="18"/>
              </w:rPr>
              <w:t xml:space="preserve">This indicator </w:t>
            </w:r>
            <w:r w:rsidR="006A37E0" w:rsidRPr="007C2BEC">
              <w:rPr>
                <w:rFonts w:cs="Times New Roman"/>
                <w:sz w:val="18"/>
                <w:szCs w:val="18"/>
              </w:rPr>
              <w:t xml:space="preserve">consists of </w:t>
            </w:r>
            <w:r w:rsidRPr="007C2BEC">
              <w:rPr>
                <w:rFonts w:cs="Times New Roman"/>
                <w:sz w:val="18"/>
                <w:szCs w:val="18"/>
              </w:rPr>
              <w:t xml:space="preserve">3 </w:t>
            </w:r>
            <w:r w:rsidR="00DD478B">
              <w:rPr>
                <w:rFonts w:cs="Times New Roman"/>
                <w:sz w:val="18"/>
                <w:szCs w:val="18"/>
              </w:rPr>
              <w:t>specific indicators</w:t>
            </w:r>
            <w:r w:rsidRPr="007C2BEC">
              <w:rPr>
                <w:rFonts w:cs="Times New Roman"/>
                <w:sz w:val="18"/>
                <w:szCs w:val="18"/>
              </w:rPr>
              <w:t>:</w:t>
            </w:r>
          </w:p>
          <w:p w14:paraId="35F62A7D" w14:textId="1A33674D" w:rsidR="00161B7C" w:rsidRPr="007D3E04" w:rsidRDefault="00161B7C" w:rsidP="5CB4B133">
            <w:pPr>
              <w:pStyle w:val="RD-Indicatortabletext"/>
              <w:numPr>
                <w:ilvl w:val="0"/>
                <w:numId w:val="88"/>
              </w:numPr>
              <w:spacing w:after="60"/>
              <w:ind w:right="794"/>
              <w:jc w:val="both"/>
              <w:rPr>
                <w:rFonts w:cs="Times New Roman"/>
                <w:b/>
                <w:bCs/>
                <w:sz w:val="18"/>
                <w:szCs w:val="18"/>
              </w:rPr>
            </w:pPr>
            <w:r w:rsidRPr="5CB4B133">
              <w:rPr>
                <w:rFonts w:cs="Times New Roman"/>
                <w:b/>
                <w:bCs/>
                <w:sz w:val="18"/>
                <w:szCs w:val="18"/>
              </w:rPr>
              <w:t>Labour productivity in agriculture</w:t>
            </w:r>
          </w:p>
          <w:p w14:paraId="3FC8E064" w14:textId="410EBCD4" w:rsidR="00161B7C" w:rsidRPr="007D3E04" w:rsidRDefault="00161B7C" w:rsidP="5CB4B133">
            <w:pPr>
              <w:pStyle w:val="RD-Indicatortabletext"/>
              <w:numPr>
                <w:ilvl w:val="0"/>
                <w:numId w:val="88"/>
              </w:numPr>
              <w:spacing w:after="60"/>
              <w:ind w:right="794"/>
              <w:jc w:val="both"/>
              <w:rPr>
                <w:rFonts w:cs="Times New Roman"/>
                <w:b/>
                <w:bCs/>
                <w:sz w:val="18"/>
                <w:szCs w:val="18"/>
              </w:rPr>
            </w:pPr>
            <w:r w:rsidRPr="5CB4B133">
              <w:rPr>
                <w:rFonts w:cs="Times New Roman"/>
                <w:b/>
                <w:bCs/>
                <w:sz w:val="18"/>
                <w:szCs w:val="18"/>
              </w:rPr>
              <w:t>Labour productivity in forestry</w:t>
            </w:r>
          </w:p>
          <w:p w14:paraId="18553426" w14:textId="6D6EF245" w:rsidR="00161B7C" w:rsidRPr="007D3E04" w:rsidRDefault="00161B7C" w:rsidP="5CB4B133">
            <w:pPr>
              <w:pStyle w:val="RD-Indicatortabletext"/>
              <w:numPr>
                <w:ilvl w:val="0"/>
                <w:numId w:val="88"/>
              </w:numPr>
              <w:spacing w:after="60"/>
              <w:ind w:right="794"/>
              <w:jc w:val="both"/>
              <w:rPr>
                <w:rFonts w:cs="Times New Roman"/>
                <w:b/>
                <w:bCs/>
                <w:sz w:val="18"/>
                <w:szCs w:val="18"/>
              </w:rPr>
            </w:pPr>
            <w:r w:rsidRPr="5CB4B133">
              <w:rPr>
                <w:rFonts w:cs="Times New Roman"/>
                <w:b/>
                <w:bCs/>
                <w:sz w:val="18"/>
                <w:szCs w:val="18"/>
              </w:rPr>
              <w:t>Labour productivity in the food industry</w:t>
            </w:r>
          </w:p>
          <w:p w14:paraId="17BE44CA" w14:textId="77777777" w:rsidR="00161B7C" w:rsidRDefault="00161B7C" w:rsidP="00544872">
            <w:pPr>
              <w:pStyle w:val="RD-Indicatortabletext"/>
              <w:spacing w:after="60"/>
              <w:jc w:val="both"/>
              <w:rPr>
                <w:rFonts w:cs="Times New Roman"/>
                <w:b/>
                <w:sz w:val="18"/>
                <w:szCs w:val="18"/>
              </w:rPr>
            </w:pPr>
          </w:p>
          <w:p w14:paraId="7961A896" w14:textId="3DD9CDD3" w:rsidR="0007671D" w:rsidRPr="007D3E04" w:rsidRDefault="006A37E0" w:rsidP="00544872">
            <w:pPr>
              <w:pStyle w:val="RD-Indicatortabletext"/>
              <w:spacing w:after="60"/>
              <w:jc w:val="both"/>
              <w:rPr>
                <w:rFonts w:cs="Times New Roman"/>
                <w:sz w:val="18"/>
                <w:szCs w:val="18"/>
              </w:rPr>
            </w:pPr>
            <w:r w:rsidRPr="007D3E04">
              <w:rPr>
                <w:rFonts w:cs="Times New Roman"/>
                <w:sz w:val="18"/>
                <w:szCs w:val="18"/>
              </w:rPr>
              <w:t>For each s</w:t>
            </w:r>
            <w:r w:rsidR="00100083">
              <w:rPr>
                <w:rFonts w:cs="Times New Roman"/>
                <w:sz w:val="18"/>
                <w:szCs w:val="18"/>
              </w:rPr>
              <w:t xml:space="preserve">pecific </w:t>
            </w:r>
            <w:r w:rsidRPr="007D3E04">
              <w:rPr>
                <w:rFonts w:cs="Times New Roman"/>
                <w:sz w:val="18"/>
                <w:szCs w:val="18"/>
              </w:rPr>
              <w:t>indicator, l</w:t>
            </w:r>
            <w:r w:rsidR="0007671D" w:rsidRPr="007D3E04">
              <w:rPr>
                <w:rFonts w:cs="Times New Roman"/>
                <w:sz w:val="18"/>
                <w:szCs w:val="18"/>
              </w:rPr>
              <w:t xml:space="preserve">abour productivity is </w:t>
            </w:r>
            <w:r w:rsidRPr="007D3E04">
              <w:rPr>
                <w:rFonts w:cs="Times New Roman"/>
                <w:sz w:val="18"/>
                <w:szCs w:val="18"/>
              </w:rPr>
              <w:t xml:space="preserve">calculated </w:t>
            </w:r>
            <w:r w:rsidR="0007671D" w:rsidRPr="007D3E04">
              <w:rPr>
                <w:rFonts w:cs="Times New Roman"/>
                <w:sz w:val="18"/>
                <w:szCs w:val="18"/>
              </w:rPr>
              <w:t xml:space="preserve">as Gross Value Added (GVA) per </w:t>
            </w:r>
            <w:r w:rsidR="00920796" w:rsidRPr="007D3E04">
              <w:rPr>
                <w:rFonts w:cs="Times New Roman"/>
                <w:sz w:val="18"/>
                <w:szCs w:val="18"/>
              </w:rPr>
              <w:t>unit of labour input</w:t>
            </w:r>
            <w:r w:rsidR="007D3E04">
              <w:rPr>
                <w:rFonts w:cs="Times New Roman"/>
                <w:sz w:val="18"/>
                <w:szCs w:val="18"/>
              </w:rPr>
              <w:t xml:space="preserve">. </w:t>
            </w:r>
          </w:p>
          <w:p w14:paraId="328D6CF7" w14:textId="77777777" w:rsidR="0007671D" w:rsidRPr="007D3E04" w:rsidRDefault="006A37E0" w:rsidP="00544872">
            <w:pPr>
              <w:pStyle w:val="RD-Indicatortabletext"/>
              <w:spacing w:after="60"/>
              <w:jc w:val="both"/>
              <w:rPr>
                <w:rFonts w:cs="Times New Roman"/>
                <w:sz w:val="18"/>
                <w:szCs w:val="18"/>
              </w:rPr>
            </w:pPr>
            <w:r w:rsidRPr="007D3E04">
              <w:rPr>
                <w:rFonts w:cs="Times New Roman"/>
                <w:sz w:val="18"/>
                <w:szCs w:val="18"/>
              </w:rPr>
              <w:t>GVA is recorded at basic prices. It is output valued at basic prices less intermediate consumption valued at purchasers’ prices</w:t>
            </w:r>
            <w:r w:rsidR="007D3E04">
              <w:rPr>
                <w:rFonts w:cs="Times New Roman"/>
                <w:sz w:val="18"/>
                <w:szCs w:val="18"/>
              </w:rPr>
              <w:t>.</w:t>
            </w:r>
          </w:p>
          <w:p w14:paraId="769A1DEA" w14:textId="77777777" w:rsidR="006A37E0" w:rsidRPr="007D3E04" w:rsidRDefault="0007671D" w:rsidP="00544872">
            <w:pPr>
              <w:pStyle w:val="RD-Indicatortabletext"/>
              <w:spacing w:after="60"/>
              <w:jc w:val="both"/>
              <w:rPr>
                <w:rFonts w:cs="Times New Roman"/>
                <w:color w:val="000000"/>
                <w:sz w:val="18"/>
                <w:szCs w:val="18"/>
              </w:rPr>
            </w:pPr>
            <w:r w:rsidRPr="007D3E04">
              <w:rPr>
                <w:rFonts w:cs="Times New Roman"/>
                <w:color w:val="000000"/>
                <w:sz w:val="18"/>
                <w:szCs w:val="18"/>
              </w:rPr>
              <w:t>The basic price is defined as the price received by the producer, after deduction of all taxes on products but inclu</w:t>
            </w:r>
            <w:r w:rsidR="007D3E04">
              <w:rPr>
                <w:rFonts w:cs="Times New Roman"/>
                <w:color w:val="000000"/>
                <w:sz w:val="18"/>
                <w:szCs w:val="18"/>
              </w:rPr>
              <w:t>ding all subsidies on products.</w:t>
            </w:r>
          </w:p>
          <w:p w14:paraId="117A8037" w14:textId="77777777" w:rsidR="00920796" w:rsidRPr="007D3E04" w:rsidRDefault="006A37E0" w:rsidP="00544872">
            <w:pPr>
              <w:pStyle w:val="RD-Indicatortabletext"/>
              <w:spacing w:after="60"/>
              <w:jc w:val="both"/>
              <w:rPr>
                <w:rFonts w:cs="Times New Roman"/>
                <w:color w:val="000000"/>
                <w:sz w:val="18"/>
                <w:szCs w:val="18"/>
              </w:rPr>
            </w:pPr>
            <w:r w:rsidRPr="007D3E04">
              <w:rPr>
                <w:rFonts w:cs="Times New Roman"/>
                <w:color w:val="000000"/>
                <w:sz w:val="18"/>
                <w:szCs w:val="18"/>
              </w:rPr>
              <w:t>GVA is measured in chain linked volumes (2015), mi</w:t>
            </w:r>
            <w:r w:rsidR="007D3E04">
              <w:rPr>
                <w:rFonts w:cs="Times New Roman"/>
                <w:color w:val="000000"/>
                <w:sz w:val="18"/>
                <w:szCs w:val="18"/>
              </w:rPr>
              <w:t>llion euro.</w:t>
            </w:r>
          </w:p>
          <w:p w14:paraId="2395682B" w14:textId="77777777" w:rsidR="0007671D" w:rsidRPr="007D3E04" w:rsidRDefault="00920796" w:rsidP="00544872">
            <w:pPr>
              <w:pStyle w:val="RD-Indicatortabletext"/>
              <w:spacing w:after="60"/>
              <w:jc w:val="both"/>
              <w:rPr>
                <w:rFonts w:cs="Times New Roman"/>
                <w:color w:val="000000"/>
                <w:sz w:val="18"/>
                <w:szCs w:val="18"/>
              </w:rPr>
            </w:pPr>
            <w:r w:rsidRPr="007D3E04">
              <w:rPr>
                <w:rFonts w:cs="Times New Roman"/>
                <w:color w:val="000000"/>
                <w:sz w:val="18"/>
                <w:szCs w:val="18"/>
              </w:rPr>
              <w:t>Labour input includes both employees and self-employed to provide total employment in the respective sector. It is</w:t>
            </w:r>
            <w:r w:rsidR="007D3E04">
              <w:rPr>
                <w:rFonts w:cs="Times New Roman"/>
                <w:color w:val="000000"/>
                <w:sz w:val="18"/>
                <w:szCs w:val="18"/>
              </w:rPr>
              <w:t xml:space="preserve"> measured in thousand persons. </w:t>
            </w:r>
          </w:p>
          <w:p w14:paraId="35C9F737" w14:textId="77777777" w:rsidR="0007671D" w:rsidRPr="007D3E04" w:rsidRDefault="0007671D" w:rsidP="00544872">
            <w:pPr>
              <w:pStyle w:val="RD-Indicatortabletext"/>
              <w:spacing w:after="60"/>
              <w:jc w:val="both"/>
              <w:rPr>
                <w:rFonts w:cs="Times New Roman"/>
                <w:sz w:val="18"/>
                <w:szCs w:val="18"/>
              </w:rPr>
            </w:pPr>
            <w:r w:rsidRPr="007D3E04">
              <w:rPr>
                <w:rFonts w:cs="Times New Roman"/>
                <w:sz w:val="18"/>
                <w:szCs w:val="18"/>
              </w:rPr>
              <w:t xml:space="preserve">A three-year average mitigates short-term fluctuations. Labour productivity is then calculated as the ratio of the averages: (three year average GVA) / (three year average labour </w:t>
            </w:r>
            <w:r w:rsidR="006A37E0" w:rsidRPr="007D3E04">
              <w:rPr>
                <w:rFonts w:cs="Times New Roman"/>
                <w:sz w:val="18"/>
                <w:szCs w:val="18"/>
              </w:rPr>
              <w:t>input)</w:t>
            </w:r>
            <w:r w:rsidRPr="007D3E04">
              <w:rPr>
                <w:rFonts w:cs="Times New Roman"/>
                <w:sz w:val="18"/>
                <w:szCs w:val="18"/>
              </w:rPr>
              <w:t>.</w:t>
            </w:r>
          </w:p>
          <w:p w14:paraId="201DB84C" w14:textId="77777777" w:rsidR="00161B7C" w:rsidRPr="00D320C1" w:rsidRDefault="00161B7C" w:rsidP="00544872">
            <w:pPr>
              <w:pStyle w:val="RD-Indicatortabletext"/>
              <w:spacing w:after="60"/>
              <w:jc w:val="both"/>
              <w:rPr>
                <w:rFonts w:cs="Times New Roman"/>
                <w:b/>
                <w:sz w:val="18"/>
                <w:szCs w:val="18"/>
              </w:rPr>
            </w:pPr>
          </w:p>
          <w:p w14:paraId="2F3401BE" w14:textId="67B9DBE9" w:rsidR="006A37E0" w:rsidRPr="006A37E0" w:rsidRDefault="008908FF" w:rsidP="00161B7C">
            <w:pPr>
              <w:pStyle w:val="RD-Indicatortabletext"/>
              <w:spacing w:after="60"/>
              <w:jc w:val="both"/>
              <w:rPr>
                <w:rFonts w:cs="Times New Roman"/>
                <w:sz w:val="18"/>
                <w:szCs w:val="18"/>
              </w:rPr>
            </w:pPr>
            <w:r w:rsidRPr="008908FF">
              <w:rPr>
                <w:rFonts w:cs="Times New Roman"/>
                <w:sz w:val="18"/>
                <w:szCs w:val="18"/>
              </w:rPr>
              <w:t>1</w:t>
            </w:r>
            <w:r w:rsidR="006A37E0" w:rsidRPr="3F4AE0BD">
              <w:rPr>
                <w:rFonts w:cs="Times New Roman"/>
                <w:b/>
                <w:bCs/>
                <w:sz w:val="18"/>
                <w:szCs w:val="18"/>
              </w:rPr>
              <w:t xml:space="preserve"> – </w:t>
            </w:r>
            <w:r w:rsidR="006A37E0" w:rsidRPr="006A37E0">
              <w:rPr>
                <w:rFonts w:cs="Times New Roman"/>
                <w:sz w:val="18"/>
                <w:szCs w:val="18"/>
              </w:rPr>
              <w:t xml:space="preserve">The agricultural </w:t>
            </w:r>
            <w:r w:rsidR="006A37E0">
              <w:rPr>
                <w:rFonts w:cs="Times New Roman"/>
                <w:sz w:val="18"/>
                <w:szCs w:val="18"/>
              </w:rPr>
              <w:t>sector corresponds to division A01 in NACE rev.2 (crop and animal production, hunting and related service activities).</w:t>
            </w:r>
          </w:p>
          <w:p w14:paraId="7933B075" w14:textId="603665B1" w:rsidR="00161B7C" w:rsidRDefault="008908FF" w:rsidP="00161B7C">
            <w:pPr>
              <w:pStyle w:val="RD-Indicatortabletext"/>
              <w:spacing w:after="60"/>
              <w:jc w:val="both"/>
              <w:rPr>
                <w:rFonts w:cs="Times New Roman"/>
                <w:sz w:val="18"/>
                <w:szCs w:val="18"/>
              </w:rPr>
            </w:pPr>
            <w:r w:rsidRPr="008908FF">
              <w:rPr>
                <w:rFonts w:cs="Times New Roman"/>
                <w:sz w:val="18"/>
                <w:szCs w:val="18"/>
              </w:rPr>
              <w:t>2</w:t>
            </w:r>
            <w:r w:rsidR="006A37E0" w:rsidRPr="006A37E0">
              <w:rPr>
                <w:rFonts w:cs="Times New Roman"/>
                <w:sz w:val="18"/>
                <w:szCs w:val="18"/>
              </w:rPr>
              <w:t xml:space="preserve"> </w:t>
            </w:r>
            <w:r w:rsidR="006A37E0">
              <w:rPr>
                <w:rFonts w:cs="Times New Roman"/>
                <w:sz w:val="18"/>
                <w:szCs w:val="18"/>
              </w:rPr>
              <w:t xml:space="preserve">- </w:t>
            </w:r>
            <w:r w:rsidR="00161B7C" w:rsidRPr="00C34DE9">
              <w:rPr>
                <w:rFonts w:cs="Times New Roman"/>
                <w:sz w:val="18"/>
                <w:szCs w:val="18"/>
              </w:rPr>
              <w:t xml:space="preserve">The forestry </w:t>
            </w:r>
            <w:r w:rsidR="00161B7C" w:rsidRPr="3F4AE0BD">
              <w:rPr>
                <w:rFonts w:cs="Times New Roman"/>
                <w:sz w:val="18"/>
                <w:szCs w:val="18"/>
              </w:rPr>
              <w:t xml:space="preserve">sector </w:t>
            </w:r>
            <w:r w:rsidR="00161B7C" w:rsidRPr="00C34DE9">
              <w:rPr>
                <w:rFonts w:cs="Times New Roman"/>
                <w:sz w:val="18"/>
                <w:szCs w:val="18"/>
              </w:rPr>
              <w:t xml:space="preserve">corresponds to division </w:t>
            </w:r>
            <w:r w:rsidR="006A37E0">
              <w:rPr>
                <w:rFonts w:cs="Times New Roman"/>
                <w:sz w:val="18"/>
                <w:szCs w:val="18"/>
              </w:rPr>
              <w:t>A</w:t>
            </w:r>
            <w:r w:rsidR="00161B7C" w:rsidRPr="00C34DE9">
              <w:rPr>
                <w:rFonts w:cs="Times New Roman"/>
                <w:sz w:val="18"/>
                <w:szCs w:val="18"/>
              </w:rPr>
              <w:t xml:space="preserve">02 in NACE rev. </w:t>
            </w:r>
            <w:r w:rsidR="00161B7C">
              <w:rPr>
                <w:rFonts w:cs="Times New Roman"/>
                <w:sz w:val="18"/>
                <w:szCs w:val="18"/>
              </w:rPr>
              <w:t>2</w:t>
            </w:r>
            <w:r w:rsidR="00161B7C" w:rsidRPr="00C34DE9">
              <w:rPr>
                <w:rFonts w:cs="Times New Roman"/>
                <w:sz w:val="18"/>
                <w:szCs w:val="18"/>
              </w:rPr>
              <w:t xml:space="preserve"> (Forestry and logging).</w:t>
            </w:r>
          </w:p>
          <w:p w14:paraId="4F0581EC" w14:textId="21E80E4B" w:rsidR="006A37E0" w:rsidRPr="00C34DE9" w:rsidRDefault="008908FF" w:rsidP="00161B7C">
            <w:pPr>
              <w:pStyle w:val="RD-Indicatortabletext"/>
              <w:spacing w:after="60"/>
              <w:jc w:val="both"/>
              <w:rPr>
                <w:rFonts w:cs="Times New Roman"/>
                <w:sz w:val="18"/>
                <w:szCs w:val="18"/>
              </w:rPr>
            </w:pPr>
            <w:r w:rsidRPr="008908FF">
              <w:rPr>
                <w:rFonts w:cs="Times New Roman"/>
                <w:sz w:val="18"/>
                <w:szCs w:val="18"/>
              </w:rPr>
              <w:t>3</w:t>
            </w:r>
            <w:r w:rsidR="006A37E0">
              <w:rPr>
                <w:rFonts w:cs="Times New Roman"/>
                <w:sz w:val="18"/>
                <w:szCs w:val="18"/>
              </w:rPr>
              <w:t xml:space="preserve"> – The food industry corresponds to division C10-C12 in NACE rev.2 (manufacture of food products; beverages and tobacco products)</w:t>
            </w:r>
          </w:p>
          <w:p w14:paraId="215619AC" w14:textId="77777777" w:rsidR="00161B7C" w:rsidRPr="00C34DE9" w:rsidRDefault="00161B7C" w:rsidP="00B177A2">
            <w:pPr>
              <w:pStyle w:val="RD-Indicatortabletext"/>
              <w:spacing w:after="60"/>
              <w:jc w:val="both"/>
              <w:rPr>
                <w:rFonts w:cs="Times New Roman"/>
                <w:sz w:val="18"/>
                <w:szCs w:val="18"/>
              </w:rPr>
            </w:pPr>
          </w:p>
        </w:tc>
      </w:tr>
      <w:tr w:rsidR="0007671D" w:rsidRPr="00C34DE9" w14:paraId="607E54AC" w14:textId="77777777" w:rsidTr="790C88FB">
        <w:tc>
          <w:tcPr>
            <w:tcW w:w="2943" w:type="dxa"/>
            <w:shd w:val="clear" w:color="auto" w:fill="auto"/>
          </w:tcPr>
          <w:p w14:paraId="12FC5BDC"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8" w:type="dxa"/>
            <w:shd w:val="clear" w:color="auto" w:fill="auto"/>
          </w:tcPr>
          <w:p w14:paraId="765CC855" w14:textId="391454E4" w:rsidR="0007671D" w:rsidRPr="00C34DE9" w:rsidRDefault="008908FF" w:rsidP="00CE6863">
            <w:pPr>
              <w:pStyle w:val="RD-Indicatortabletext"/>
              <w:spacing w:after="60"/>
              <w:rPr>
                <w:rFonts w:cs="Times New Roman"/>
                <w:sz w:val="18"/>
                <w:szCs w:val="18"/>
              </w:rPr>
            </w:pPr>
            <w:r>
              <w:rPr>
                <w:rFonts w:cs="Times New Roman"/>
                <w:sz w:val="18"/>
                <w:szCs w:val="18"/>
              </w:rPr>
              <w:t xml:space="preserve">1 - 3: </w:t>
            </w:r>
            <w:r w:rsidR="0007671D" w:rsidRPr="00C34DE9">
              <w:rPr>
                <w:rFonts w:cs="Times New Roman"/>
                <w:sz w:val="18"/>
                <w:szCs w:val="18"/>
              </w:rPr>
              <w:t>EUR</w:t>
            </w:r>
            <w:r w:rsidR="00CE6863">
              <w:rPr>
                <w:rFonts w:cs="Times New Roman"/>
                <w:sz w:val="18"/>
                <w:szCs w:val="18"/>
              </w:rPr>
              <w:t xml:space="preserve"> million</w:t>
            </w:r>
            <w:r w:rsidR="0007671D" w:rsidRPr="00C34DE9">
              <w:rPr>
                <w:rFonts w:cs="Times New Roman"/>
                <w:sz w:val="18"/>
                <w:szCs w:val="18"/>
              </w:rPr>
              <w:t>/</w:t>
            </w:r>
            <w:r w:rsidR="00CE6863">
              <w:rPr>
                <w:rFonts w:cs="Times New Roman"/>
                <w:sz w:val="18"/>
                <w:szCs w:val="18"/>
              </w:rPr>
              <w:t xml:space="preserve">number of </w:t>
            </w:r>
            <w:r w:rsidR="00B177A2">
              <w:rPr>
                <w:rFonts w:cs="Times New Roman"/>
                <w:sz w:val="18"/>
                <w:szCs w:val="18"/>
              </w:rPr>
              <w:t>persons</w:t>
            </w:r>
            <w:r w:rsidR="00CE6863">
              <w:rPr>
                <w:rFonts w:cs="Times New Roman"/>
                <w:sz w:val="18"/>
                <w:szCs w:val="18"/>
              </w:rPr>
              <w:t xml:space="preserve"> (in thousand)</w:t>
            </w:r>
          </w:p>
        </w:tc>
      </w:tr>
      <w:tr w:rsidR="0007671D" w:rsidRPr="00C34DE9" w14:paraId="71A4009A" w14:textId="77777777" w:rsidTr="790C88FB">
        <w:tc>
          <w:tcPr>
            <w:tcW w:w="2943" w:type="dxa"/>
            <w:shd w:val="clear" w:color="auto" w:fill="auto"/>
          </w:tcPr>
          <w:p w14:paraId="6983249F"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8" w:type="dxa"/>
            <w:shd w:val="clear" w:color="auto" w:fill="auto"/>
            <w:vAlign w:val="center"/>
          </w:tcPr>
          <w:p w14:paraId="6720D54E" w14:textId="77777777" w:rsidR="00161B7C" w:rsidRPr="00C34DE9" w:rsidRDefault="0007671D" w:rsidP="00161B7C">
            <w:pPr>
              <w:pStyle w:val="RD-Indicatortabletext"/>
              <w:spacing w:after="60"/>
              <w:rPr>
                <w:rFonts w:cs="Times New Roman"/>
                <w:sz w:val="18"/>
                <w:szCs w:val="18"/>
              </w:rPr>
            </w:pPr>
            <w:r w:rsidRPr="00C34DE9">
              <w:rPr>
                <w:rFonts w:cs="Times New Roman"/>
                <w:sz w:val="18"/>
                <w:szCs w:val="18"/>
              </w:rPr>
              <w:t xml:space="preserve">Eurostat </w:t>
            </w:r>
          </w:p>
        </w:tc>
      </w:tr>
      <w:tr w:rsidR="0007671D" w:rsidRPr="00C34DE9" w14:paraId="7F793BD0" w14:textId="77777777" w:rsidTr="790C88FB">
        <w:tc>
          <w:tcPr>
            <w:tcW w:w="2943" w:type="dxa"/>
            <w:shd w:val="clear" w:color="auto" w:fill="auto"/>
          </w:tcPr>
          <w:p w14:paraId="3BB80A08"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8" w:type="dxa"/>
            <w:shd w:val="clear" w:color="auto" w:fill="auto"/>
          </w:tcPr>
          <w:p w14:paraId="1E65B8F0" w14:textId="77777777" w:rsidR="00B177A2" w:rsidRDefault="00B177A2" w:rsidP="00161B7C">
            <w:pPr>
              <w:spacing w:after="60" w:line="240" w:lineRule="auto"/>
              <w:jc w:val="both"/>
              <w:rPr>
                <w:rFonts w:ascii="Verdana" w:hAnsi="Verdana"/>
                <w:sz w:val="18"/>
                <w:szCs w:val="18"/>
              </w:rPr>
            </w:pPr>
            <w:r>
              <w:rPr>
                <w:rFonts w:ascii="Verdana" w:hAnsi="Verdana"/>
                <w:sz w:val="18"/>
                <w:szCs w:val="18"/>
              </w:rPr>
              <w:t xml:space="preserve">For GVA: </w:t>
            </w:r>
          </w:p>
          <w:p w14:paraId="3F749578" w14:textId="77777777" w:rsidR="00161B7C" w:rsidRDefault="00161B7C" w:rsidP="00006DA8">
            <w:pPr>
              <w:spacing w:after="60" w:line="240" w:lineRule="auto"/>
              <w:jc w:val="both"/>
              <w:rPr>
                <w:rFonts w:ascii="Verdana" w:hAnsi="Verdana"/>
                <w:sz w:val="18"/>
                <w:szCs w:val="18"/>
              </w:rPr>
            </w:pPr>
            <w:r w:rsidRPr="00C34DE9">
              <w:rPr>
                <w:rFonts w:ascii="Verdana" w:hAnsi="Verdana"/>
                <w:sz w:val="18"/>
                <w:szCs w:val="18"/>
              </w:rPr>
              <w:t xml:space="preserve">National Accounts: table </w:t>
            </w:r>
            <w:r w:rsidR="00A6594A">
              <w:rPr>
                <w:rFonts w:ascii="Verdana" w:hAnsi="Verdana"/>
                <w:sz w:val="18"/>
                <w:szCs w:val="18"/>
              </w:rPr>
              <w:t>[</w:t>
            </w:r>
            <w:hyperlink r:id="rId147" w:history="1">
              <w:r w:rsidRPr="00C34DE9">
                <w:rPr>
                  <w:rStyle w:val="Hyperlink"/>
                  <w:rFonts w:ascii="Verdana" w:hAnsi="Verdana"/>
                  <w:sz w:val="18"/>
                  <w:szCs w:val="18"/>
                </w:rPr>
                <w:t>nama_10_a64</w:t>
              </w:r>
            </w:hyperlink>
            <w:r w:rsidR="00A6594A">
              <w:rPr>
                <w:rFonts w:ascii="Verdana" w:hAnsi="Verdana"/>
                <w:sz w:val="18"/>
                <w:szCs w:val="18"/>
              </w:rPr>
              <w:t>]</w:t>
            </w:r>
          </w:p>
          <w:p w14:paraId="769704F7" w14:textId="77777777" w:rsidR="00B177A2" w:rsidRPr="00C34DE9" w:rsidRDefault="00B177A2" w:rsidP="00161B7C">
            <w:pPr>
              <w:spacing w:after="60" w:line="240" w:lineRule="auto"/>
              <w:jc w:val="both"/>
              <w:rPr>
                <w:rFonts w:ascii="Verdana" w:hAnsi="Verdana"/>
                <w:sz w:val="18"/>
                <w:szCs w:val="18"/>
              </w:rPr>
            </w:pPr>
            <w:r>
              <w:rPr>
                <w:rFonts w:ascii="Verdana" w:hAnsi="Verdana"/>
                <w:sz w:val="18"/>
                <w:szCs w:val="18"/>
              </w:rPr>
              <w:t>For labour input:</w:t>
            </w:r>
          </w:p>
          <w:p w14:paraId="1AA678E9" w14:textId="77777777" w:rsidR="00161B7C" w:rsidRPr="00C34DE9" w:rsidRDefault="00B177A2" w:rsidP="00006DA8">
            <w:pPr>
              <w:spacing w:after="60" w:line="240" w:lineRule="auto"/>
              <w:jc w:val="both"/>
              <w:rPr>
                <w:rFonts w:ascii="Verdana" w:hAnsi="Verdana"/>
                <w:sz w:val="18"/>
                <w:szCs w:val="18"/>
              </w:rPr>
            </w:pPr>
            <w:r>
              <w:rPr>
                <w:rStyle w:val="Hyperlink"/>
                <w:rFonts w:ascii="Verdana" w:hAnsi="Verdana"/>
                <w:color w:val="auto"/>
                <w:sz w:val="18"/>
                <w:szCs w:val="18"/>
                <w:u w:val="none"/>
              </w:rPr>
              <w:t xml:space="preserve">National Accounts, table </w:t>
            </w:r>
            <w:r w:rsidR="00B260F7">
              <w:rPr>
                <w:rStyle w:val="Hyperlink"/>
                <w:rFonts w:ascii="Verdana" w:hAnsi="Verdana"/>
                <w:color w:val="auto"/>
                <w:sz w:val="18"/>
                <w:szCs w:val="18"/>
                <w:u w:val="none"/>
              </w:rPr>
              <w:t>[</w:t>
            </w:r>
            <w:hyperlink r:id="rId148" w:history="1">
              <w:r w:rsidRPr="005D44FE">
                <w:rPr>
                  <w:rStyle w:val="Hyperlink"/>
                  <w:rFonts w:ascii="Verdana" w:hAnsi="Verdana"/>
                  <w:sz w:val="18"/>
                  <w:szCs w:val="18"/>
                </w:rPr>
                <w:t>nama_10_a64_e</w:t>
              </w:r>
            </w:hyperlink>
            <w:r w:rsidR="00B260F7">
              <w:rPr>
                <w:rStyle w:val="Hyperlink"/>
                <w:rFonts w:ascii="Verdana" w:hAnsi="Verdana"/>
                <w:color w:val="auto"/>
                <w:sz w:val="18"/>
                <w:szCs w:val="18"/>
                <w:u w:val="none"/>
              </w:rPr>
              <w:t>]</w:t>
            </w:r>
          </w:p>
        </w:tc>
      </w:tr>
      <w:tr w:rsidR="0007671D" w:rsidRPr="00C34DE9" w14:paraId="100E115C" w14:textId="77777777" w:rsidTr="790C88FB">
        <w:tc>
          <w:tcPr>
            <w:tcW w:w="2943" w:type="dxa"/>
            <w:shd w:val="clear" w:color="auto" w:fill="auto"/>
          </w:tcPr>
          <w:p w14:paraId="68F88B1A"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8" w:type="dxa"/>
            <w:shd w:val="clear" w:color="auto" w:fill="auto"/>
          </w:tcPr>
          <w:p w14:paraId="21FD5E0E" w14:textId="77777777" w:rsidR="0007671D" w:rsidRPr="00C34DE9" w:rsidRDefault="0007671D" w:rsidP="00544872">
            <w:pPr>
              <w:spacing w:after="60" w:line="240" w:lineRule="auto"/>
              <w:jc w:val="both"/>
              <w:rPr>
                <w:rFonts w:ascii="Verdana" w:hAnsi="Verdana"/>
                <w:sz w:val="18"/>
                <w:szCs w:val="18"/>
              </w:rPr>
            </w:pPr>
            <w:r w:rsidRPr="00C34DE9">
              <w:rPr>
                <w:rFonts w:ascii="Verdana" w:hAnsi="Verdana"/>
                <w:sz w:val="18"/>
                <w:szCs w:val="18"/>
              </w:rPr>
              <w:t>EU</w:t>
            </w:r>
            <w:r w:rsidR="00A6594A">
              <w:rPr>
                <w:rFonts w:ascii="Verdana" w:hAnsi="Verdana"/>
                <w:sz w:val="18"/>
                <w:szCs w:val="18"/>
              </w:rPr>
              <w:t>, N</w:t>
            </w:r>
            <w:r w:rsidRPr="00C34DE9">
              <w:rPr>
                <w:rFonts w:ascii="Verdana" w:hAnsi="Verdana"/>
                <w:sz w:val="18"/>
                <w:szCs w:val="18"/>
              </w:rPr>
              <w:t>ational (NUTS 0)</w:t>
            </w:r>
          </w:p>
        </w:tc>
      </w:tr>
      <w:tr w:rsidR="0007671D" w:rsidRPr="00C34DE9" w14:paraId="04283BC1" w14:textId="77777777" w:rsidTr="790C88FB">
        <w:tc>
          <w:tcPr>
            <w:tcW w:w="2943" w:type="dxa"/>
            <w:shd w:val="clear" w:color="auto" w:fill="auto"/>
          </w:tcPr>
          <w:p w14:paraId="06BCBAD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8" w:type="dxa"/>
            <w:shd w:val="clear" w:color="auto" w:fill="auto"/>
          </w:tcPr>
          <w:p w14:paraId="11585101" w14:textId="77777777" w:rsidR="0007671D" w:rsidRPr="00C34DE9" w:rsidRDefault="0007671D" w:rsidP="00544872">
            <w:pPr>
              <w:pStyle w:val="Default"/>
              <w:spacing w:after="60"/>
              <w:rPr>
                <w:rFonts w:ascii="Verdana" w:hAnsi="Verdana"/>
                <w:sz w:val="18"/>
                <w:szCs w:val="18"/>
              </w:rPr>
            </w:pPr>
            <w:r w:rsidRPr="00C34DE9">
              <w:rPr>
                <w:rFonts w:ascii="Verdana" w:hAnsi="Verdana"/>
                <w:sz w:val="18"/>
                <w:szCs w:val="18"/>
              </w:rPr>
              <w:t xml:space="preserve">Annual </w:t>
            </w:r>
          </w:p>
        </w:tc>
      </w:tr>
      <w:tr w:rsidR="0007671D" w:rsidRPr="00C34DE9" w14:paraId="531A229D" w14:textId="77777777" w:rsidTr="790C88FB">
        <w:tc>
          <w:tcPr>
            <w:tcW w:w="2943" w:type="dxa"/>
            <w:shd w:val="clear" w:color="auto" w:fill="auto"/>
          </w:tcPr>
          <w:p w14:paraId="16890AEC"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8" w:type="dxa"/>
            <w:shd w:val="clear" w:color="auto" w:fill="auto"/>
          </w:tcPr>
          <w:p w14:paraId="2274AEDE" w14:textId="77777777" w:rsidR="00B177A2" w:rsidRDefault="00B177A2" w:rsidP="00544872">
            <w:pPr>
              <w:spacing w:after="60" w:line="240" w:lineRule="auto"/>
              <w:jc w:val="both"/>
              <w:rPr>
                <w:rFonts w:ascii="Verdana" w:hAnsi="Verdana"/>
                <w:sz w:val="18"/>
                <w:szCs w:val="18"/>
              </w:rPr>
            </w:pPr>
            <w:r>
              <w:rPr>
                <w:rFonts w:ascii="Verdana" w:hAnsi="Verdana"/>
                <w:sz w:val="18"/>
                <w:szCs w:val="18"/>
              </w:rPr>
              <w:t>National data: 1-2 years</w:t>
            </w:r>
          </w:p>
          <w:p w14:paraId="716537CA" w14:textId="77777777" w:rsidR="0007671D" w:rsidRPr="00C34DE9" w:rsidRDefault="00B177A2" w:rsidP="00B177A2">
            <w:pPr>
              <w:spacing w:after="60" w:line="240" w:lineRule="auto"/>
              <w:jc w:val="both"/>
              <w:rPr>
                <w:rFonts w:ascii="Verdana" w:hAnsi="Verdana"/>
                <w:sz w:val="18"/>
                <w:szCs w:val="18"/>
                <w:lang w:val="hu-HU"/>
              </w:rPr>
            </w:pPr>
            <w:r>
              <w:rPr>
                <w:rFonts w:ascii="Verdana" w:hAnsi="Verdana"/>
                <w:sz w:val="18"/>
                <w:szCs w:val="18"/>
              </w:rPr>
              <w:t>EU aggregates: 3-4 years</w:t>
            </w:r>
          </w:p>
        </w:tc>
      </w:tr>
      <w:tr w:rsidR="0007671D" w:rsidRPr="00C34DE9" w14:paraId="02D0C751" w14:textId="77777777" w:rsidTr="790C88FB">
        <w:tc>
          <w:tcPr>
            <w:tcW w:w="2943" w:type="dxa"/>
            <w:shd w:val="clear" w:color="auto" w:fill="auto"/>
          </w:tcPr>
          <w:p w14:paraId="2CAEBFF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8" w:type="dxa"/>
            <w:shd w:val="clear" w:color="auto" w:fill="auto"/>
          </w:tcPr>
          <w:p w14:paraId="47076C41" w14:textId="77777777" w:rsidR="00513043" w:rsidRPr="00C34DE9" w:rsidRDefault="00513043" w:rsidP="00FA7243">
            <w:pPr>
              <w:spacing w:after="60" w:line="240" w:lineRule="auto"/>
              <w:jc w:val="both"/>
              <w:rPr>
                <w:rFonts w:ascii="Verdana" w:eastAsia="Times New Roman" w:hAnsi="Verdana"/>
                <w:sz w:val="18"/>
                <w:szCs w:val="18"/>
                <w:lang w:val="x-none"/>
              </w:rPr>
            </w:pPr>
          </w:p>
        </w:tc>
      </w:tr>
    </w:tbl>
    <w:p w14:paraId="1E7B2FC4" w14:textId="77777777" w:rsidR="00841E23" w:rsidRPr="00C34DE9" w:rsidRDefault="00841E23" w:rsidP="00544872">
      <w:pPr>
        <w:spacing w:after="60"/>
        <w:rPr>
          <w:rFonts w:ascii="Verdana" w:hAnsi="Verdana"/>
          <w:sz w:val="18"/>
          <w:szCs w:val="18"/>
        </w:rPr>
      </w:pPr>
    </w:p>
    <w:p w14:paraId="76E434AA" w14:textId="77777777" w:rsidR="005B5547" w:rsidRPr="00C34DE9" w:rsidRDefault="00940A4E">
      <w:pPr>
        <w:rPr>
          <w:rFonts w:ascii="Verdana" w:hAnsi="Verdana"/>
          <w:sz w:val="18"/>
          <w:szCs w:val="18"/>
        </w:rPr>
      </w:pPr>
      <w:r w:rsidRPr="00C34DE9">
        <w:rPr>
          <w:rFonts w:ascii="Verdana" w:hAnsi="Verdana"/>
          <w:sz w:val="18"/>
          <w:szCs w:val="18"/>
        </w:rPr>
        <w:br w:type="page"/>
      </w:r>
    </w:p>
    <w:tbl>
      <w:tblPr>
        <w:tblW w:w="9933" w:type="dxa"/>
        <w:tblLayout w:type="fixed"/>
        <w:tblCellMar>
          <w:left w:w="10" w:type="dxa"/>
          <w:right w:w="10" w:type="dxa"/>
        </w:tblCellMar>
        <w:tblLook w:val="04A0" w:firstRow="1" w:lastRow="0" w:firstColumn="1" w:lastColumn="0" w:noHBand="0" w:noVBand="1"/>
      </w:tblPr>
      <w:tblGrid>
        <w:gridCol w:w="2845"/>
        <w:gridCol w:w="7088"/>
      </w:tblGrid>
      <w:tr w:rsidR="0007671D" w:rsidRPr="00C34DE9" w14:paraId="68F2EDB0" w14:textId="77777777" w:rsidTr="240ABBB4">
        <w:trPr>
          <w:trHeight w:hRule="exact" w:val="790"/>
        </w:trPr>
        <w:tc>
          <w:tcPr>
            <w:tcW w:w="2845" w:type="dxa"/>
            <w:tcBorders>
              <w:top w:val="single" w:sz="4" w:space="0" w:color="auto"/>
              <w:left w:val="single" w:sz="4" w:space="0" w:color="auto"/>
            </w:tcBorders>
            <w:shd w:val="clear" w:color="auto" w:fill="00B0F0"/>
          </w:tcPr>
          <w:p w14:paraId="2BC55306" w14:textId="7E02CA4C" w:rsidR="0007671D" w:rsidRPr="006E193D" w:rsidRDefault="00A6594A" w:rsidP="002D72D6">
            <w:pPr>
              <w:spacing w:after="60" w:line="240" w:lineRule="auto"/>
              <w:ind w:left="113"/>
              <w:rPr>
                <w:rFonts w:ascii="Verdana" w:hAnsi="Verdana"/>
                <w:b/>
                <w:bCs/>
                <w:sz w:val="18"/>
                <w:szCs w:val="18"/>
              </w:rPr>
            </w:pPr>
            <w:bookmarkStart w:id="42" w:name="C30"/>
            <w:r w:rsidRPr="006E193D">
              <w:rPr>
                <w:rFonts w:ascii="Verdana" w:hAnsi="Verdana"/>
                <w:b/>
                <w:bCs/>
                <w:smallCaps/>
                <w:sz w:val="18"/>
                <w:szCs w:val="18"/>
              </w:rPr>
              <w:lastRenderedPageBreak/>
              <w:t>Indicator</w:t>
            </w:r>
            <w:r w:rsidR="0007671D" w:rsidRPr="006E193D">
              <w:rPr>
                <w:rFonts w:ascii="Verdana" w:hAnsi="Verdana"/>
                <w:b/>
                <w:bCs/>
                <w:sz w:val="18"/>
                <w:szCs w:val="18"/>
              </w:rPr>
              <w:t xml:space="preserve"> </w:t>
            </w:r>
            <w:r w:rsidR="0007671D" w:rsidRPr="006E193D">
              <w:rPr>
                <w:rFonts w:ascii="Verdana" w:hAnsi="Verdana"/>
                <w:b/>
                <w:bCs/>
                <w:smallCaps/>
                <w:sz w:val="18"/>
                <w:szCs w:val="18"/>
              </w:rPr>
              <w:t>C.</w:t>
            </w:r>
            <w:r w:rsidR="0007671D" w:rsidRPr="006E193D">
              <w:rPr>
                <w:rFonts w:ascii="Verdana" w:hAnsi="Verdana"/>
                <w:b/>
                <w:bCs/>
                <w:sz w:val="18"/>
                <w:szCs w:val="18"/>
              </w:rPr>
              <w:t>3</w:t>
            </w:r>
            <w:r w:rsidR="002D72D6">
              <w:rPr>
                <w:rFonts w:ascii="Verdana" w:hAnsi="Verdana"/>
                <w:b/>
                <w:bCs/>
                <w:sz w:val="18"/>
                <w:szCs w:val="18"/>
              </w:rPr>
              <w:t>1</w:t>
            </w:r>
            <w:bookmarkEnd w:id="42"/>
          </w:p>
        </w:tc>
        <w:tc>
          <w:tcPr>
            <w:tcW w:w="7088" w:type="dxa"/>
            <w:tcBorders>
              <w:top w:val="single" w:sz="4" w:space="0" w:color="auto"/>
              <w:left w:val="single" w:sz="4" w:space="0" w:color="auto"/>
              <w:right w:val="single" w:sz="4" w:space="0" w:color="auto"/>
            </w:tcBorders>
            <w:shd w:val="clear" w:color="auto" w:fill="00B0F0"/>
          </w:tcPr>
          <w:p w14:paraId="4C0ECAFF" w14:textId="2B5F4A1C" w:rsidR="00DF348E" w:rsidRPr="006E193D" w:rsidRDefault="00DF348E" w:rsidP="3B80D187">
            <w:pPr>
              <w:spacing w:after="60" w:line="240" w:lineRule="auto"/>
              <w:ind w:left="113"/>
              <w:rPr>
                <w:rFonts w:ascii="Verdana" w:hAnsi="Verdana"/>
                <w:b/>
                <w:bCs/>
                <w:caps/>
                <w:sz w:val="18"/>
                <w:szCs w:val="18"/>
              </w:rPr>
            </w:pPr>
            <w:bookmarkStart w:id="43" w:name="I07"/>
            <w:r w:rsidRPr="006E193D">
              <w:rPr>
                <w:rFonts w:ascii="Verdana" w:hAnsi="Verdana"/>
                <w:b/>
                <w:bCs/>
                <w:sz w:val="18"/>
                <w:szCs w:val="18"/>
              </w:rPr>
              <w:t>Indicator I.7</w:t>
            </w:r>
            <w:bookmarkEnd w:id="43"/>
            <w:r w:rsidRPr="006E193D">
              <w:rPr>
                <w:rFonts w:ascii="Verdana" w:hAnsi="Verdana"/>
                <w:b/>
                <w:bCs/>
                <w:sz w:val="18"/>
                <w:szCs w:val="18"/>
              </w:rPr>
              <w:t xml:space="preserve"> Harness</w:t>
            </w:r>
            <w:r w:rsidR="004531EB" w:rsidRPr="006E193D">
              <w:rPr>
                <w:rFonts w:ascii="Verdana" w:hAnsi="Verdana"/>
                <w:b/>
                <w:bCs/>
                <w:sz w:val="18"/>
                <w:szCs w:val="18"/>
              </w:rPr>
              <w:t>ing</w:t>
            </w:r>
            <w:r w:rsidRPr="006E193D">
              <w:rPr>
                <w:rFonts w:ascii="Verdana" w:hAnsi="Verdana"/>
                <w:b/>
                <w:bCs/>
                <w:sz w:val="18"/>
                <w:szCs w:val="18"/>
              </w:rPr>
              <w:t xml:space="preserve"> </w:t>
            </w:r>
            <w:r w:rsidR="00051B8B">
              <w:rPr>
                <w:rFonts w:ascii="Verdana" w:hAnsi="Verdana"/>
                <w:b/>
                <w:bCs/>
                <w:sz w:val="18"/>
                <w:szCs w:val="18"/>
              </w:rPr>
              <w:t>a</w:t>
            </w:r>
            <w:r w:rsidRPr="006E193D">
              <w:rPr>
                <w:rFonts w:ascii="Verdana" w:hAnsi="Verdana"/>
                <w:b/>
                <w:bCs/>
                <w:sz w:val="18"/>
                <w:szCs w:val="18"/>
              </w:rPr>
              <w:t>gri-food trade:</w:t>
            </w:r>
          </w:p>
          <w:p w14:paraId="6E8E6CDB" w14:textId="34288767" w:rsidR="0007671D" w:rsidRPr="006E193D" w:rsidRDefault="00DF348E" w:rsidP="00D320C1">
            <w:pPr>
              <w:spacing w:after="60"/>
              <w:ind w:left="113"/>
              <w:rPr>
                <w:rFonts w:ascii="Verdana" w:hAnsi="Verdana"/>
                <w:caps/>
                <w:sz w:val="18"/>
                <w:szCs w:val="18"/>
              </w:rPr>
            </w:pPr>
            <w:r w:rsidRPr="006E193D">
              <w:rPr>
                <w:rFonts w:ascii="Verdana" w:hAnsi="Verdana"/>
                <w:sz w:val="18"/>
                <w:szCs w:val="18"/>
              </w:rPr>
              <w:t xml:space="preserve">Agri-food trade imports and exports </w:t>
            </w:r>
          </w:p>
        </w:tc>
      </w:tr>
      <w:tr w:rsidR="0007671D" w:rsidRPr="00C34DE9" w14:paraId="107F2079" w14:textId="77777777" w:rsidTr="240ABBB4">
        <w:trPr>
          <w:trHeight w:hRule="exact" w:val="374"/>
        </w:trPr>
        <w:tc>
          <w:tcPr>
            <w:tcW w:w="2845" w:type="dxa"/>
            <w:tcBorders>
              <w:top w:val="single" w:sz="4" w:space="0" w:color="auto"/>
              <w:left w:val="single" w:sz="4" w:space="0" w:color="auto"/>
            </w:tcBorders>
            <w:shd w:val="clear" w:color="auto" w:fill="FFFFFF" w:themeFill="background1"/>
          </w:tcPr>
          <w:p w14:paraId="5DADE1F1" w14:textId="77777777" w:rsidR="0007671D" w:rsidRPr="006E193D" w:rsidRDefault="0007671D" w:rsidP="00D320C1">
            <w:pPr>
              <w:spacing w:line="200" w:lineRule="exact"/>
              <w:ind w:left="113"/>
              <w:rPr>
                <w:rFonts w:ascii="Verdana" w:hAnsi="Verdana"/>
                <w:sz w:val="18"/>
                <w:szCs w:val="18"/>
              </w:rPr>
            </w:pPr>
            <w:r w:rsidRPr="006E193D">
              <w:rPr>
                <w:rStyle w:val="Bodytext2Bold"/>
                <w:rFonts w:ascii="Verdana" w:hAnsi="Verdana"/>
                <w:color w:val="auto"/>
              </w:rPr>
              <w:t>Indicator Name</w:t>
            </w:r>
          </w:p>
        </w:tc>
        <w:tc>
          <w:tcPr>
            <w:tcW w:w="7088" w:type="dxa"/>
            <w:tcBorders>
              <w:top w:val="single" w:sz="4" w:space="0" w:color="auto"/>
              <w:left w:val="single" w:sz="4" w:space="0" w:color="auto"/>
              <w:right w:val="single" w:sz="4" w:space="0" w:color="auto"/>
            </w:tcBorders>
            <w:shd w:val="clear" w:color="auto" w:fill="FFFFFF" w:themeFill="background1"/>
          </w:tcPr>
          <w:p w14:paraId="72C1D116" w14:textId="77777777" w:rsidR="0007671D" w:rsidRPr="006E193D" w:rsidRDefault="00161B7C" w:rsidP="00DF348E">
            <w:pPr>
              <w:spacing w:line="200" w:lineRule="exact"/>
              <w:jc w:val="center"/>
              <w:rPr>
                <w:rFonts w:ascii="Verdana" w:hAnsi="Verdana"/>
                <w:sz w:val="18"/>
                <w:szCs w:val="18"/>
              </w:rPr>
            </w:pPr>
            <w:r w:rsidRPr="006E193D">
              <w:rPr>
                <w:rStyle w:val="Bodytext2Bold"/>
                <w:rFonts w:ascii="Verdana" w:eastAsia="Calibri" w:hAnsi="Verdana"/>
                <w:color w:val="auto"/>
              </w:rPr>
              <w:t>A</w:t>
            </w:r>
            <w:r w:rsidR="00A251DD" w:rsidRPr="006E193D">
              <w:rPr>
                <w:rStyle w:val="Bodytext2Bold"/>
                <w:rFonts w:ascii="Verdana" w:eastAsia="Calibri" w:hAnsi="Verdana"/>
                <w:color w:val="auto"/>
              </w:rPr>
              <w:t xml:space="preserve">gricultural </w:t>
            </w:r>
            <w:r w:rsidRPr="006E193D">
              <w:rPr>
                <w:rStyle w:val="Bodytext2Bold"/>
                <w:rFonts w:ascii="Verdana" w:eastAsia="Calibri" w:hAnsi="Verdana"/>
                <w:color w:val="auto"/>
              </w:rPr>
              <w:t>imports and exports</w:t>
            </w:r>
          </w:p>
        </w:tc>
      </w:tr>
      <w:tr w:rsidR="0007671D" w:rsidRPr="00C34DE9" w14:paraId="21E04301" w14:textId="77777777" w:rsidTr="0032562E">
        <w:trPr>
          <w:trHeight w:hRule="exact" w:val="5892"/>
        </w:trPr>
        <w:tc>
          <w:tcPr>
            <w:tcW w:w="2845" w:type="dxa"/>
            <w:tcBorders>
              <w:top w:val="single" w:sz="4" w:space="0" w:color="auto"/>
              <w:left w:val="single" w:sz="4" w:space="0" w:color="auto"/>
            </w:tcBorders>
            <w:shd w:val="clear" w:color="auto" w:fill="FFFFFF" w:themeFill="background1"/>
            <w:vAlign w:val="center"/>
          </w:tcPr>
          <w:p w14:paraId="780D6F96" w14:textId="77777777" w:rsidR="0007671D" w:rsidRPr="006E193D" w:rsidRDefault="0007671D" w:rsidP="00D320C1">
            <w:pPr>
              <w:spacing w:line="200" w:lineRule="exact"/>
              <w:ind w:left="113"/>
              <w:rPr>
                <w:rFonts w:ascii="Verdana" w:hAnsi="Verdana"/>
                <w:sz w:val="18"/>
                <w:szCs w:val="18"/>
              </w:rPr>
            </w:pPr>
            <w:r w:rsidRPr="006E193D">
              <w:rPr>
                <w:rStyle w:val="Bodytext2Bold"/>
                <w:rFonts w:ascii="Verdana" w:hAnsi="Verdana"/>
                <w:color w:val="auto"/>
              </w:rPr>
              <w:t>Definition</w:t>
            </w:r>
          </w:p>
        </w:tc>
        <w:tc>
          <w:tcPr>
            <w:tcW w:w="7088" w:type="dxa"/>
            <w:tcBorders>
              <w:top w:val="single" w:sz="4" w:space="0" w:color="auto"/>
              <w:left w:val="single" w:sz="4" w:space="0" w:color="auto"/>
              <w:right w:val="single" w:sz="4" w:space="0" w:color="auto"/>
            </w:tcBorders>
            <w:shd w:val="clear" w:color="auto" w:fill="FFFFFF" w:themeFill="background1"/>
          </w:tcPr>
          <w:p w14:paraId="367EBF16" w14:textId="72F0F0F4" w:rsidR="00A251DD" w:rsidRPr="006E193D" w:rsidRDefault="00D320C1" w:rsidP="00D320C1">
            <w:pPr>
              <w:spacing w:after="60" w:line="240" w:lineRule="auto"/>
              <w:ind w:left="113"/>
              <w:jc w:val="both"/>
              <w:rPr>
                <w:rStyle w:val="Bodytext2Bold"/>
                <w:rFonts w:ascii="Verdana" w:eastAsia="Calibri" w:hAnsi="Verdana"/>
                <w:b w:val="0"/>
                <w:bCs w:val="0"/>
                <w:color w:val="auto"/>
              </w:rPr>
            </w:pPr>
            <w:r w:rsidRPr="006E193D">
              <w:rPr>
                <w:rStyle w:val="Bodytext2Bold"/>
                <w:rFonts w:ascii="Verdana" w:eastAsia="Calibri" w:hAnsi="Verdana"/>
                <w:b w:val="0"/>
                <w:bCs w:val="0"/>
                <w:color w:val="auto"/>
              </w:rPr>
              <w:t xml:space="preserve">This indicator consists </w:t>
            </w:r>
            <w:r w:rsidR="00161B7C" w:rsidRPr="006E193D">
              <w:rPr>
                <w:rStyle w:val="Bodytext2Bold"/>
                <w:rFonts w:ascii="Verdana" w:eastAsia="Calibri" w:hAnsi="Verdana"/>
                <w:b w:val="0"/>
                <w:bCs w:val="0"/>
                <w:color w:val="auto"/>
              </w:rPr>
              <w:t xml:space="preserve"> of 4 </w:t>
            </w:r>
            <w:r w:rsidR="00DD478B" w:rsidRPr="006E193D">
              <w:rPr>
                <w:rStyle w:val="Bodytext2Bold"/>
                <w:rFonts w:ascii="Verdana" w:eastAsia="Calibri" w:hAnsi="Verdana"/>
                <w:b w:val="0"/>
                <w:bCs w:val="0"/>
                <w:color w:val="auto"/>
              </w:rPr>
              <w:t>specific indicators</w:t>
            </w:r>
            <w:r w:rsidR="006E193D">
              <w:rPr>
                <w:rStyle w:val="Bodytext2Bold"/>
                <w:rFonts w:ascii="Verdana" w:eastAsia="Calibri" w:hAnsi="Verdana"/>
                <w:b w:val="0"/>
                <w:bCs w:val="0"/>
                <w:color w:val="auto"/>
              </w:rPr>
              <w:t xml:space="preserve"> </w:t>
            </w:r>
            <w:r w:rsidR="007627C6">
              <w:rPr>
                <w:rStyle w:val="Bodytext2Bold"/>
                <w:rFonts w:ascii="Verdana" w:eastAsia="Calibri" w:hAnsi="Verdana"/>
                <w:b w:val="0"/>
                <w:bCs w:val="0"/>
                <w:color w:val="auto"/>
              </w:rPr>
              <w:t xml:space="preserve">covering the EU trade agri-food (intra-, extraEU; total, </w:t>
            </w:r>
            <w:r w:rsidR="00882861">
              <w:rPr>
                <w:rStyle w:val="Bodytext2Bold"/>
                <w:rFonts w:ascii="Verdana" w:eastAsia="Calibri" w:hAnsi="Verdana"/>
                <w:b w:val="0"/>
                <w:bCs w:val="0"/>
                <w:color w:val="auto"/>
              </w:rPr>
              <w:t xml:space="preserve">exports, </w:t>
            </w:r>
            <w:r w:rsidR="007627C6">
              <w:rPr>
                <w:rStyle w:val="Bodytext2Bold"/>
                <w:rFonts w:ascii="Verdana" w:eastAsia="Calibri" w:hAnsi="Verdana"/>
                <w:b w:val="0"/>
                <w:bCs w:val="0"/>
                <w:color w:val="auto"/>
              </w:rPr>
              <w:t>imports, and trade balance</w:t>
            </w:r>
            <w:r w:rsidR="00677D26">
              <w:rPr>
                <w:rStyle w:val="Bodytext2Bold"/>
                <w:rFonts w:ascii="Verdana" w:eastAsia="Calibri" w:hAnsi="Verdana"/>
                <w:b w:val="0"/>
                <w:bCs w:val="0"/>
                <w:color w:val="auto"/>
              </w:rPr>
              <w:t>)</w:t>
            </w:r>
            <w:r w:rsidR="007627C6">
              <w:rPr>
                <w:rStyle w:val="Bodytext2Bold"/>
                <w:rFonts w:ascii="Verdana" w:eastAsia="Calibri" w:hAnsi="Verdana"/>
                <w:b w:val="0"/>
                <w:bCs w:val="0"/>
                <w:color w:val="auto"/>
              </w:rPr>
              <w:t>; as well as</w:t>
            </w:r>
            <w:r w:rsidR="006E193D">
              <w:rPr>
                <w:rStyle w:val="Bodytext2Bold"/>
                <w:rFonts w:ascii="Verdana" w:eastAsia="Calibri" w:hAnsi="Verdana"/>
                <w:b w:val="0"/>
                <w:bCs w:val="0"/>
                <w:color w:val="auto"/>
              </w:rPr>
              <w:t xml:space="preserve"> 7 sub-indicators</w:t>
            </w:r>
            <w:r w:rsidR="00B523B7">
              <w:rPr>
                <w:rStyle w:val="Bodytext2Bold"/>
                <w:rFonts w:ascii="Verdana" w:eastAsia="Calibri" w:hAnsi="Verdana"/>
                <w:b w:val="0"/>
                <w:bCs w:val="0"/>
                <w:color w:val="auto"/>
              </w:rPr>
              <w:t xml:space="preserve"> </w:t>
            </w:r>
            <w:r w:rsidR="007627C6">
              <w:rPr>
                <w:rStyle w:val="Bodytext2Bold"/>
                <w:rFonts w:ascii="Verdana" w:eastAsia="Calibri" w:hAnsi="Verdana"/>
                <w:b w:val="0"/>
                <w:bCs w:val="0"/>
                <w:color w:val="auto"/>
              </w:rPr>
              <w:t>providing more in-depth information (</w:t>
            </w:r>
            <w:r w:rsidR="007627C6" w:rsidRPr="007627C6">
              <w:rPr>
                <w:rStyle w:val="Bodytext2Bold"/>
                <w:rFonts w:ascii="Verdana" w:eastAsia="Calibri" w:hAnsi="Verdana"/>
                <w:b w:val="0"/>
                <w:bCs w:val="0"/>
                <w:color w:val="auto"/>
              </w:rPr>
              <w:t xml:space="preserve">total and separate </w:t>
            </w:r>
            <w:r w:rsidR="007627C6">
              <w:rPr>
                <w:rStyle w:val="Bodytext2Bold"/>
                <w:rFonts w:ascii="Verdana" w:eastAsia="Calibri" w:hAnsi="Verdana"/>
                <w:b w:val="0"/>
                <w:bCs w:val="0"/>
                <w:color w:val="auto"/>
              </w:rPr>
              <w:t xml:space="preserve">values </w:t>
            </w:r>
            <w:r w:rsidR="007627C6" w:rsidRPr="007627C6">
              <w:rPr>
                <w:rStyle w:val="Bodytext2Bold"/>
                <w:rFonts w:ascii="Verdana" w:eastAsia="Calibri" w:hAnsi="Verdana"/>
                <w:b w:val="0"/>
                <w:bCs w:val="0"/>
                <w:color w:val="auto"/>
              </w:rPr>
              <w:t>for commodities, other primary products, processed, food preparations, beverages, non-edible products</w:t>
            </w:r>
            <w:r w:rsidR="007627C6">
              <w:rPr>
                <w:rStyle w:val="Bodytext2Bold"/>
                <w:rFonts w:ascii="Verdana" w:eastAsia="Calibri" w:hAnsi="Verdana"/>
                <w:b w:val="0"/>
                <w:bCs w:val="0"/>
                <w:color w:val="auto"/>
              </w:rPr>
              <w:t>)</w:t>
            </w:r>
            <w:r w:rsidR="00A251DD" w:rsidRPr="006E193D">
              <w:rPr>
                <w:rStyle w:val="Bodytext2Bold"/>
                <w:rFonts w:ascii="Verdana" w:eastAsia="Calibri" w:hAnsi="Verdana"/>
                <w:b w:val="0"/>
                <w:bCs w:val="0"/>
                <w:color w:val="auto"/>
              </w:rPr>
              <w:t>:</w:t>
            </w:r>
          </w:p>
          <w:p w14:paraId="3775708E" w14:textId="050E0833" w:rsidR="00A251DD" w:rsidRPr="006E193D" w:rsidRDefault="00DF348E" w:rsidP="00665997">
            <w:pPr>
              <w:pStyle w:val="ListParagraph"/>
              <w:widowControl w:val="0"/>
              <w:numPr>
                <w:ilvl w:val="0"/>
                <w:numId w:val="89"/>
              </w:numPr>
              <w:shd w:val="clear" w:color="auto" w:fill="00B0F0"/>
              <w:spacing w:after="60" w:line="240" w:lineRule="auto"/>
              <w:ind w:right="113"/>
              <w:jc w:val="both"/>
              <w:rPr>
                <w:rStyle w:val="Bodytext2Bold"/>
                <w:rFonts w:ascii="Verdana" w:eastAsia="Calibri" w:hAnsi="Verdana"/>
                <w:color w:val="auto"/>
              </w:rPr>
            </w:pPr>
            <w:r w:rsidRPr="006E193D">
              <w:rPr>
                <w:rFonts w:ascii="Verdana" w:hAnsi="Verdana"/>
                <w:b/>
                <w:bCs/>
                <w:sz w:val="18"/>
                <w:szCs w:val="18"/>
              </w:rPr>
              <w:t xml:space="preserve">Indicator I.7 </w:t>
            </w:r>
            <w:r w:rsidR="00677D26" w:rsidRPr="006E193D">
              <w:rPr>
                <w:rStyle w:val="Bodytext2Bold"/>
                <w:rFonts w:ascii="Verdana" w:eastAsia="Calibri" w:hAnsi="Verdana"/>
                <w:color w:val="auto"/>
              </w:rPr>
              <w:t xml:space="preserve">EU </w:t>
            </w:r>
            <w:r w:rsidR="00A251DD" w:rsidRPr="006E193D">
              <w:rPr>
                <w:rStyle w:val="Bodytext2Bold"/>
                <w:rFonts w:ascii="Verdana" w:eastAsia="Calibri" w:hAnsi="Verdana"/>
                <w:color w:val="auto"/>
              </w:rPr>
              <w:t xml:space="preserve">agri-food </w:t>
            </w:r>
            <w:r w:rsidR="003A4C4C" w:rsidRPr="006E193D">
              <w:rPr>
                <w:rStyle w:val="Bodytext2Bold"/>
                <w:rFonts w:ascii="Verdana" w:eastAsia="Calibri" w:hAnsi="Verdana"/>
                <w:color w:val="auto"/>
              </w:rPr>
              <w:t>(intra + extra)</w:t>
            </w:r>
            <w:r w:rsidR="00993042">
              <w:rPr>
                <w:rStyle w:val="Bodytext2Bold"/>
                <w:rFonts w:ascii="Verdana" w:eastAsia="Calibri" w:hAnsi="Verdana"/>
                <w:color w:val="auto"/>
              </w:rPr>
              <w:t xml:space="preserve"> </w:t>
            </w:r>
            <w:r w:rsidR="00A251DD" w:rsidRPr="006E193D">
              <w:rPr>
                <w:rStyle w:val="Bodytext2Bold"/>
                <w:rFonts w:ascii="Verdana" w:eastAsia="Calibri" w:hAnsi="Verdana"/>
                <w:color w:val="auto"/>
              </w:rPr>
              <w:t>trade value</w:t>
            </w:r>
            <w:r w:rsidR="00161B7C" w:rsidRPr="006E193D">
              <w:rPr>
                <w:rStyle w:val="Bodytext2Bold"/>
                <w:rFonts w:ascii="Verdana" w:eastAsia="Calibri" w:hAnsi="Verdana"/>
                <w:color w:val="auto"/>
              </w:rPr>
              <w:t xml:space="preserve"> </w:t>
            </w:r>
            <w:r w:rsidR="00161B7C" w:rsidRPr="006E193D">
              <w:rPr>
                <w:rStyle w:val="Bodytext2Bold"/>
                <w:rFonts w:ascii="Verdana" w:eastAsia="Calibri" w:hAnsi="Verdana"/>
                <w:b w:val="0"/>
                <w:bCs w:val="0"/>
                <w:color w:val="auto"/>
              </w:rPr>
              <w:t>(imports + exports</w:t>
            </w:r>
            <w:r w:rsidR="007241EA">
              <w:rPr>
                <w:rStyle w:val="Bodytext2Bold"/>
                <w:rFonts w:ascii="Verdana" w:eastAsia="Calibri" w:hAnsi="Verdana"/>
                <w:b w:val="0"/>
                <w:bCs w:val="0"/>
                <w:color w:val="auto"/>
              </w:rPr>
              <w:t>)</w:t>
            </w:r>
          </w:p>
          <w:p w14:paraId="089C3F16" w14:textId="587D8350" w:rsidR="00A43B6B" w:rsidRPr="00354699" w:rsidRDefault="007241EA" w:rsidP="00354699">
            <w:pPr>
              <w:pStyle w:val="ListParagraph"/>
              <w:widowControl w:val="0"/>
              <w:spacing w:after="60" w:line="240" w:lineRule="auto"/>
              <w:ind w:left="785" w:right="113"/>
              <w:jc w:val="both"/>
              <w:rPr>
                <w:rStyle w:val="Bodytext2Bold"/>
                <w:rFonts w:ascii="Verdana" w:eastAsia="Calibri" w:hAnsi="Verdana"/>
                <w:color w:val="auto"/>
              </w:rPr>
            </w:pPr>
            <w:r w:rsidRPr="00354699">
              <w:t>a.</w:t>
            </w:r>
            <w:r w:rsidRPr="790C88FB">
              <w:t xml:space="preserve"> </w:t>
            </w:r>
            <w:r w:rsidR="00A43B6B" w:rsidRPr="00354699">
              <w:rPr>
                <w:rStyle w:val="Bodytext2Bold"/>
                <w:rFonts w:ascii="Verdana" w:eastAsia="Calibri" w:hAnsi="Verdana"/>
                <w:color w:val="auto"/>
              </w:rPr>
              <w:t>Total agri-food intra</w:t>
            </w:r>
            <w:r w:rsidR="006F76AA" w:rsidRPr="00354699">
              <w:rPr>
                <w:rStyle w:val="Bodytext2Bold"/>
                <w:rFonts w:ascii="Verdana" w:eastAsia="Calibri" w:hAnsi="Verdana"/>
                <w:color w:val="auto"/>
              </w:rPr>
              <w:t>-</w:t>
            </w:r>
            <w:r w:rsidR="00A43B6B" w:rsidRPr="00354699">
              <w:rPr>
                <w:rStyle w:val="Bodytext2Bold"/>
                <w:rFonts w:ascii="Verdana" w:eastAsia="Calibri" w:hAnsi="Verdana"/>
                <w:color w:val="auto"/>
              </w:rPr>
              <w:t xml:space="preserve">EU trade value </w:t>
            </w:r>
            <w:r w:rsidR="00A43B6B" w:rsidRPr="00354699">
              <w:rPr>
                <w:rStyle w:val="Bodytext2Bold"/>
                <w:rFonts w:ascii="Verdana" w:eastAsia="Calibri" w:hAnsi="Verdana"/>
                <w:b w:val="0"/>
                <w:bCs w:val="0"/>
                <w:color w:val="auto"/>
              </w:rPr>
              <w:t>(imports + exports)</w:t>
            </w:r>
          </w:p>
          <w:p w14:paraId="773512F7" w14:textId="4759F8EB" w:rsidR="00A43B6B" w:rsidRPr="00354699" w:rsidRDefault="007241EA" w:rsidP="00354699">
            <w:pPr>
              <w:pStyle w:val="ListParagraph"/>
              <w:widowControl w:val="0"/>
              <w:spacing w:after="60" w:line="240" w:lineRule="auto"/>
              <w:ind w:left="785" w:right="113"/>
              <w:jc w:val="both"/>
              <w:rPr>
                <w:rStyle w:val="Bodytext2Bold"/>
                <w:rFonts w:ascii="Verdana" w:eastAsia="Calibri" w:hAnsi="Verdana"/>
                <w:color w:val="auto"/>
              </w:rPr>
            </w:pPr>
            <w:r w:rsidRPr="00354699">
              <w:t>b.</w:t>
            </w:r>
            <w:r w:rsidRPr="790C88FB">
              <w:t xml:space="preserve"> </w:t>
            </w:r>
            <w:r w:rsidR="00A43B6B" w:rsidRPr="00354699">
              <w:rPr>
                <w:rStyle w:val="Bodytext2Bold"/>
                <w:rFonts w:ascii="Verdana" w:eastAsia="Calibri" w:hAnsi="Verdana"/>
                <w:color w:val="auto"/>
              </w:rPr>
              <w:t>Total agri-food extra</w:t>
            </w:r>
            <w:r w:rsidR="006F76AA" w:rsidRPr="00354699">
              <w:rPr>
                <w:rStyle w:val="Bodytext2Bold"/>
                <w:rFonts w:ascii="Verdana" w:eastAsia="Calibri" w:hAnsi="Verdana"/>
                <w:color w:val="auto"/>
              </w:rPr>
              <w:t>-</w:t>
            </w:r>
            <w:r w:rsidR="00A43B6B" w:rsidRPr="00354699">
              <w:rPr>
                <w:rStyle w:val="Bodytext2Bold"/>
                <w:rFonts w:ascii="Verdana" w:eastAsia="Calibri" w:hAnsi="Verdana"/>
                <w:color w:val="auto"/>
              </w:rPr>
              <w:t xml:space="preserve">EU trade value </w:t>
            </w:r>
            <w:r w:rsidR="00A43B6B" w:rsidRPr="00354699">
              <w:rPr>
                <w:rStyle w:val="Bodytext2Bold"/>
                <w:rFonts w:ascii="Verdana" w:eastAsia="Calibri" w:hAnsi="Verdana"/>
                <w:b w:val="0"/>
                <w:bCs w:val="0"/>
                <w:color w:val="auto"/>
              </w:rPr>
              <w:t>(imports + exports)</w:t>
            </w:r>
            <w:r w:rsidRPr="00354699">
              <w:rPr>
                <w:rStyle w:val="Bodytext2Bold"/>
                <w:rFonts w:ascii="Verdana" w:eastAsia="Calibri" w:hAnsi="Verdana"/>
                <w:b w:val="0"/>
                <w:bCs w:val="0"/>
                <w:color w:val="auto"/>
              </w:rPr>
              <w:t xml:space="preserve"> </w:t>
            </w:r>
          </w:p>
          <w:p w14:paraId="3754890E" w14:textId="4243928E" w:rsidR="00A43B6B" w:rsidRPr="00354699" w:rsidRDefault="00A43B6B" w:rsidP="00354699">
            <w:pPr>
              <w:pStyle w:val="ListParagraph"/>
              <w:widowControl w:val="0"/>
              <w:spacing w:after="60" w:line="240" w:lineRule="auto"/>
              <w:ind w:left="785" w:right="113"/>
              <w:jc w:val="both"/>
              <w:rPr>
                <w:rStyle w:val="Bodytext2Bold"/>
                <w:rFonts w:ascii="Verdana" w:eastAsia="Calibri" w:hAnsi="Verdana"/>
                <w:color w:val="auto"/>
              </w:rPr>
            </w:pPr>
          </w:p>
          <w:p w14:paraId="2F6BCEF4" w14:textId="439B957B" w:rsidR="00A251DD" w:rsidRPr="00354699" w:rsidRDefault="00677D26" w:rsidP="00354699">
            <w:pPr>
              <w:pStyle w:val="ListParagraph"/>
              <w:widowControl w:val="0"/>
              <w:numPr>
                <w:ilvl w:val="0"/>
                <w:numId w:val="8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EU a</w:t>
            </w:r>
            <w:r w:rsidR="00161B7C" w:rsidRPr="00354699">
              <w:rPr>
                <w:rStyle w:val="Bodytext2Bold"/>
                <w:rFonts w:ascii="Verdana" w:eastAsia="Calibri" w:hAnsi="Verdana"/>
                <w:color w:val="auto"/>
              </w:rPr>
              <w:t xml:space="preserve">gri-food </w:t>
            </w:r>
            <w:r w:rsidR="00A251DD" w:rsidRPr="00354699">
              <w:rPr>
                <w:rStyle w:val="Bodytext2Bold"/>
                <w:rFonts w:ascii="Verdana" w:eastAsia="Calibri" w:hAnsi="Verdana"/>
                <w:color w:val="auto"/>
              </w:rPr>
              <w:t xml:space="preserve">trade balance </w:t>
            </w:r>
            <w:r w:rsidR="00A43B6B" w:rsidRPr="00354699">
              <w:rPr>
                <w:rStyle w:val="Bodytext2Bold"/>
                <w:rFonts w:ascii="Verdana" w:eastAsia="Calibri" w:hAnsi="Verdana"/>
                <w:color w:val="auto"/>
              </w:rPr>
              <w:t xml:space="preserve">(intra + extra) </w:t>
            </w:r>
            <w:r w:rsidR="00A251DD" w:rsidRPr="00354699">
              <w:rPr>
                <w:rStyle w:val="Bodytext2Bold"/>
                <w:rFonts w:ascii="Verdana" w:eastAsia="Calibri" w:hAnsi="Verdana"/>
                <w:b w:val="0"/>
                <w:bCs w:val="0"/>
                <w:color w:val="auto"/>
              </w:rPr>
              <w:t>)</w:t>
            </w:r>
          </w:p>
          <w:p w14:paraId="69A5E8C1" w14:textId="0AEA1350" w:rsidR="00A43B6B" w:rsidRPr="00354699" w:rsidRDefault="006E193D" w:rsidP="00730BAE">
            <w:pPr>
              <w:pStyle w:val="ListParagraph"/>
              <w:widowControl w:val="0"/>
              <w:numPr>
                <w:ilvl w:val="0"/>
                <w:numId w:val="108"/>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A</w:t>
            </w:r>
            <w:r w:rsidR="00A43B6B" w:rsidRPr="00354699">
              <w:rPr>
                <w:rStyle w:val="Bodytext2Bold"/>
                <w:rFonts w:ascii="Verdana" w:eastAsia="Calibri" w:hAnsi="Verdana"/>
                <w:color w:val="auto"/>
              </w:rPr>
              <w:t>gri-food trade balance</w:t>
            </w:r>
            <w:r w:rsidRPr="00354699">
              <w:rPr>
                <w:rStyle w:val="Bodytext2Bold"/>
                <w:rFonts w:ascii="Verdana" w:eastAsia="Calibri" w:hAnsi="Verdana"/>
                <w:color w:val="auto"/>
              </w:rPr>
              <w:t xml:space="preserve"> extraEU </w:t>
            </w:r>
          </w:p>
          <w:p w14:paraId="4041E71B" w14:textId="77777777" w:rsidR="00A43B6B" w:rsidRPr="00354699" w:rsidRDefault="00A43B6B" w:rsidP="00354699">
            <w:pPr>
              <w:pStyle w:val="ListParagraph"/>
              <w:widowControl w:val="0"/>
              <w:spacing w:after="60" w:line="240" w:lineRule="auto"/>
              <w:ind w:left="785" w:right="113"/>
              <w:jc w:val="both"/>
              <w:rPr>
                <w:rStyle w:val="Bodytext2Bold"/>
                <w:rFonts w:ascii="Verdana" w:eastAsia="Calibri" w:hAnsi="Verdana"/>
                <w:color w:val="auto"/>
              </w:rPr>
            </w:pPr>
          </w:p>
          <w:p w14:paraId="4B43F6D2" w14:textId="42C27523" w:rsidR="006E193D" w:rsidRPr="00354699" w:rsidRDefault="006E193D" w:rsidP="00354699">
            <w:pPr>
              <w:pStyle w:val="ListParagraph"/>
              <w:widowControl w:val="0"/>
              <w:numPr>
                <w:ilvl w:val="0"/>
                <w:numId w:val="8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 xml:space="preserve"> </w:t>
            </w:r>
            <w:r w:rsidR="00677D26" w:rsidRPr="00354699">
              <w:rPr>
                <w:rStyle w:val="Bodytext2Bold"/>
                <w:rFonts w:ascii="Verdana" w:eastAsia="Calibri" w:hAnsi="Verdana"/>
                <w:color w:val="auto"/>
              </w:rPr>
              <w:t>EU a</w:t>
            </w:r>
            <w:r w:rsidR="00A251DD" w:rsidRPr="00354699">
              <w:rPr>
                <w:rStyle w:val="Bodytext2Bold"/>
                <w:rFonts w:ascii="Verdana" w:eastAsia="Calibri" w:hAnsi="Verdana"/>
                <w:color w:val="auto"/>
              </w:rPr>
              <w:t xml:space="preserve">gri-food exports </w:t>
            </w:r>
            <w:r w:rsidRPr="00354699">
              <w:rPr>
                <w:rStyle w:val="Bodytext2Bold"/>
                <w:rFonts w:ascii="Verdana" w:eastAsia="Calibri" w:hAnsi="Verdana"/>
                <w:color w:val="auto"/>
              </w:rPr>
              <w:t xml:space="preserve">(intra + extra) </w:t>
            </w:r>
          </w:p>
          <w:p w14:paraId="4E9D054C" w14:textId="3914974F" w:rsidR="006E193D" w:rsidRPr="00354699" w:rsidRDefault="00677D26" w:rsidP="00730BAE">
            <w:pPr>
              <w:pStyle w:val="ListParagraph"/>
              <w:widowControl w:val="0"/>
              <w:numPr>
                <w:ilvl w:val="0"/>
                <w:numId w:val="110"/>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EU a</w:t>
            </w:r>
            <w:r w:rsidR="006E193D" w:rsidRPr="00354699">
              <w:rPr>
                <w:rStyle w:val="Bodytext2Bold"/>
                <w:rFonts w:ascii="Verdana" w:eastAsia="Calibri" w:hAnsi="Verdana"/>
                <w:color w:val="auto"/>
              </w:rPr>
              <w:t>gri-food exports intra</w:t>
            </w:r>
            <w:r w:rsidR="006E193D" w:rsidRPr="00354699">
              <w:rPr>
                <w:rStyle w:val="Bodytext2Bold"/>
                <w:rFonts w:ascii="Verdana" w:eastAsia="Calibri" w:hAnsi="Verdana"/>
                <w:b w:val="0"/>
                <w:bCs w:val="0"/>
                <w:color w:val="auto"/>
              </w:rPr>
              <w:t xml:space="preserve"> </w:t>
            </w:r>
          </w:p>
          <w:p w14:paraId="78E105D4" w14:textId="65FD7223" w:rsidR="006E193D" w:rsidRPr="00354699" w:rsidRDefault="00677D26" w:rsidP="00730BAE">
            <w:pPr>
              <w:pStyle w:val="ListParagraph"/>
              <w:widowControl w:val="0"/>
              <w:numPr>
                <w:ilvl w:val="0"/>
                <w:numId w:val="110"/>
              </w:numPr>
              <w:spacing w:after="60" w:line="240" w:lineRule="auto"/>
              <w:ind w:right="113"/>
              <w:jc w:val="both"/>
              <w:rPr>
                <w:rStyle w:val="Bodytext2Bold"/>
                <w:rFonts w:ascii="Verdana" w:eastAsia="Calibri" w:hAnsi="Verdana"/>
                <w:color w:val="auto"/>
              </w:rPr>
            </w:pPr>
            <w:r w:rsidRPr="00354699">
              <w:t xml:space="preserve">EU </w:t>
            </w:r>
            <w:r w:rsidRPr="00354699">
              <w:rPr>
                <w:rStyle w:val="Bodytext2Bold"/>
                <w:rFonts w:ascii="Verdana" w:eastAsia="Calibri" w:hAnsi="Verdana"/>
                <w:color w:val="auto"/>
              </w:rPr>
              <w:t>a</w:t>
            </w:r>
            <w:r w:rsidR="006E193D" w:rsidRPr="00354699">
              <w:rPr>
                <w:rStyle w:val="Bodytext2Bold"/>
                <w:rFonts w:ascii="Verdana" w:eastAsia="Calibri" w:hAnsi="Verdana"/>
                <w:color w:val="auto"/>
              </w:rPr>
              <w:t xml:space="preserve">gri-food exports extra </w:t>
            </w:r>
          </w:p>
          <w:p w14:paraId="20840B8D" w14:textId="77777777" w:rsidR="006E193D" w:rsidRPr="00354699" w:rsidRDefault="006E193D" w:rsidP="00354699">
            <w:pPr>
              <w:pStyle w:val="ListParagraph"/>
              <w:widowControl w:val="0"/>
              <w:spacing w:after="60" w:line="240" w:lineRule="auto"/>
              <w:ind w:left="785" w:right="113"/>
              <w:jc w:val="both"/>
              <w:rPr>
                <w:rStyle w:val="Bodytext2Bold"/>
                <w:rFonts w:ascii="Verdana" w:eastAsia="Calibri" w:hAnsi="Verdana"/>
                <w:color w:val="auto"/>
              </w:rPr>
            </w:pPr>
          </w:p>
          <w:p w14:paraId="04A02485" w14:textId="76266BAA" w:rsidR="006E193D" w:rsidRPr="00354699" w:rsidRDefault="00677D26" w:rsidP="00354699">
            <w:pPr>
              <w:pStyle w:val="ListParagraph"/>
              <w:widowControl w:val="0"/>
              <w:numPr>
                <w:ilvl w:val="0"/>
                <w:numId w:val="8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EU</w:t>
            </w:r>
            <w:r w:rsidR="006E193D" w:rsidRPr="00354699">
              <w:rPr>
                <w:rStyle w:val="Bodytext2Bold"/>
                <w:rFonts w:ascii="Verdana" w:eastAsia="Calibri" w:hAnsi="Verdana"/>
                <w:color w:val="auto"/>
              </w:rPr>
              <w:t xml:space="preserve"> Agri-food imports (intra + extra) </w:t>
            </w:r>
          </w:p>
          <w:p w14:paraId="0EA5C1B6" w14:textId="46C515AC" w:rsidR="006E193D" w:rsidRPr="00354699" w:rsidRDefault="006E193D" w:rsidP="00730BAE">
            <w:pPr>
              <w:pStyle w:val="ListParagraph"/>
              <w:widowControl w:val="0"/>
              <w:numPr>
                <w:ilvl w:val="0"/>
                <w:numId w:val="109"/>
              </w:numPr>
              <w:spacing w:after="60" w:line="240" w:lineRule="auto"/>
              <w:ind w:right="113"/>
              <w:jc w:val="both"/>
              <w:rPr>
                <w:rStyle w:val="Bodytext2Bold"/>
                <w:rFonts w:ascii="Verdana" w:eastAsia="Calibri" w:hAnsi="Verdana"/>
                <w:color w:val="auto"/>
              </w:rPr>
            </w:pPr>
            <w:r w:rsidRPr="00354699">
              <w:rPr>
                <w:rStyle w:val="Bodytext2Bold"/>
                <w:rFonts w:ascii="Verdana" w:eastAsia="Calibri" w:hAnsi="Verdana"/>
                <w:color w:val="auto"/>
              </w:rPr>
              <w:t>Agri-food imports intraEU</w:t>
            </w:r>
            <w:r w:rsidRPr="00354699">
              <w:rPr>
                <w:rStyle w:val="Bodytext2Bold"/>
                <w:rFonts w:ascii="Verdana" w:eastAsia="Calibri" w:hAnsi="Verdana"/>
                <w:b w:val="0"/>
                <w:bCs w:val="0"/>
                <w:color w:val="auto"/>
              </w:rPr>
              <w:t xml:space="preserve"> </w:t>
            </w:r>
          </w:p>
          <w:p w14:paraId="4AE6240A" w14:textId="081B2F61" w:rsidR="00A251DD" w:rsidRPr="0032562E" w:rsidRDefault="006E193D" w:rsidP="0032562E">
            <w:pPr>
              <w:pStyle w:val="ListParagraph"/>
              <w:widowControl w:val="0"/>
              <w:numPr>
                <w:ilvl w:val="0"/>
                <w:numId w:val="109"/>
              </w:numPr>
              <w:spacing w:after="60" w:line="240" w:lineRule="auto"/>
              <w:ind w:right="113"/>
              <w:jc w:val="both"/>
              <w:rPr>
                <w:rStyle w:val="Bodytext21"/>
                <w:rFonts w:ascii="Verdana" w:eastAsia="Calibri" w:hAnsi="Verdana"/>
                <w:b/>
                <w:bCs/>
                <w:color w:val="auto"/>
              </w:rPr>
            </w:pPr>
            <w:r w:rsidRPr="00354699">
              <w:rPr>
                <w:rStyle w:val="Bodytext2Bold"/>
                <w:rFonts w:ascii="Verdana" w:eastAsia="Calibri" w:hAnsi="Verdana"/>
                <w:color w:val="auto"/>
              </w:rPr>
              <w:t xml:space="preserve">Agri-food imports extraEU </w:t>
            </w:r>
          </w:p>
          <w:p w14:paraId="7A016082" w14:textId="77777777" w:rsidR="0007671D" w:rsidRPr="006E193D" w:rsidRDefault="00A251DD" w:rsidP="00D320C1">
            <w:pPr>
              <w:spacing w:after="60" w:line="240" w:lineRule="auto"/>
              <w:ind w:left="113" w:right="113"/>
              <w:jc w:val="both"/>
              <w:rPr>
                <w:rFonts w:ascii="Verdana" w:hAnsi="Verdana"/>
                <w:sz w:val="18"/>
                <w:szCs w:val="18"/>
              </w:rPr>
            </w:pPr>
            <w:r w:rsidRPr="006E193D">
              <w:rPr>
                <w:rStyle w:val="Bodytext21"/>
                <w:rFonts w:ascii="Verdana" w:hAnsi="Verdana"/>
                <w:color w:val="auto"/>
              </w:rPr>
              <w:t xml:space="preserve">The indicator is calculated by Directorate-General for Agriculture and Rural Development (DG </w:t>
            </w:r>
            <w:r w:rsidRPr="006E193D">
              <w:rPr>
                <w:rStyle w:val="Bodytext21"/>
                <w:rFonts w:ascii="Verdana" w:hAnsi="Verdana"/>
                <w:color w:val="auto"/>
                <w:lang w:eastAsia="it-IT" w:bidi="it-IT"/>
              </w:rPr>
              <w:t xml:space="preserve">AGRI) </w:t>
            </w:r>
            <w:r w:rsidRPr="006E193D">
              <w:rPr>
                <w:rStyle w:val="Bodytext21"/>
                <w:rFonts w:ascii="Verdana" w:hAnsi="Verdana"/>
                <w:color w:val="auto"/>
              </w:rPr>
              <w:t xml:space="preserve">yearly on the basis of EUROSTAT Comext data, using the definition of agricultural products developed internally by DG AGRI unit A.1 and used in DG AGRI publications on agri-food trade (cf. </w:t>
            </w:r>
            <w:hyperlink r:id="rId149" w:history="1">
              <w:r w:rsidRPr="006E193D">
                <w:rPr>
                  <w:rStyle w:val="Hyperlink"/>
                  <w:rFonts w:ascii="Verdana" w:hAnsi="Verdana"/>
                  <w:sz w:val="18"/>
                  <w:szCs w:val="18"/>
                </w:rPr>
                <w:t>https://ec.europa.eu/agriculture/trade-analysis/statistics_en</w:t>
              </w:r>
            </w:hyperlink>
            <w:r w:rsidRPr="006E193D">
              <w:rPr>
                <w:rStyle w:val="Bodytext21"/>
                <w:rFonts w:ascii="Verdana" w:hAnsi="Verdana"/>
                <w:color w:val="auto"/>
              </w:rPr>
              <w:t>).</w:t>
            </w:r>
          </w:p>
        </w:tc>
      </w:tr>
      <w:tr w:rsidR="0007671D" w:rsidRPr="00C34DE9" w14:paraId="05BF3C8B" w14:textId="77777777" w:rsidTr="240ABBB4">
        <w:trPr>
          <w:trHeight w:hRule="exact" w:val="573"/>
        </w:trPr>
        <w:tc>
          <w:tcPr>
            <w:tcW w:w="2845" w:type="dxa"/>
            <w:tcBorders>
              <w:top w:val="single" w:sz="4" w:space="0" w:color="auto"/>
              <w:left w:val="single" w:sz="4" w:space="0" w:color="auto"/>
            </w:tcBorders>
            <w:shd w:val="clear" w:color="auto" w:fill="FFFFFF" w:themeFill="background1"/>
            <w:vAlign w:val="center"/>
          </w:tcPr>
          <w:p w14:paraId="337746DE"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Unit of measurement</w:t>
            </w:r>
          </w:p>
        </w:tc>
        <w:tc>
          <w:tcPr>
            <w:tcW w:w="7088" w:type="dxa"/>
            <w:tcBorders>
              <w:top w:val="single" w:sz="4" w:space="0" w:color="auto"/>
              <w:left w:val="single" w:sz="4" w:space="0" w:color="auto"/>
              <w:right w:val="single" w:sz="4" w:space="0" w:color="auto"/>
            </w:tcBorders>
            <w:shd w:val="clear" w:color="auto" w:fill="FFFFFF" w:themeFill="background1"/>
            <w:vAlign w:val="center"/>
          </w:tcPr>
          <w:p w14:paraId="01E693C2" w14:textId="70F00647" w:rsidR="0007671D" w:rsidRPr="00C34DE9" w:rsidRDefault="00CE6863" w:rsidP="790C88FB">
            <w:pPr>
              <w:spacing w:line="200" w:lineRule="exact"/>
              <w:ind w:left="113" w:right="113"/>
              <w:rPr>
                <w:rFonts w:ascii="Verdana" w:hAnsi="Verdana"/>
                <w:i/>
                <w:iCs/>
                <w:sz w:val="18"/>
                <w:szCs w:val="18"/>
              </w:rPr>
            </w:pPr>
            <w:r w:rsidRPr="790C88FB">
              <w:rPr>
                <w:rStyle w:val="Bodytext2Italic"/>
                <w:rFonts w:ascii="Verdana" w:eastAsia="Calibri" w:hAnsi="Verdana"/>
                <w:i w:val="0"/>
                <w:iCs w:val="0"/>
              </w:rPr>
              <w:t xml:space="preserve">1 – 4: </w:t>
            </w:r>
            <w:r w:rsidR="00A251DD" w:rsidRPr="790C88FB">
              <w:rPr>
                <w:rStyle w:val="Bodytext2Italic"/>
                <w:rFonts w:ascii="Verdana" w:eastAsia="Calibri" w:hAnsi="Verdana"/>
                <w:i w:val="0"/>
                <w:iCs w:val="0"/>
              </w:rPr>
              <w:t>EUR</w:t>
            </w:r>
            <w:r w:rsidRPr="790C88FB">
              <w:rPr>
                <w:rStyle w:val="Bodytext2Italic"/>
                <w:rFonts w:ascii="Verdana" w:eastAsia="Calibri" w:hAnsi="Verdana"/>
                <w:i w:val="0"/>
                <w:iCs w:val="0"/>
              </w:rPr>
              <w:t xml:space="preserve"> billion</w:t>
            </w:r>
          </w:p>
        </w:tc>
      </w:tr>
      <w:tr w:rsidR="0007671D" w:rsidRPr="00C34DE9" w14:paraId="4855B5CC" w14:textId="77777777" w:rsidTr="240ABBB4">
        <w:trPr>
          <w:trHeight w:hRule="exact" w:val="1056"/>
        </w:trPr>
        <w:tc>
          <w:tcPr>
            <w:tcW w:w="2845" w:type="dxa"/>
            <w:tcBorders>
              <w:top w:val="single" w:sz="4" w:space="0" w:color="auto"/>
              <w:left w:val="single" w:sz="4" w:space="0" w:color="auto"/>
            </w:tcBorders>
            <w:shd w:val="clear" w:color="auto" w:fill="FFFFFF" w:themeFill="background1"/>
            <w:vAlign w:val="center"/>
          </w:tcPr>
          <w:p w14:paraId="1482436B"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Data source</w:t>
            </w:r>
          </w:p>
        </w:tc>
        <w:tc>
          <w:tcPr>
            <w:tcW w:w="7088" w:type="dxa"/>
            <w:tcBorders>
              <w:top w:val="single" w:sz="4" w:space="0" w:color="auto"/>
              <w:left w:val="single" w:sz="4" w:space="0" w:color="auto"/>
              <w:right w:val="single" w:sz="4" w:space="0" w:color="auto"/>
            </w:tcBorders>
            <w:shd w:val="clear" w:color="auto" w:fill="FFFFFF" w:themeFill="background1"/>
          </w:tcPr>
          <w:p w14:paraId="64611CB4" w14:textId="77777777" w:rsidR="00A251DD" w:rsidRPr="00C34DE9" w:rsidRDefault="00A251DD" w:rsidP="00D320C1">
            <w:pPr>
              <w:spacing w:line="200" w:lineRule="exact"/>
              <w:ind w:left="113" w:right="113"/>
              <w:rPr>
                <w:rFonts w:ascii="Verdana" w:hAnsi="Verdana" w:cs="Arial"/>
                <w:sz w:val="18"/>
                <w:szCs w:val="18"/>
              </w:rPr>
            </w:pPr>
            <w:r w:rsidRPr="00C34DE9">
              <w:rPr>
                <w:rStyle w:val="Bodytext21"/>
                <w:rFonts w:ascii="Verdana" w:eastAsia="Calibri" w:hAnsi="Verdana"/>
              </w:rPr>
              <w:t>Data: EUROSTAT COMEXT database</w:t>
            </w:r>
          </w:p>
          <w:p w14:paraId="7C9702DC" w14:textId="77777777" w:rsidR="0007671D" w:rsidRPr="00C34DE9" w:rsidRDefault="00A251DD" w:rsidP="00D320C1">
            <w:pPr>
              <w:spacing w:before="160" w:line="200" w:lineRule="exact"/>
              <w:ind w:left="113" w:right="113"/>
              <w:rPr>
                <w:rFonts w:ascii="Verdana" w:hAnsi="Verdana"/>
                <w:sz w:val="18"/>
                <w:szCs w:val="18"/>
              </w:rPr>
            </w:pPr>
            <w:r w:rsidRPr="00C34DE9">
              <w:rPr>
                <w:rStyle w:val="Bodytext21"/>
                <w:rFonts w:ascii="Verdana" w:eastAsia="Calibri" w:hAnsi="Verdana"/>
              </w:rPr>
              <w:t xml:space="preserve">Information on product coverage/categories: </w:t>
            </w:r>
            <w:hyperlink r:id="rId150" w:history="1">
              <w:r w:rsidRPr="00C34DE9">
                <w:rPr>
                  <w:rStyle w:val="Hyperlink"/>
                  <w:rFonts w:ascii="Verdana" w:hAnsi="Verdana" w:cs="Arial"/>
                  <w:sz w:val="18"/>
                  <w:szCs w:val="18"/>
                </w:rPr>
                <w:t>https://ec.europa.eu/agriculture/trade-analysis/statistics_en</w:t>
              </w:r>
            </w:hyperlink>
          </w:p>
        </w:tc>
      </w:tr>
      <w:tr w:rsidR="0007671D" w:rsidRPr="00C34DE9" w14:paraId="41BED3E7" w14:textId="77777777" w:rsidTr="240ABBB4">
        <w:trPr>
          <w:trHeight w:hRule="exact" w:val="938"/>
        </w:trPr>
        <w:tc>
          <w:tcPr>
            <w:tcW w:w="2845" w:type="dxa"/>
            <w:tcBorders>
              <w:top w:val="single" w:sz="4" w:space="0" w:color="auto"/>
              <w:left w:val="single" w:sz="4" w:space="0" w:color="auto"/>
            </w:tcBorders>
            <w:shd w:val="clear" w:color="auto" w:fill="FFFFFF" w:themeFill="background1"/>
            <w:vAlign w:val="center"/>
          </w:tcPr>
          <w:p w14:paraId="1B2C20F6" w14:textId="77777777" w:rsidR="0007671D" w:rsidRPr="00C34DE9" w:rsidRDefault="0007671D" w:rsidP="00D320C1">
            <w:pPr>
              <w:spacing w:after="100" w:line="200" w:lineRule="exact"/>
              <w:ind w:left="113"/>
              <w:rPr>
                <w:rFonts w:ascii="Verdana" w:hAnsi="Verdana"/>
                <w:sz w:val="18"/>
                <w:szCs w:val="18"/>
              </w:rPr>
            </w:pPr>
            <w:r w:rsidRPr="00C34DE9">
              <w:rPr>
                <w:rStyle w:val="Bodytext2Bold"/>
                <w:rFonts w:ascii="Verdana" w:hAnsi="Verdana"/>
                <w:color w:val="auto"/>
              </w:rPr>
              <w:t>References</w:t>
            </w:r>
            <w:r w:rsidR="00CE27E0">
              <w:rPr>
                <w:rStyle w:val="Bodytext2Bold"/>
                <w:rFonts w:ascii="Verdana" w:hAnsi="Verdana"/>
                <w:color w:val="auto"/>
              </w:rPr>
              <w:t xml:space="preserve"> </w:t>
            </w:r>
            <w:r w:rsidRPr="00C34DE9">
              <w:rPr>
                <w:rStyle w:val="Bodytext2Bold"/>
                <w:rFonts w:ascii="Verdana" w:hAnsi="Verdana"/>
                <w:color w:val="auto"/>
              </w:rPr>
              <w:t>/</w:t>
            </w:r>
            <w:r w:rsidR="00CE27E0">
              <w:rPr>
                <w:rStyle w:val="Bodytext2Bold"/>
                <w:rFonts w:ascii="Verdana" w:hAnsi="Verdana"/>
                <w:color w:val="auto"/>
              </w:rPr>
              <w:t xml:space="preserve"> </w:t>
            </w:r>
            <w:r w:rsidRPr="00C34DE9">
              <w:rPr>
                <w:rStyle w:val="Bodytext2Bold"/>
                <w:rFonts w:ascii="Verdana" w:hAnsi="Verdana"/>
                <w:color w:val="auto"/>
              </w:rPr>
              <w:t>location of</w:t>
            </w:r>
          </w:p>
          <w:p w14:paraId="06F94CA5" w14:textId="77777777" w:rsidR="0007671D" w:rsidRPr="00C34DE9" w:rsidRDefault="0007671D" w:rsidP="00D320C1">
            <w:pPr>
              <w:spacing w:before="100" w:line="200" w:lineRule="exact"/>
              <w:ind w:left="113"/>
              <w:rPr>
                <w:rFonts w:ascii="Verdana" w:hAnsi="Verdana"/>
                <w:sz w:val="18"/>
                <w:szCs w:val="18"/>
              </w:rPr>
            </w:pPr>
            <w:r w:rsidRPr="00C34DE9">
              <w:rPr>
                <w:rStyle w:val="Bodytext2Bold"/>
                <w:rFonts w:ascii="Verdana" w:hAnsi="Verdana"/>
                <w:color w:val="auto"/>
              </w:rPr>
              <w:t>the data</w:t>
            </w:r>
          </w:p>
        </w:tc>
        <w:tc>
          <w:tcPr>
            <w:tcW w:w="7088" w:type="dxa"/>
            <w:tcBorders>
              <w:top w:val="single" w:sz="4" w:space="0" w:color="auto"/>
              <w:left w:val="single" w:sz="4" w:space="0" w:color="auto"/>
              <w:right w:val="single" w:sz="4" w:space="0" w:color="auto"/>
            </w:tcBorders>
            <w:shd w:val="clear" w:color="auto" w:fill="FFFFFF" w:themeFill="background1"/>
          </w:tcPr>
          <w:p w14:paraId="24FE102A" w14:textId="7D1CF47C" w:rsidR="0007671D" w:rsidRPr="00C34DE9" w:rsidRDefault="00A251DD" w:rsidP="00D320C1">
            <w:pPr>
              <w:spacing w:line="307" w:lineRule="exact"/>
              <w:ind w:left="113" w:right="113"/>
              <w:rPr>
                <w:rFonts w:ascii="Verdana" w:hAnsi="Verdana"/>
                <w:sz w:val="18"/>
                <w:szCs w:val="18"/>
              </w:rPr>
            </w:pPr>
            <w:r w:rsidRPr="00C34DE9">
              <w:rPr>
                <w:rStyle w:val="Bodytext21"/>
                <w:rFonts w:ascii="Verdana" w:eastAsia="Calibri" w:hAnsi="Verdana"/>
              </w:rPr>
              <w:t xml:space="preserve">COMEXT database – declarant: EU, partner: </w:t>
            </w:r>
            <w:r w:rsidR="00C872AA">
              <w:rPr>
                <w:rStyle w:val="Bodytext21"/>
                <w:rFonts w:ascii="Verdana" w:eastAsia="Calibri" w:hAnsi="Verdana"/>
              </w:rPr>
              <w:t>intra-,</w:t>
            </w:r>
            <w:r w:rsidRPr="00C34DE9">
              <w:rPr>
                <w:rStyle w:val="Bodytext21"/>
                <w:rFonts w:ascii="Verdana" w:eastAsia="Calibri" w:hAnsi="Verdana"/>
              </w:rPr>
              <w:t xml:space="preserve">extra-EU, trade flow: export and import; Combined Nomenclature codes as defined in </w:t>
            </w:r>
            <w:r w:rsidRPr="00C34DE9">
              <w:rPr>
                <w:rStyle w:val="Bodytext21"/>
                <w:rFonts w:ascii="Verdana" w:eastAsia="Calibri" w:hAnsi="Verdana"/>
                <w:lang w:eastAsia="it-IT" w:bidi="it-IT"/>
              </w:rPr>
              <w:t>DG AGRI a</w:t>
            </w:r>
            <w:r w:rsidRPr="00C34DE9">
              <w:rPr>
                <w:rStyle w:val="Bodytext21"/>
                <w:rFonts w:ascii="Verdana" w:eastAsia="Calibri" w:hAnsi="Verdana"/>
              </w:rPr>
              <w:t>gricultural trade statistics publications; trade regime: 4</w:t>
            </w:r>
          </w:p>
        </w:tc>
      </w:tr>
      <w:tr w:rsidR="0007671D" w:rsidRPr="00C34DE9" w14:paraId="3122C6B8" w14:textId="77777777" w:rsidTr="0032562E">
        <w:trPr>
          <w:trHeight w:hRule="exact" w:val="556"/>
        </w:trPr>
        <w:tc>
          <w:tcPr>
            <w:tcW w:w="2845" w:type="dxa"/>
            <w:tcBorders>
              <w:top w:val="single" w:sz="4" w:space="0" w:color="auto"/>
              <w:left w:val="single" w:sz="4" w:space="0" w:color="auto"/>
            </w:tcBorders>
            <w:shd w:val="clear" w:color="auto" w:fill="FFFFFF" w:themeFill="background1"/>
            <w:vAlign w:val="center"/>
          </w:tcPr>
          <w:p w14:paraId="50D42B0B" w14:textId="77777777" w:rsidR="0007671D" w:rsidRPr="00C34DE9" w:rsidRDefault="0087328F" w:rsidP="00D320C1">
            <w:pPr>
              <w:spacing w:line="200" w:lineRule="exact"/>
              <w:ind w:left="113"/>
              <w:rPr>
                <w:rFonts w:ascii="Verdana" w:hAnsi="Verdana"/>
                <w:sz w:val="18"/>
                <w:szCs w:val="18"/>
              </w:rPr>
            </w:pPr>
            <w:r w:rsidRPr="00C34DE9">
              <w:rPr>
                <w:rStyle w:val="Bodytext2Bold"/>
                <w:rFonts w:ascii="Verdana" w:hAnsi="Verdana"/>
                <w:color w:val="auto"/>
              </w:rPr>
              <w:t>Data collection / dissemination level</w:t>
            </w:r>
          </w:p>
        </w:tc>
        <w:tc>
          <w:tcPr>
            <w:tcW w:w="7088" w:type="dxa"/>
            <w:tcBorders>
              <w:top w:val="single" w:sz="4" w:space="0" w:color="auto"/>
              <w:left w:val="single" w:sz="4" w:space="0" w:color="auto"/>
              <w:right w:val="single" w:sz="4" w:space="0" w:color="auto"/>
            </w:tcBorders>
            <w:shd w:val="clear" w:color="auto" w:fill="FFFFFF" w:themeFill="background1"/>
          </w:tcPr>
          <w:p w14:paraId="48EFC343" w14:textId="063E94CA" w:rsidR="0007671D" w:rsidRPr="00C34DE9" w:rsidRDefault="00CE6863" w:rsidP="00D320C1">
            <w:pPr>
              <w:spacing w:before="160" w:line="200" w:lineRule="exact"/>
              <w:ind w:left="113" w:right="113"/>
              <w:rPr>
                <w:rFonts w:ascii="Verdana" w:hAnsi="Verdana"/>
                <w:sz w:val="18"/>
                <w:szCs w:val="18"/>
              </w:rPr>
            </w:pPr>
            <w:r>
              <w:rPr>
                <w:rStyle w:val="Bodytext21"/>
                <w:rFonts w:ascii="Verdana" w:hAnsi="Verdana"/>
                <w:color w:val="auto"/>
              </w:rPr>
              <w:t>EU, National (NUTS 0)</w:t>
            </w:r>
          </w:p>
        </w:tc>
      </w:tr>
      <w:tr w:rsidR="0007671D" w:rsidRPr="00C34DE9" w14:paraId="0080303B" w14:textId="77777777" w:rsidTr="240ABBB4">
        <w:trPr>
          <w:trHeight w:hRule="exact" w:val="744"/>
        </w:trPr>
        <w:tc>
          <w:tcPr>
            <w:tcW w:w="2845" w:type="dxa"/>
            <w:tcBorders>
              <w:top w:val="single" w:sz="4" w:space="0" w:color="auto"/>
              <w:left w:val="single" w:sz="4" w:space="0" w:color="auto"/>
            </w:tcBorders>
            <w:shd w:val="clear" w:color="auto" w:fill="FFFFFF" w:themeFill="background1"/>
            <w:vAlign w:val="center"/>
          </w:tcPr>
          <w:p w14:paraId="1E2E5178"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Frequency</w:t>
            </w:r>
          </w:p>
        </w:tc>
        <w:tc>
          <w:tcPr>
            <w:tcW w:w="7088" w:type="dxa"/>
            <w:tcBorders>
              <w:top w:val="single" w:sz="4" w:space="0" w:color="auto"/>
              <w:left w:val="single" w:sz="4" w:space="0" w:color="auto"/>
              <w:right w:val="single" w:sz="4" w:space="0" w:color="auto"/>
            </w:tcBorders>
            <w:shd w:val="clear" w:color="auto" w:fill="FFFFFF" w:themeFill="background1"/>
          </w:tcPr>
          <w:p w14:paraId="71F82D27" w14:textId="77777777" w:rsidR="00A251DD" w:rsidRPr="00C34DE9" w:rsidRDefault="00A251DD" w:rsidP="00D320C1">
            <w:pPr>
              <w:spacing w:line="200" w:lineRule="exact"/>
              <w:ind w:left="113" w:right="113"/>
              <w:rPr>
                <w:rFonts w:ascii="Verdana" w:hAnsi="Verdana" w:cs="Arial"/>
                <w:sz w:val="18"/>
                <w:szCs w:val="18"/>
              </w:rPr>
            </w:pPr>
            <w:r w:rsidRPr="00C34DE9">
              <w:rPr>
                <w:rStyle w:val="Bodytext21"/>
                <w:rFonts w:ascii="Verdana" w:eastAsia="Calibri" w:hAnsi="Verdana"/>
              </w:rPr>
              <w:t>Data availability: monthly</w:t>
            </w:r>
          </w:p>
          <w:p w14:paraId="58E912B9" w14:textId="77777777" w:rsidR="0007671D" w:rsidRPr="00C34DE9" w:rsidRDefault="00A251DD" w:rsidP="00D320C1">
            <w:pPr>
              <w:spacing w:before="160" w:line="200" w:lineRule="exact"/>
              <w:ind w:left="113" w:right="113"/>
              <w:rPr>
                <w:rFonts w:ascii="Verdana" w:hAnsi="Verdana"/>
                <w:sz w:val="18"/>
                <w:szCs w:val="18"/>
              </w:rPr>
            </w:pPr>
            <w:r w:rsidRPr="00C34DE9">
              <w:rPr>
                <w:rStyle w:val="Bodytext21"/>
                <w:rFonts w:ascii="Verdana" w:eastAsia="Calibri" w:hAnsi="Verdana"/>
              </w:rPr>
              <w:t>Indicator calculation: yearly</w:t>
            </w:r>
          </w:p>
        </w:tc>
      </w:tr>
      <w:tr w:rsidR="0007671D" w:rsidRPr="00C34DE9" w14:paraId="3C936C35" w14:textId="77777777" w:rsidTr="0032562E">
        <w:trPr>
          <w:trHeight w:hRule="exact" w:val="335"/>
        </w:trPr>
        <w:tc>
          <w:tcPr>
            <w:tcW w:w="2845" w:type="dxa"/>
            <w:tcBorders>
              <w:top w:val="single" w:sz="4" w:space="0" w:color="auto"/>
              <w:left w:val="single" w:sz="4" w:space="0" w:color="auto"/>
            </w:tcBorders>
            <w:shd w:val="clear" w:color="auto" w:fill="FFFFFF" w:themeFill="background1"/>
            <w:vAlign w:val="center"/>
          </w:tcPr>
          <w:p w14:paraId="50C705EC" w14:textId="77777777" w:rsidR="0007671D" w:rsidRPr="00C34DE9" w:rsidRDefault="0087328F" w:rsidP="00D320C1">
            <w:pPr>
              <w:spacing w:line="200" w:lineRule="exact"/>
              <w:ind w:left="113"/>
              <w:rPr>
                <w:rFonts w:ascii="Verdana" w:hAnsi="Verdana"/>
                <w:sz w:val="18"/>
                <w:szCs w:val="18"/>
              </w:rPr>
            </w:pPr>
            <w:r w:rsidRPr="00C34DE9">
              <w:rPr>
                <w:rStyle w:val="Bodytext2Bold"/>
                <w:rFonts w:ascii="Verdana" w:hAnsi="Verdana"/>
                <w:color w:val="auto"/>
              </w:rPr>
              <w:t>Timeliness</w:t>
            </w:r>
          </w:p>
        </w:tc>
        <w:tc>
          <w:tcPr>
            <w:tcW w:w="7088" w:type="dxa"/>
            <w:tcBorders>
              <w:top w:val="single" w:sz="4" w:space="0" w:color="auto"/>
              <w:left w:val="single" w:sz="4" w:space="0" w:color="auto"/>
              <w:right w:val="single" w:sz="4" w:space="0" w:color="auto"/>
            </w:tcBorders>
            <w:shd w:val="clear" w:color="auto" w:fill="FFFFFF" w:themeFill="background1"/>
          </w:tcPr>
          <w:p w14:paraId="7E3B1B4E" w14:textId="77777777" w:rsidR="0007671D" w:rsidRPr="00C34DE9" w:rsidRDefault="0007671D" w:rsidP="00D320C1">
            <w:pPr>
              <w:spacing w:line="200" w:lineRule="exact"/>
              <w:ind w:left="113" w:right="113"/>
              <w:rPr>
                <w:rFonts w:ascii="Verdana" w:hAnsi="Verdana"/>
                <w:sz w:val="18"/>
                <w:szCs w:val="18"/>
              </w:rPr>
            </w:pPr>
            <w:r w:rsidRPr="00C34DE9">
              <w:rPr>
                <w:rStyle w:val="Bodytext21"/>
                <w:rFonts w:ascii="Verdana" w:hAnsi="Verdana"/>
                <w:color w:val="auto"/>
              </w:rPr>
              <w:t xml:space="preserve">Year </w:t>
            </w:r>
            <w:r w:rsidR="00B413B8">
              <w:rPr>
                <w:rStyle w:val="Bodytext21"/>
                <w:rFonts w:ascii="Verdana" w:hAnsi="Verdana"/>
                <w:color w:val="auto"/>
                <w:lang w:eastAsia="fr-FR" w:bidi="fr-FR"/>
              </w:rPr>
              <w:t>N</w:t>
            </w:r>
            <w:r w:rsidRPr="00C34DE9">
              <w:rPr>
                <w:rStyle w:val="Bodytext21"/>
                <w:rFonts w:ascii="Verdana" w:hAnsi="Verdana"/>
                <w:color w:val="auto"/>
                <w:lang w:eastAsia="fr-FR" w:bidi="fr-FR"/>
              </w:rPr>
              <w:t xml:space="preserve"> </w:t>
            </w:r>
            <w:r w:rsidRPr="00C34DE9">
              <w:rPr>
                <w:rStyle w:val="Bodytext21"/>
                <w:rFonts w:ascii="Verdana" w:hAnsi="Verdana"/>
                <w:color w:val="auto"/>
              </w:rPr>
              <w:t>is available</w:t>
            </w:r>
            <w:r w:rsidR="00B413B8">
              <w:rPr>
                <w:rStyle w:val="Bodytext21"/>
                <w:rFonts w:ascii="Verdana" w:hAnsi="Verdana"/>
                <w:color w:val="auto"/>
              </w:rPr>
              <w:t xml:space="preserve"> in</w:t>
            </w:r>
            <w:r w:rsidRPr="00C34DE9">
              <w:rPr>
                <w:rStyle w:val="Bodytext21"/>
                <w:rFonts w:ascii="Verdana" w:hAnsi="Verdana"/>
                <w:color w:val="auto"/>
              </w:rPr>
              <w:t xml:space="preserve"> </w:t>
            </w:r>
            <w:r w:rsidR="00B413B8">
              <w:rPr>
                <w:rStyle w:val="Bodytext21"/>
                <w:rFonts w:ascii="Verdana" w:hAnsi="Verdana"/>
                <w:color w:val="auto"/>
              </w:rPr>
              <w:t>March N</w:t>
            </w:r>
            <w:r w:rsidRPr="00C34DE9">
              <w:rPr>
                <w:rStyle w:val="Bodytext21"/>
                <w:rFonts w:ascii="Verdana" w:hAnsi="Verdana"/>
                <w:color w:val="auto"/>
              </w:rPr>
              <w:t>+1</w:t>
            </w:r>
          </w:p>
        </w:tc>
      </w:tr>
      <w:tr w:rsidR="0007671D" w:rsidRPr="00C34DE9" w14:paraId="72CE1EDF" w14:textId="77777777" w:rsidTr="0032562E">
        <w:trPr>
          <w:trHeight w:hRule="exact" w:val="284"/>
        </w:trPr>
        <w:tc>
          <w:tcPr>
            <w:tcW w:w="2845" w:type="dxa"/>
            <w:tcBorders>
              <w:top w:val="single" w:sz="4" w:space="0" w:color="auto"/>
              <w:left w:val="single" w:sz="4" w:space="0" w:color="auto"/>
              <w:bottom w:val="single" w:sz="4" w:space="0" w:color="auto"/>
            </w:tcBorders>
            <w:shd w:val="clear" w:color="auto" w:fill="FFFFFF" w:themeFill="background1"/>
          </w:tcPr>
          <w:p w14:paraId="7EAB043E" w14:textId="77777777" w:rsidR="0007671D" w:rsidRPr="00C34DE9" w:rsidRDefault="0007671D" w:rsidP="00D320C1">
            <w:pPr>
              <w:spacing w:line="200" w:lineRule="exact"/>
              <w:ind w:left="113"/>
              <w:rPr>
                <w:rFonts w:ascii="Verdana" w:hAnsi="Verdana"/>
                <w:sz w:val="18"/>
                <w:szCs w:val="18"/>
              </w:rPr>
            </w:pPr>
            <w:r w:rsidRPr="00C34DE9">
              <w:rPr>
                <w:rStyle w:val="Bodytext2Bold"/>
                <w:rFonts w:ascii="Verdana" w:hAnsi="Verdana"/>
                <w:color w:val="auto"/>
              </w:rPr>
              <w:t>Comments/caveats</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CEBA4F" w14:textId="77777777" w:rsidR="0007671D" w:rsidRPr="00C34DE9" w:rsidRDefault="0007671D" w:rsidP="00D320C1">
            <w:pPr>
              <w:ind w:left="113" w:right="113"/>
              <w:rPr>
                <w:rFonts w:ascii="Verdana" w:hAnsi="Verdana"/>
                <w:sz w:val="18"/>
                <w:szCs w:val="18"/>
              </w:rPr>
            </w:pPr>
          </w:p>
        </w:tc>
      </w:tr>
    </w:tbl>
    <w:p w14:paraId="0DD78F73" w14:textId="77777777" w:rsidR="0032562E" w:rsidRPr="00C34DE9" w:rsidRDefault="0032562E" w:rsidP="0032562E">
      <w:pPr>
        <w:rPr>
          <w:rFonts w:ascii="Verdana" w:hAnsi="Verdana"/>
          <w:sz w:val="18"/>
          <w:szCs w:val="18"/>
        </w:rPr>
      </w:pPr>
      <w:r w:rsidRPr="00C34DE9">
        <w:rPr>
          <w:rFonts w:ascii="Verdana" w:hAnsi="Verdana"/>
          <w:sz w:val="18"/>
          <w:szCs w:val="18"/>
        </w:rPr>
        <w:br w:type="page"/>
      </w:r>
    </w:p>
    <w:tbl>
      <w:tblPr>
        <w:tblpPr w:leftFromText="180" w:rightFromText="180" w:vertAnchor="text" w:horzAnchor="margin"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88"/>
      </w:tblGrid>
      <w:tr w:rsidR="0007671D" w:rsidRPr="00C34DE9" w14:paraId="37651A0C" w14:textId="77777777" w:rsidTr="790C88FB">
        <w:trPr>
          <w:trHeight w:val="411"/>
        </w:trPr>
        <w:tc>
          <w:tcPr>
            <w:tcW w:w="2943" w:type="dxa"/>
            <w:shd w:val="clear" w:color="auto" w:fill="auto"/>
          </w:tcPr>
          <w:p w14:paraId="0CEFE05A" w14:textId="58ACA284" w:rsidR="0007671D" w:rsidRPr="00C34DE9" w:rsidRDefault="00A6594A" w:rsidP="002D72D6">
            <w:pPr>
              <w:spacing w:after="60" w:line="240" w:lineRule="auto"/>
              <w:rPr>
                <w:rFonts w:ascii="Verdana" w:hAnsi="Verdana"/>
                <w:b/>
                <w:bCs/>
                <w:sz w:val="18"/>
                <w:szCs w:val="18"/>
              </w:rPr>
            </w:pPr>
            <w:bookmarkStart w:id="44" w:name="C31"/>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 xml:space="preserve"> C.</w:t>
            </w:r>
            <w:r w:rsidR="0007671D" w:rsidRPr="5CB4B133">
              <w:rPr>
                <w:rFonts w:ascii="Verdana" w:hAnsi="Verdana"/>
                <w:b/>
                <w:bCs/>
                <w:sz w:val="18"/>
                <w:szCs w:val="18"/>
              </w:rPr>
              <w:t>3</w:t>
            </w:r>
            <w:r w:rsidR="002D72D6">
              <w:rPr>
                <w:rFonts w:ascii="Verdana" w:hAnsi="Verdana"/>
                <w:b/>
                <w:bCs/>
                <w:sz w:val="18"/>
                <w:szCs w:val="18"/>
              </w:rPr>
              <w:t>2</w:t>
            </w:r>
            <w:bookmarkEnd w:id="44"/>
          </w:p>
        </w:tc>
        <w:tc>
          <w:tcPr>
            <w:tcW w:w="7088" w:type="dxa"/>
            <w:shd w:val="clear" w:color="auto" w:fill="auto"/>
          </w:tcPr>
          <w:p w14:paraId="697E8FF2" w14:textId="77777777" w:rsidR="0007671D" w:rsidRPr="00C34DE9" w:rsidRDefault="0007671D" w:rsidP="00C30187">
            <w:pPr>
              <w:spacing w:after="60"/>
              <w:rPr>
                <w:rFonts w:ascii="Verdana" w:hAnsi="Verdana"/>
                <w:caps/>
                <w:sz w:val="18"/>
                <w:szCs w:val="18"/>
              </w:rPr>
            </w:pPr>
          </w:p>
        </w:tc>
      </w:tr>
      <w:tr w:rsidR="0007671D" w:rsidRPr="00C34DE9" w14:paraId="54473083" w14:textId="77777777" w:rsidTr="790C88FB">
        <w:trPr>
          <w:trHeight w:val="417"/>
        </w:trPr>
        <w:tc>
          <w:tcPr>
            <w:tcW w:w="2943" w:type="dxa"/>
            <w:shd w:val="clear" w:color="auto" w:fill="auto"/>
          </w:tcPr>
          <w:p w14:paraId="3CA4FDC0"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7088" w:type="dxa"/>
            <w:shd w:val="clear" w:color="auto" w:fill="auto"/>
          </w:tcPr>
          <w:p w14:paraId="20A77BDA"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Tourism infrastructure</w:t>
            </w:r>
          </w:p>
        </w:tc>
      </w:tr>
      <w:tr w:rsidR="0007671D" w:rsidRPr="00C34DE9" w14:paraId="01AFCCDD" w14:textId="77777777" w:rsidTr="790C88FB">
        <w:tc>
          <w:tcPr>
            <w:tcW w:w="2943" w:type="dxa"/>
            <w:shd w:val="clear" w:color="auto" w:fill="auto"/>
          </w:tcPr>
          <w:p w14:paraId="4A1CF50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7088" w:type="dxa"/>
            <w:shd w:val="clear" w:color="auto" w:fill="auto"/>
            <w:vAlign w:val="center"/>
          </w:tcPr>
          <w:p w14:paraId="53F09C14" w14:textId="29DEBCC9" w:rsidR="007C2BEC" w:rsidRDefault="0007671D" w:rsidP="005B5547">
            <w:pPr>
              <w:pStyle w:val="RD-Indicatortabletext"/>
              <w:spacing w:after="60"/>
              <w:jc w:val="both"/>
              <w:rPr>
                <w:rFonts w:cs="Times New Roman"/>
                <w:sz w:val="18"/>
                <w:szCs w:val="18"/>
              </w:rPr>
            </w:pPr>
            <w:r w:rsidRPr="00C34DE9">
              <w:rPr>
                <w:rFonts w:cs="Times New Roman"/>
                <w:sz w:val="18"/>
                <w:szCs w:val="18"/>
              </w:rPr>
              <w:t xml:space="preserve">Tourism infrastructure in rural areas is measured </w:t>
            </w:r>
            <w:r w:rsidR="008908FF">
              <w:rPr>
                <w:rFonts w:cs="Times New Roman"/>
                <w:sz w:val="18"/>
                <w:szCs w:val="18"/>
              </w:rPr>
              <w:t>t</w:t>
            </w:r>
            <w:r w:rsidR="001D6460">
              <w:rPr>
                <w:rFonts w:cs="Times New Roman"/>
                <w:sz w:val="18"/>
                <w:szCs w:val="18"/>
              </w:rPr>
              <w:t>h</w:t>
            </w:r>
            <w:r w:rsidR="008908FF">
              <w:rPr>
                <w:rFonts w:cs="Times New Roman"/>
                <w:sz w:val="18"/>
                <w:szCs w:val="18"/>
              </w:rPr>
              <w:t>rough 2</w:t>
            </w:r>
            <w:r w:rsidR="00AE59DD">
              <w:rPr>
                <w:rFonts w:cs="Times New Roman"/>
                <w:sz w:val="18"/>
                <w:szCs w:val="18"/>
              </w:rPr>
              <w:t xml:space="preserve"> </w:t>
            </w:r>
            <w:r w:rsidR="00DD478B">
              <w:rPr>
                <w:rFonts w:cs="Times New Roman"/>
                <w:sz w:val="18"/>
                <w:szCs w:val="18"/>
              </w:rPr>
              <w:t xml:space="preserve">specific </w:t>
            </w:r>
            <w:r w:rsidR="00AE59DD">
              <w:rPr>
                <w:rFonts w:cs="Times New Roman"/>
                <w:sz w:val="18"/>
                <w:szCs w:val="18"/>
              </w:rPr>
              <w:t>indicators</w:t>
            </w:r>
            <w:r w:rsidR="001D6460">
              <w:rPr>
                <w:rFonts w:cs="Times New Roman"/>
                <w:sz w:val="18"/>
                <w:szCs w:val="18"/>
              </w:rPr>
              <w:t xml:space="preserve"> </w:t>
            </w:r>
            <w:r w:rsidR="007C2BEC">
              <w:rPr>
                <w:rFonts w:cs="Times New Roman"/>
                <w:sz w:val="18"/>
                <w:szCs w:val="18"/>
              </w:rPr>
              <w:t>:</w:t>
            </w:r>
          </w:p>
          <w:p w14:paraId="50A08E3F" w14:textId="6D02D7B7" w:rsidR="007C2BEC" w:rsidRDefault="0007671D" w:rsidP="5CB4B133">
            <w:pPr>
              <w:pStyle w:val="RD-Indicatortabletext"/>
              <w:numPr>
                <w:ilvl w:val="0"/>
                <w:numId w:val="90"/>
              </w:numPr>
              <w:spacing w:after="60"/>
              <w:jc w:val="both"/>
              <w:rPr>
                <w:rFonts w:cs="Times New Roman"/>
                <w:b/>
                <w:bCs/>
                <w:sz w:val="18"/>
                <w:szCs w:val="18"/>
              </w:rPr>
            </w:pPr>
            <w:r w:rsidRPr="5CB4B133">
              <w:rPr>
                <w:rFonts w:cs="Times New Roman"/>
                <w:b/>
                <w:bCs/>
                <w:sz w:val="18"/>
                <w:szCs w:val="18"/>
              </w:rPr>
              <w:t>number of bed places in tourist accommodations</w:t>
            </w:r>
          </w:p>
          <w:p w14:paraId="09D574BD" w14:textId="2466F9A5" w:rsidR="0007671D" w:rsidRPr="00CE6BB5" w:rsidRDefault="0007671D" w:rsidP="00665997">
            <w:pPr>
              <w:pStyle w:val="RD-Indicatortabletext"/>
              <w:numPr>
                <w:ilvl w:val="0"/>
                <w:numId w:val="90"/>
              </w:numPr>
              <w:spacing w:after="60"/>
              <w:jc w:val="both"/>
              <w:rPr>
                <w:rFonts w:cs="Times New Roman"/>
                <w:b/>
                <w:bCs/>
                <w:sz w:val="18"/>
                <w:szCs w:val="18"/>
              </w:rPr>
            </w:pPr>
            <w:r w:rsidRPr="3F4AE0BD">
              <w:rPr>
                <w:rFonts w:cs="Times New Roman"/>
                <w:b/>
                <w:bCs/>
                <w:sz w:val="18"/>
                <w:szCs w:val="18"/>
              </w:rPr>
              <w:t>share of total bed p</w:t>
            </w:r>
            <w:r w:rsidR="00D86F58" w:rsidRPr="3F4AE0BD">
              <w:rPr>
                <w:rFonts w:cs="Times New Roman"/>
                <w:b/>
                <w:bCs/>
                <w:sz w:val="18"/>
                <w:szCs w:val="18"/>
              </w:rPr>
              <w:t>laces by degree of urbanisation</w:t>
            </w:r>
          </w:p>
          <w:p w14:paraId="5CEC25DD" w14:textId="77777777" w:rsidR="0007671D" w:rsidRPr="00C34DE9" w:rsidRDefault="0007671D" w:rsidP="005B5547">
            <w:pPr>
              <w:pStyle w:val="Default"/>
              <w:spacing w:after="60"/>
              <w:jc w:val="both"/>
              <w:rPr>
                <w:rFonts w:ascii="Verdana" w:hAnsi="Verdana"/>
                <w:color w:val="auto"/>
                <w:sz w:val="18"/>
                <w:szCs w:val="18"/>
              </w:rPr>
            </w:pPr>
            <w:r w:rsidRPr="00C34DE9">
              <w:rPr>
                <w:rFonts w:ascii="Verdana" w:hAnsi="Verdana"/>
                <w:color w:val="auto"/>
                <w:sz w:val="18"/>
                <w:szCs w:val="18"/>
              </w:rPr>
              <w:t xml:space="preserve">From 2012, data are collected at NUTS 2 level, according to Regulation (EU) No 692/2011 </w:t>
            </w:r>
            <w:r w:rsidRPr="5CB4B133">
              <w:rPr>
                <w:rFonts w:ascii="Verdana" w:hAnsi="Verdana"/>
                <w:color w:val="auto"/>
                <w:sz w:val="18"/>
                <w:szCs w:val="18"/>
              </w:rPr>
              <w:t>concerning European statistics on tourism and repealing Council Directive</w:t>
            </w:r>
            <w:r w:rsidRPr="00C34DE9">
              <w:rPr>
                <w:rFonts w:ascii="Verdana" w:hAnsi="Verdana"/>
                <w:color w:val="auto"/>
                <w:sz w:val="18"/>
                <w:szCs w:val="18"/>
              </w:rPr>
              <w:t xml:space="preserve"> 95/57/EC.</w:t>
            </w:r>
          </w:p>
          <w:p w14:paraId="6A7579C2" w14:textId="77777777" w:rsidR="0007671D" w:rsidRPr="00C34DE9" w:rsidRDefault="0007671D" w:rsidP="5CB4B133">
            <w:pPr>
              <w:autoSpaceDE w:val="0"/>
              <w:autoSpaceDN w:val="0"/>
              <w:adjustRightInd w:val="0"/>
              <w:spacing w:after="60" w:line="240" w:lineRule="auto"/>
              <w:jc w:val="both"/>
              <w:rPr>
                <w:rFonts w:ascii="Verdana" w:hAnsi="Verdana"/>
                <w:b/>
                <w:bCs/>
                <w:sz w:val="18"/>
                <w:szCs w:val="18"/>
              </w:rPr>
            </w:pPr>
            <w:r w:rsidRPr="00C34DE9">
              <w:rPr>
                <w:rFonts w:ascii="Verdana" w:hAnsi="Verdana"/>
                <w:sz w:val="18"/>
                <w:szCs w:val="18"/>
              </w:rPr>
              <w:t xml:space="preserve">Under this regulation, </w:t>
            </w:r>
            <w:r w:rsidRPr="5CB4B133">
              <w:rPr>
                <w:rFonts w:ascii="Verdana" w:hAnsi="Verdana"/>
                <w:b/>
                <w:bCs/>
                <w:sz w:val="18"/>
                <w:szCs w:val="18"/>
              </w:rPr>
              <w:t>data are collected according to the following degrees of urbanisation:</w:t>
            </w:r>
          </w:p>
          <w:p w14:paraId="37CCE596" w14:textId="77777777" w:rsidR="0007671D" w:rsidRPr="00C34DE9" w:rsidRDefault="0007671D" w:rsidP="00A85A9D">
            <w:pPr>
              <w:pStyle w:val="Default"/>
              <w:numPr>
                <w:ilvl w:val="0"/>
                <w:numId w:val="25"/>
              </w:numPr>
              <w:spacing w:after="60"/>
              <w:jc w:val="both"/>
              <w:rPr>
                <w:rFonts w:ascii="Verdana" w:hAnsi="Verdana"/>
                <w:color w:val="auto"/>
                <w:sz w:val="18"/>
                <w:szCs w:val="18"/>
              </w:rPr>
            </w:pPr>
            <w:r w:rsidRPr="00C34DE9">
              <w:rPr>
                <w:rFonts w:ascii="Verdana" w:hAnsi="Verdana"/>
                <w:color w:val="auto"/>
                <w:sz w:val="18"/>
                <w:szCs w:val="18"/>
              </w:rPr>
              <w:t xml:space="preserve">Densely-populated area (cities/large urban area) </w:t>
            </w:r>
          </w:p>
          <w:p w14:paraId="4A908ABA" w14:textId="77777777" w:rsidR="0007671D" w:rsidRPr="00C34DE9" w:rsidRDefault="0007671D" w:rsidP="00A85A9D">
            <w:pPr>
              <w:pStyle w:val="Default"/>
              <w:numPr>
                <w:ilvl w:val="0"/>
                <w:numId w:val="25"/>
              </w:numPr>
              <w:spacing w:after="60"/>
              <w:jc w:val="both"/>
              <w:rPr>
                <w:rFonts w:ascii="Verdana" w:hAnsi="Verdana"/>
                <w:color w:val="auto"/>
                <w:sz w:val="18"/>
                <w:szCs w:val="18"/>
              </w:rPr>
            </w:pPr>
            <w:r w:rsidRPr="00C34DE9">
              <w:rPr>
                <w:rFonts w:ascii="Verdana" w:hAnsi="Verdana"/>
                <w:color w:val="auto"/>
                <w:sz w:val="18"/>
                <w:szCs w:val="18"/>
              </w:rPr>
              <w:t>Intermediate urbani</w:t>
            </w:r>
            <w:r w:rsidR="00A6594A">
              <w:rPr>
                <w:rFonts w:ascii="Verdana" w:hAnsi="Verdana"/>
                <w:color w:val="auto"/>
                <w:sz w:val="18"/>
                <w:szCs w:val="18"/>
              </w:rPr>
              <w:t>s</w:t>
            </w:r>
            <w:r w:rsidRPr="00C34DE9">
              <w:rPr>
                <w:rFonts w:ascii="Verdana" w:hAnsi="Verdana"/>
                <w:color w:val="auto"/>
                <w:sz w:val="18"/>
                <w:szCs w:val="18"/>
              </w:rPr>
              <w:t>ed area (towns and suburbs/small urban area)</w:t>
            </w:r>
          </w:p>
          <w:p w14:paraId="2626D63E" w14:textId="77777777" w:rsidR="0007671D" w:rsidRPr="00C34DE9" w:rsidRDefault="0007671D" w:rsidP="00A85A9D">
            <w:pPr>
              <w:pStyle w:val="Default"/>
              <w:numPr>
                <w:ilvl w:val="0"/>
                <w:numId w:val="25"/>
              </w:numPr>
              <w:spacing w:after="60"/>
              <w:jc w:val="both"/>
              <w:rPr>
                <w:rFonts w:ascii="Verdana" w:hAnsi="Verdana"/>
                <w:color w:val="auto"/>
                <w:sz w:val="18"/>
                <w:szCs w:val="18"/>
              </w:rPr>
            </w:pPr>
            <w:r w:rsidRPr="00C34DE9">
              <w:rPr>
                <w:rFonts w:ascii="Verdana" w:hAnsi="Verdana"/>
                <w:color w:val="auto"/>
                <w:sz w:val="18"/>
                <w:szCs w:val="18"/>
              </w:rPr>
              <w:t>Thinly populated area (rural area)</w:t>
            </w:r>
          </w:p>
          <w:p w14:paraId="3AF5C5BE" w14:textId="77777777" w:rsidR="0007671D" w:rsidRPr="00C34DE9" w:rsidRDefault="0007671D" w:rsidP="005B5547">
            <w:pPr>
              <w:pStyle w:val="PlainText"/>
              <w:spacing w:after="60"/>
              <w:rPr>
                <w:rFonts w:ascii="Verdana" w:hAnsi="Verdana"/>
                <w:sz w:val="18"/>
                <w:szCs w:val="18"/>
              </w:rPr>
            </w:pPr>
            <w:r w:rsidRPr="00C34DE9">
              <w:rPr>
                <w:rFonts w:ascii="Verdana" w:hAnsi="Verdana"/>
                <w:sz w:val="18"/>
                <w:szCs w:val="18"/>
              </w:rPr>
              <w:t>According to the definitions of urban areas used in Europe (in line with the United Nations Population Division (UNPD)), urban areas correspond to densely populated and intermediate density areas while rural areas equal thinly populated areas.</w:t>
            </w:r>
          </w:p>
        </w:tc>
      </w:tr>
      <w:tr w:rsidR="0007671D" w:rsidRPr="00C34DE9" w14:paraId="784B7323" w14:textId="77777777" w:rsidTr="790C88FB">
        <w:tc>
          <w:tcPr>
            <w:tcW w:w="2943" w:type="dxa"/>
            <w:shd w:val="clear" w:color="auto" w:fill="auto"/>
          </w:tcPr>
          <w:p w14:paraId="5052EEA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7088" w:type="dxa"/>
            <w:shd w:val="clear" w:color="auto" w:fill="auto"/>
          </w:tcPr>
          <w:p w14:paraId="189AA1F7" w14:textId="30C4FC5F" w:rsidR="00AE59DD" w:rsidRDefault="008908FF" w:rsidP="005B5547">
            <w:pPr>
              <w:spacing w:after="60" w:line="240" w:lineRule="auto"/>
              <w:jc w:val="both"/>
              <w:rPr>
                <w:rFonts w:ascii="Verdana" w:hAnsi="Verdana"/>
                <w:sz w:val="18"/>
                <w:szCs w:val="18"/>
              </w:rPr>
            </w:pPr>
            <w:r>
              <w:rPr>
                <w:rFonts w:ascii="Verdana" w:hAnsi="Verdana"/>
                <w:sz w:val="18"/>
                <w:szCs w:val="18"/>
              </w:rPr>
              <w:t xml:space="preserve">1: </w:t>
            </w:r>
            <w:r w:rsidR="0007671D" w:rsidRPr="00C34DE9">
              <w:rPr>
                <w:rFonts w:ascii="Verdana" w:hAnsi="Verdana"/>
                <w:sz w:val="18"/>
                <w:szCs w:val="18"/>
              </w:rPr>
              <w:t>number of bed</w:t>
            </w:r>
            <w:r w:rsidR="007416A3">
              <w:rPr>
                <w:rFonts w:ascii="Verdana" w:hAnsi="Verdana"/>
                <w:sz w:val="18"/>
                <w:szCs w:val="18"/>
              </w:rPr>
              <w:t xml:space="preserve"> places</w:t>
            </w:r>
            <w:r w:rsidR="0007671D" w:rsidRPr="00C34DE9">
              <w:rPr>
                <w:rFonts w:ascii="Verdana" w:hAnsi="Verdana"/>
                <w:sz w:val="18"/>
                <w:szCs w:val="18"/>
              </w:rPr>
              <w:t xml:space="preserve"> </w:t>
            </w:r>
          </w:p>
          <w:p w14:paraId="7F443FAB" w14:textId="7294DA82" w:rsidR="0007671D" w:rsidRPr="00C34DE9" w:rsidRDefault="008908FF" w:rsidP="00CE6863">
            <w:pPr>
              <w:spacing w:after="60" w:line="240" w:lineRule="auto"/>
              <w:jc w:val="both"/>
              <w:rPr>
                <w:rFonts w:ascii="Verdana" w:hAnsi="Verdana"/>
                <w:sz w:val="18"/>
                <w:szCs w:val="18"/>
              </w:rPr>
            </w:pPr>
            <w:r>
              <w:rPr>
                <w:rFonts w:ascii="Verdana" w:hAnsi="Verdana"/>
                <w:sz w:val="18"/>
                <w:szCs w:val="18"/>
              </w:rPr>
              <w:t xml:space="preserve">2: </w:t>
            </w:r>
            <w:r w:rsidR="00CE6863">
              <w:rPr>
                <w:rFonts w:ascii="Verdana" w:hAnsi="Verdana"/>
                <w:sz w:val="18"/>
                <w:szCs w:val="18"/>
              </w:rPr>
              <w:t>%</w:t>
            </w:r>
          </w:p>
        </w:tc>
      </w:tr>
      <w:tr w:rsidR="0007671D" w:rsidRPr="00C34DE9" w14:paraId="6D8DF859" w14:textId="77777777" w:rsidTr="790C88FB">
        <w:tc>
          <w:tcPr>
            <w:tcW w:w="2943" w:type="dxa"/>
            <w:shd w:val="clear" w:color="auto" w:fill="auto"/>
          </w:tcPr>
          <w:p w14:paraId="018CF4D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7088" w:type="dxa"/>
            <w:shd w:val="clear" w:color="auto" w:fill="auto"/>
            <w:vAlign w:val="center"/>
          </w:tcPr>
          <w:p w14:paraId="1799779B" w14:textId="77777777" w:rsidR="0007671D" w:rsidRPr="00C34DE9" w:rsidRDefault="0007671D" w:rsidP="005B5547">
            <w:pPr>
              <w:spacing w:after="60" w:line="240" w:lineRule="auto"/>
              <w:rPr>
                <w:rFonts w:ascii="Verdana" w:hAnsi="Verdana"/>
                <w:sz w:val="18"/>
                <w:szCs w:val="18"/>
              </w:rPr>
            </w:pPr>
            <w:r w:rsidRPr="00C34DE9">
              <w:rPr>
                <w:rFonts w:ascii="Verdana" w:hAnsi="Verdana"/>
                <w:sz w:val="18"/>
                <w:szCs w:val="18"/>
              </w:rPr>
              <w:t>Eurostat – Tourism statistics</w:t>
            </w:r>
          </w:p>
          <w:p w14:paraId="758E422F" w14:textId="77777777" w:rsidR="0007671D" w:rsidRPr="00C34DE9" w:rsidRDefault="0007671D" w:rsidP="005B5547">
            <w:pPr>
              <w:spacing w:after="60" w:line="240" w:lineRule="auto"/>
              <w:jc w:val="both"/>
              <w:rPr>
                <w:rFonts w:ascii="Verdana" w:hAnsi="Verdana"/>
                <w:sz w:val="18"/>
                <w:szCs w:val="18"/>
              </w:rPr>
            </w:pPr>
            <w:r w:rsidRPr="00C34DE9">
              <w:rPr>
                <w:rFonts w:ascii="Verdana" w:eastAsia="Times New Roman" w:hAnsi="Verdana"/>
                <w:sz w:val="18"/>
                <w:szCs w:val="18"/>
              </w:rPr>
              <w:t xml:space="preserve">According to </w:t>
            </w:r>
            <w:hyperlink r:id="rId151" w:tgtFrame="_blank" w:history="1">
              <w:r w:rsidRPr="00C34DE9">
                <w:rPr>
                  <w:rFonts w:ascii="Verdana" w:eastAsia="Times New Roman" w:hAnsi="Verdana"/>
                  <w:color w:val="0000FF"/>
                  <w:sz w:val="18"/>
                  <w:szCs w:val="18"/>
                  <w:u w:val="single"/>
                </w:rPr>
                <w:t>Regulation (EU) 692/2011 of the European Parliament and of the Council</w:t>
              </w:r>
            </w:hyperlink>
            <w:r w:rsidRPr="00C34DE9">
              <w:rPr>
                <w:rFonts w:ascii="Verdana" w:eastAsia="Times New Roman" w:hAnsi="Verdana"/>
                <w:sz w:val="18"/>
                <w:szCs w:val="18"/>
              </w:rPr>
              <w:t>, the data is available from 2012 onwards.</w:t>
            </w:r>
          </w:p>
        </w:tc>
      </w:tr>
      <w:tr w:rsidR="0007671D" w:rsidRPr="00C34DE9" w14:paraId="65A0D193" w14:textId="77777777" w:rsidTr="790C88FB">
        <w:tc>
          <w:tcPr>
            <w:tcW w:w="2943" w:type="dxa"/>
            <w:shd w:val="clear" w:color="auto" w:fill="auto"/>
          </w:tcPr>
          <w:p w14:paraId="7A7D6CE2"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088" w:type="dxa"/>
            <w:shd w:val="clear" w:color="auto" w:fill="auto"/>
          </w:tcPr>
          <w:p w14:paraId="38C7125D"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For national data: table </w:t>
            </w:r>
            <w:r w:rsidR="00A6594A">
              <w:rPr>
                <w:rFonts w:ascii="Verdana" w:hAnsi="Verdana"/>
                <w:sz w:val="18"/>
                <w:szCs w:val="18"/>
              </w:rPr>
              <w:t>[</w:t>
            </w:r>
            <w:hyperlink r:id="rId152" w:history="1">
              <w:r w:rsidRPr="00C34DE9">
                <w:rPr>
                  <w:rStyle w:val="Hyperlink"/>
                  <w:rFonts w:ascii="Verdana" w:hAnsi="Verdana"/>
                  <w:sz w:val="18"/>
                  <w:szCs w:val="18"/>
                </w:rPr>
                <w:t>tour_cap_natd</w:t>
              </w:r>
            </w:hyperlink>
            <w:r w:rsidR="00A6594A">
              <w:rPr>
                <w:rFonts w:ascii="Verdana" w:hAnsi="Verdana"/>
                <w:sz w:val="18"/>
                <w:szCs w:val="18"/>
              </w:rPr>
              <w:t>]</w:t>
            </w:r>
          </w:p>
          <w:p w14:paraId="481841CB"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For regional data: table </w:t>
            </w:r>
            <w:r w:rsidR="00A6594A">
              <w:rPr>
                <w:rFonts w:ascii="Verdana" w:hAnsi="Verdana"/>
                <w:sz w:val="18"/>
                <w:szCs w:val="18"/>
              </w:rPr>
              <w:t>[</w:t>
            </w:r>
            <w:hyperlink r:id="rId153" w:history="1">
              <w:r w:rsidRPr="00C34DE9">
                <w:rPr>
                  <w:rStyle w:val="Hyperlink"/>
                  <w:rFonts w:ascii="Verdana" w:hAnsi="Verdana"/>
                  <w:sz w:val="18"/>
                  <w:szCs w:val="18"/>
                </w:rPr>
                <w:t>tour_cap_nuts2d</w:t>
              </w:r>
            </w:hyperlink>
            <w:r w:rsidR="00A6594A">
              <w:rPr>
                <w:rFonts w:ascii="Verdana" w:hAnsi="Verdana"/>
                <w:sz w:val="18"/>
                <w:szCs w:val="18"/>
              </w:rPr>
              <w:t>]</w:t>
            </w:r>
          </w:p>
        </w:tc>
      </w:tr>
      <w:tr w:rsidR="0007671D" w:rsidRPr="00C34DE9" w14:paraId="604DBA80" w14:textId="77777777" w:rsidTr="790C88FB">
        <w:tc>
          <w:tcPr>
            <w:tcW w:w="2943" w:type="dxa"/>
            <w:shd w:val="clear" w:color="auto" w:fill="auto"/>
          </w:tcPr>
          <w:p w14:paraId="6594E385"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7088" w:type="dxa"/>
            <w:shd w:val="clear" w:color="auto" w:fill="auto"/>
          </w:tcPr>
          <w:p w14:paraId="1BE94D78"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 xml:space="preserve">EU, </w:t>
            </w:r>
            <w:r w:rsidR="00A6594A">
              <w:rPr>
                <w:rFonts w:ascii="Verdana" w:hAnsi="Verdana"/>
                <w:sz w:val="18"/>
                <w:szCs w:val="18"/>
              </w:rPr>
              <w:t>N</w:t>
            </w:r>
            <w:r w:rsidRPr="00C34DE9">
              <w:rPr>
                <w:rFonts w:ascii="Verdana" w:hAnsi="Verdana"/>
                <w:sz w:val="18"/>
                <w:szCs w:val="18"/>
              </w:rPr>
              <w:t>ational (NUTS 0)</w:t>
            </w:r>
            <w:r w:rsidR="00A6594A">
              <w:rPr>
                <w:rFonts w:ascii="Verdana" w:hAnsi="Verdana"/>
                <w:sz w:val="18"/>
                <w:szCs w:val="18"/>
              </w:rPr>
              <w:t>, R</w:t>
            </w:r>
            <w:r w:rsidRPr="00C34DE9">
              <w:rPr>
                <w:rFonts w:ascii="Verdana" w:hAnsi="Verdana"/>
                <w:sz w:val="18"/>
                <w:szCs w:val="18"/>
              </w:rPr>
              <w:t>egional (NUTS 1 and 2)</w:t>
            </w:r>
          </w:p>
        </w:tc>
      </w:tr>
      <w:tr w:rsidR="0007671D" w:rsidRPr="00C34DE9" w14:paraId="6D2AA5D4" w14:textId="77777777" w:rsidTr="790C88FB">
        <w:trPr>
          <w:trHeight w:val="274"/>
        </w:trPr>
        <w:tc>
          <w:tcPr>
            <w:tcW w:w="2943" w:type="dxa"/>
            <w:shd w:val="clear" w:color="auto" w:fill="auto"/>
          </w:tcPr>
          <w:p w14:paraId="20F8AC66"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7088" w:type="dxa"/>
            <w:shd w:val="clear" w:color="auto" w:fill="auto"/>
          </w:tcPr>
          <w:p w14:paraId="7EFA8E1B" w14:textId="77777777" w:rsidR="0007671D" w:rsidRPr="00C34DE9" w:rsidRDefault="0007671D" w:rsidP="005B5547">
            <w:pPr>
              <w:spacing w:before="30" w:after="60" w:line="240" w:lineRule="auto"/>
              <w:rPr>
                <w:rFonts w:ascii="Verdana" w:eastAsia="Times New Roman" w:hAnsi="Verdana"/>
                <w:sz w:val="18"/>
                <w:szCs w:val="18"/>
              </w:rPr>
            </w:pPr>
            <w:r w:rsidRPr="00C34DE9">
              <w:rPr>
                <w:rFonts w:ascii="Verdana" w:eastAsia="Times New Roman" w:hAnsi="Verdana"/>
                <w:sz w:val="18"/>
                <w:szCs w:val="18"/>
              </w:rPr>
              <w:t>Annual and monthly.</w:t>
            </w:r>
            <w:r w:rsidR="00A6594A" w:rsidRPr="00C34DE9">
              <w:rPr>
                <w:rFonts w:ascii="Verdana" w:eastAsia="Times New Roman" w:hAnsi="Verdana"/>
                <w:sz w:val="18"/>
                <w:szCs w:val="18"/>
              </w:rPr>
              <w:t xml:space="preserve"> Annual for regional data</w:t>
            </w:r>
          </w:p>
        </w:tc>
      </w:tr>
      <w:tr w:rsidR="0007671D" w:rsidRPr="00C34DE9" w14:paraId="77D16BA6" w14:textId="77777777" w:rsidTr="790C88FB">
        <w:tc>
          <w:tcPr>
            <w:tcW w:w="2943" w:type="dxa"/>
            <w:shd w:val="clear" w:color="auto" w:fill="auto"/>
          </w:tcPr>
          <w:p w14:paraId="1828B852"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7088" w:type="dxa"/>
            <w:shd w:val="clear" w:color="auto" w:fill="auto"/>
          </w:tcPr>
          <w:p w14:paraId="6D33D078" w14:textId="77777777" w:rsidR="0007671D" w:rsidRPr="00C34DE9" w:rsidRDefault="0007671D" w:rsidP="005B5547">
            <w:pPr>
              <w:spacing w:after="60" w:line="240" w:lineRule="auto"/>
              <w:jc w:val="both"/>
              <w:rPr>
                <w:rFonts w:ascii="Verdana" w:hAnsi="Verdana"/>
                <w:sz w:val="18"/>
                <w:szCs w:val="18"/>
              </w:rPr>
            </w:pPr>
            <w:r w:rsidRPr="00C34DE9">
              <w:rPr>
                <w:rFonts w:ascii="Verdana" w:hAnsi="Verdana"/>
                <w:sz w:val="18"/>
                <w:szCs w:val="18"/>
              </w:rPr>
              <w:t>1 year</w:t>
            </w:r>
          </w:p>
        </w:tc>
      </w:tr>
      <w:tr w:rsidR="0007671D" w:rsidRPr="00C34DE9" w14:paraId="4174C09B" w14:textId="77777777" w:rsidTr="790C88FB">
        <w:tc>
          <w:tcPr>
            <w:tcW w:w="2943" w:type="dxa"/>
            <w:shd w:val="clear" w:color="auto" w:fill="auto"/>
          </w:tcPr>
          <w:p w14:paraId="381BBA6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7088" w:type="dxa"/>
            <w:shd w:val="clear" w:color="auto" w:fill="auto"/>
          </w:tcPr>
          <w:p w14:paraId="1ACB38C5" w14:textId="77777777" w:rsidR="0007671D" w:rsidRPr="00C34DE9" w:rsidRDefault="0007671D" w:rsidP="5CB4B133">
            <w:pPr>
              <w:spacing w:after="60" w:line="240" w:lineRule="auto"/>
              <w:jc w:val="both"/>
              <w:rPr>
                <w:rFonts w:ascii="Verdana" w:hAnsi="Verdana"/>
                <w:b/>
                <w:bCs/>
                <w:sz w:val="18"/>
                <w:szCs w:val="18"/>
              </w:rPr>
            </w:pPr>
            <w:r w:rsidRPr="00C34DE9">
              <w:rPr>
                <w:rFonts w:ascii="Verdana" w:hAnsi="Verdana"/>
                <w:sz w:val="18"/>
                <w:szCs w:val="18"/>
              </w:rPr>
              <w:t>Collective tourist accommodation establishments include hotels, holiday and other short-stay accommodation, camping grounds, recreational vehicle parks and trailer parks (NACE r.2 divisions I551-I553).</w:t>
            </w:r>
          </w:p>
          <w:p w14:paraId="014DA341" w14:textId="77777777" w:rsidR="0007671D" w:rsidRPr="00C34DE9" w:rsidRDefault="0007671D" w:rsidP="005B5547">
            <w:pPr>
              <w:pStyle w:val="RD-Indicatortabletext"/>
              <w:spacing w:after="60"/>
              <w:jc w:val="both"/>
              <w:rPr>
                <w:rFonts w:cs="Times New Roman"/>
                <w:sz w:val="18"/>
                <w:szCs w:val="18"/>
              </w:rPr>
            </w:pPr>
            <w:r w:rsidRPr="00C34DE9">
              <w:rPr>
                <w:rFonts w:cs="Times New Roman"/>
                <w:sz w:val="18"/>
                <w:szCs w:val="18"/>
              </w:rPr>
              <w:t xml:space="preserve">When the number of bed places in one category of establishment is missing, the sum of available data is provided. </w:t>
            </w:r>
          </w:p>
          <w:p w14:paraId="1A7CA53F" w14:textId="77777777" w:rsidR="0007671D" w:rsidRPr="00C34DE9" w:rsidRDefault="0007671D" w:rsidP="005B5547">
            <w:pPr>
              <w:pStyle w:val="RD-Indicatortabletext"/>
              <w:spacing w:after="60"/>
              <w:jc w:val="both"/>
              <w:rPr>
                <w:rFonts w:cs="Times New Roman"/>
                <w:sz w:val="18"/>
                <w:szCs w:val="18"/>
              </w:rPr>
            </w:pPr>
            <w:r w:rsidRPr="00C34DE9">
              <w:rPr>
                <w:rFonts w:cs="Times New Roman"/>
                <w:sz w:val="18"/>
                <w:szCs w:val="18"/>
              </w:rPr>
              <w:t>The number of bed places in an establishment or dwelling is determined by the number of persons who can stay overnight in the beds set up in the establishment (dwelling), ignoring any extra beds that may be set up by customer request. The term bed place applies to a single bed, double bed being counted as two bed places. The unit serves to measure the capacity of any type of accommodation. A bed place is also a place on a pitch or in a boat on a mooring to accommodate one person. One camping pitch should equal four bed places if the actual number of bed places is not known.</w:t>
            </w:r>
          </w:p>
          <w:p w14:paraId="3ADC10F2" w14:textId="77777777" w:rsidR="00B777E1" w:rsidRPr="00C34DE9" w:rsidRDefault="00B777E1" w:rsidP="00B777E1">
            <w:pPr>
              <w:pStyle w:val="RD-Indicatortabletext"/>
              <w:spacing w:after="60"/>
              <w:jc w:val="both"/>
              <w:rPr>
                <w:rFonts w:cs="Times New Roman"/>
                <w:sz w:val="18"/>
                <w:szCs w:val="18"/>
              </w:rPr>
            </w:pPr>
            <w:r w:rsidRPr="00C34DE9">
              <w:rPr>
                <w:rFonts w:cs="Times New Roman"/>
                <w:sz w:val="18"/>
                <w:szCs w:val="18"/>
              </w:rPr>
              <w:t>Countries can apply a data collection threshold (to reduce burden on administrations and on smaller SMEs).</w:t>
            </w:r>
          </w:p>
          <w:p w14:paraId="2782D597" w14:textId="77777777" w:rsidR="00B777E1" w:rsidRPr="00C34DE9" w:rsidRDefault="00B777E1" w:rsidP="00B777E1">
            <w:pPr>
              <w:pStyle w:val="RD-Indicatortabletext"/>
              <w:spacing w:after="60"/>
              <w:jc w:val="both"/>
              <w:rPr>
                <w:rFonts w:cs="Times New Roman"/>
                <w:sz w:val="18"/>
                <w:szCs w:val="18"/>
              </w:rPr>
            </w:pPr>
            <w:r w:rsidRPr="00C34DE9">
              <w:rPr>
                <w:rFonts w:cs="Times New Roman"/>
                <w:sz w:val="18"/>
                <w:szCs w:val="18"/>
              </w:rPr>
              <w:t>In practice, most countries exclude establishments offering less than 10 (some countries: 20) bed-places from the scope of observation.</w:t>
            </w:r>
          </w:p>
          <w:p w14:paraId="6148D087" w14:textId="77777777" w:rsidR="00B777E1" w:rsidRPr="00C34DE9" w:rsidRDefault="00B777E1" w:rsidP="00B777E1">
            <w:pPr>
              <w:pStyle w:val="RD-Indicatortabletext"/>
              <w:spacing w:after="60"/>
              <w:jc w:val="both"/>
              <w:rPr>
                <w:rFonts w:cs="Times New Roman"/>
                <w:sz w:val="18"/>
                <w:szCs w:val="18"/>
              </w:rPr>
            </w:pPr>
            <w:r w:rsidRPr="00C34DE9">
              <w:rPr>
                <w:rFonts w:cs="Times New Roman"/>
                <w:sz w:val="18"/>
                <w:szCs w:val="18"/>
              </w:rPr>
              <w:t xml:space="preserve">The structure of accommodation (in terms of size/capacity) of the </w:t>
            </w:r>
            <w:r w:rsidRPr="00C34DE9">
              <w:rPr>
                <w:rFonts w:cs="Times New Roman"/>
                <w:sz w:val="18"/>
                <w:szCs w:val="18"/>
              </w:rPr>
              <w:lastRenderedPageBreak/>
              <w:t>establishments ca</w:t>
            </w:r>
            <w:r w:rsidR="00A6594A">
              <w:rPr>
                <w:rFonts w:cs="Times New Roman"/>
                <w:sz w:val="18"/>
                <w:szCs w:val="18"/>
              </w:rPr>
              <w:t>n</w:t>
            </w:r>
            <w:r w:rsidRPr="00C34DE9">
              <w:rPr>
                <w:rFonts w:cs="Times New Roman"/>
                <w:sz w:val="18"/>
                <w:szCs w:val="18"/>
              </w:rPr>
              <w:t xml:space="preserve"> be different in cities and in countryside, with the first having more relatively big chain hotels and the latter having more small family businesses. It should be pointed out that this could affect the indicator (= underestimating the absolute infrastructure as well as its share in total).</w:t>
            </w:r>
          </w:p>
        </w:tc>
      </w:tr>
    </w:tbl>
    <w:p w14:paraId="370DD3EC" w14:textId="77777777" w:rsidR="00A6594A" w:rsidRDefault="00A6594A">
      <w:pPr>
        <w:spacing w:after="0" w:line="240" w:lineRule="auto"/>
        <w:rPr>
          <w:rFonts w:ascii="Verdana" w:hAnsi="Verdana"/>
          <w:sz w:val="18"/>
          <w:szCs w:val="18"/>
        </w:rPr>
      </w:pPr>
      <w:r>
        <w:rPr>
          <w:rFonts w:ascii="Verdana" w:hAnsi="Verdana"/>
          <w:sz w:val="18"/>
          <w:szCs w:val="18"/>
        </w:rPr>
        <w:lastRenderedPageBreak/>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07671D" w:rsidRPr="00C34DE9" w14:paraId="36D7459E" w14:textId="77777777" w:rsidTr="240ABBB4">
        <w:trPr>
          <w:trHeight w:val="411"/>
        </w:trPr>
        <w:tc>
          <w:tcPr>
            <w:tcW w:w="3085" w:type="dxa"/>
            <w:shd w:val="clear" w:color="auto" w:fill="auto"/>
          </w:tcPr>
          <w:p w14:paraId="00D6EF0B" w14:textId="4DCD5A42" w:rsidR="0007671D" w:rsidRPr="00C34DE9" w:rsidRDefault="00A6594A" w:rsidP="002D72D6">
            <w:pPr>
              <w:spacing w:after="60" w:line="240" w:lineRule="auto"/>
              <w:rPr>
                <w:rFonts w:ascii="Verdana" w:hAnsi="Verdana"/>
                <w:b/>
                <w:bCs/>
                <w:sz w:val="18"/>
                <w:szCs w:val="18"/>
              </w:rPr>
            </w:pPr>
            <w:bookmarkStart w:id="45" w:name="C32"/>
            <w:r w:rsidRPr="5CB4B133">
              <w:rPr>
                <w:rFonts w:ascii="Verdana" w:hAnsi="Verdana"/>
                <w:b/>
                <w:bCs/>
                <w:smallCaps/>
                <w:sz w:val="18"/>
                <w:szCs w:val="18"/>
              </w:rPr>
              <w:lastRenderedPageBreak/>
              <w:t>Indicator</w:t>
            </w:r>
            <w:r w:rsidR="0007671D" w:rsidRPr="5CB4B133">
              <w:rPr>
                <w:rFonts w:ascii="Verdana" w:hAnsi="Verdana"/>
                <w:b/>
                <w:bCs/>
                <w:sz w:val="18"/>
                <w:szCs w:val="18"/>
              </w:rPr>
              <w:t xml:space="preserve"> </w:t>
            </w:r>
            <w:r w:rsidR="0007671D" w:rsidRPr="5CB4B133">
              <w:rPr>
                <w:rFonts w:ascii="Verdana" w:hAnsi="Verdana"/>
                <w:b/>
                <w:bCs/>
                <w:smallCaps/>
                <w:sz w:val="18"/>
                <w:szCs w:val="18"/>
              </w:rPr>
              <w:t>C.</w:t>
            </w:r>
            <w:r w:rsidR="0007671D" w:rsidRPr="5CB4B133">
              <w:rPr>
                <w:rFonts w:ascii="Verdana" w:hAnsi="Verdana"/>
                <w:b/>
                <w:bCs/>
                <w:sz w:val="18"/>
                <w:szCs w:val="18"/>
              </w:rPr>
              <w:t>3</w:t>
            </w:r>
            <w:r w:rsidR="002D72D6">
              <w:rPr>
                <w:rFonts w:ascii="Verdana" w:hAnsi="Verdana"/>
                <w:b/>
                <w:bCs/>
                <w:sz w:val="18"/>
                <w:szCs w:val="18"/>
              </w:rPr>
              <w:t>3</w:t>
            </w:r>
            <w:bookmarkEnd w:id="45"/>
          </w:p>
        </w:tc>
        <w:tc>
          <w:tcPr>
            <w:tcW w:w="6946" w:type="dxa"/>
            <w:shd w:val="clear" w:color="auto" w:fill="auto"/>
          </w:tcPr>
          <w:p w14:paraId="509D1FBC" w14:textId="77777777" w:rsidR="0007671D" w:rsidRPr="00C34DE9" w:rsidRDefault="0007671D" w:rsidP="00C30187">
            <w:pPr>
              <w:spacing w:after="60"/>
              <w:rPr>
                <w:rFonts w:ascii="Verdana" w:hAnsi="Verdana"/>
                <w:caps/>
                <w:sz w:val="18"/>
                <w:szCs w:val="18"/>
              </w:rPr>
            </w:pPr>
          </w:p>
        </w:tc>
      </w:tr>
      <w:tr w:rsidR="0007671D" w:rsidRPr="00C34DE9" w14:paraId="52709119" w14:textId="77777777" w:rsidTr="00DB4B58">
        <w:trPr>
          <w:trHeight w:val="376"/>
        </w:trPr>
        <w:tc>
          <w:tcPr>
            <w:tcW w:w="3085" w:type="dxa"/>
            <w:shd w:val="clear" w:color="auto" w:fill="auto"/>
          </w:tcPr>
          <w:p w14:paraId="7B9686ED"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Indicator Name</w:t>
            </w:r>
          </w:p>
        </w:tc>
        <w:tc>
          <w:tcPr>
            <w:tcW w:w="6946" w:type="dxa"/>
            <w:shd w:val="clear" w:color="auto" w:fill="auto"/>
          </w:tcPr>
          <w:p w14:paraId="58C32BB5" w14:textId="77777777" w:rsidR="0007671D" w:rsidRPr="00C34DE9" w:rsidRDefault="0007671D" w:rsidP="5CB4B133">
            <w:pPr>
              <w:spacing w:after="60" w:line="240" w:lineRule="auto"/>
              <w:jc w:val="center"/>
              <w:rPr>
                <w:rFonts w:ascii="Verdana" w:hAnsi="Verdana"/>
                <w:b/>
                <w:bCs/>
                <w:sz w:val="18"/>
                <w:szCs w:val="18"/>
              </w:rPr>
            </w:pPr>
            <w:r w:rsidRPr="5CB4B133">
              <w:rPr>
                <w:rFonts w:ascii="Verdana" w:hAnsi="Verdana"/>
                <w:b/>
                <w:bCs/>
                <w:sz w:val="18"/>
                <w:szCs w:val="18"/>
              </w:rPr>
              <w:t>Agricultural area under organic farming</w:t>
            </w:r>
          </w:p>
        </w:tc>
      </w:tr>
      <w:tr w:rsidR="0007671D" w:rsidRPr="00C34DE9" w14:paraId="3B0052C6" w14:textId="77777777" w:rsidTr="240ABBB4">
        <w:tc>
          <w:tcPr>
            <w:tcW w:w="3085" w:type="dxa"/>
            <w:shd w:val="clear" w:color="auto" w:fill="auto"/>
          </w:tcPr>
          <w:p w14:paraId="43D1E9E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Definition</w:t>
            </w:r>
          </w:p>
        </w:tc>
        <w:tc>
          <w:tcPr>
            <w:tcW w:w="6946" w:type="dxa"/>
            <w:shd w:val="clear" w:color="auto" w:fill="auto"/>
            <w:vAlign w:val="center"/>
          </w:tcPr>
          <w:p w14:paraId="6706B714" w14:textId="0AC829D2" w:rsidR="007C2BEC" w:rsidRDefault="0007671D" w:rsidP="00544872">
            <w:pPr>
              <w:pStyle w:val="RD-Indicatortabletext"/>
              <w:spacing w:after="60"/>
              <w:jc w:val="both"/>
              <w:rPr>
                <w:rFonts w:cs="Times New Roman"/>
                <w:sz w:val="18"/>
                <w:szCs w:val="18"/>
              </w:rPr>
            </w:pPr>
            <w:r w:rsidRPr="00C34DE9">
              <w:rPr>
                <w:rFonts w:cs="Times New Roman"/>
                <w:sz w:val="18"/>
                <w:szCs w:val="18"/>
              </w:rPr>
              <w:t xml:space="preserve">The indicator </w:t>
            </w:r>
            <w:r w:rsidR="008908FF">
              <w:rPr>
                <w:rFonts w:cs="Times New Roman"/>
                <w:sz w:val="18"/>
                <w:szCs w:val="18"/>
              </w:rPr>
              <w:t>has 2</w:t>
            </w:r>
            <w:r w:rsidR="00AE59DD">
              <w:rPr>
                <w:rFonts w:cs="Times New Roman"/>
                <w:sz w:val="18"/>
                <w:szCs w:val="18"/>
              </w:rPr>
              <w:t xml:space="preserve"> </w:t>
            </w:r>
            <w:r w:rsidR="00DD478B">
              <w:rPr>
                <w:rFonts w:cs="Times New Roman"/>
                <w:sz w:val="18"/>
                <w:szCs w:val="18"/>
              </w:rPr>
              <w:t xml:space="preserve">specific </w:t>
            </w:r>
            <w:r w:rsidR="00AE59DD">
              <w:rPr>
                <w:rFonts w:cs="Times New Roman"/>
                <w:sz w:val="18"/>
                <w:szCs w:val="18"/>
              </w:rPr>
              <w:t>indicators</w:t>
            </w:r>
            <w:r w:rsidR="007C2BEC">
              <w:rPr>
                <w:rFonts w:cs="Times New Roman"/>
                <w:sz w:val="18"/>
                <w:szCs w:val="18"/>
              </w:rPr>
              <w:t>:</w:t>
            </w:r>
          </w:p>
          <w:p w14:paraId="07AA5FA6" w14:textId="3BF921D9" w:rsidR="007C2BEC" w:rsidRDefault="0007671D" w:rsidP="5CB4B133">
            <w:pPr>
              <w:pStyle w:val="RD-Indicatortabletext"/>
              <w:numPr>
                <w:ilvl w:val="0"/>
                <w:numId w:val="91"/>
              </w:numPr>
              <w:spacing w:after="60"/>
              <w:jc w:val="both"/>
              <w:rPr>
                <w:rFonts w:cs="Times New Roman"/>
                <w:b/>
                <w:bCs/>
                <w:sz w:val="18"/>
                <w:szCs w:val="18"/>
              </w:rPr>
            </w:pPr>
            <w:r w:rsidRPr="5CB4B133">
              <w:rPr>
                <w:rFonts w:cs="Times New Roman"/>
                <w:b/>
                <w:bCs/>
                <w:sz w:val="18"/>
                <w:szCs w:val="18"/>
              </w:rPr>
              <w:t>number of hectares under organic farming</w:t>
            </w:r>
          </w:p>
          <w:p w14:paraId="2E240D91" w14:textId="5AB5B9D6" w:rsidR="0007671D" w:rsidRPr="00C34DE9" w:rsidRDefault="0007671D" w:rsidP="002D72D6">
            <w:pPr>
              <w:pStyle w:val="RD-Indicatortabletext"/>
              <w:numPr>
                <w:ilvl w:val="0"/>
                <w:numId w:val="91"/>
              </w:numPr>
              <w:spacing w:after="60"/>
              <w:jc w:val="both"/>
              <w:rPr>
                <w:rFonts w:cs="Times New Roman"/>
                <w:b/>
                <w:bCs/>
                <w:sz w:val="18"/>
                <w:szCs w:val="18"/>
              </w:rPr>
            </w:pPr>
            <w:r w:rsidRPr="5CB4B133">
              <w:rPr>
                <w:rFonts w:cs="Times New Roman"/>
                <w:b/>
                <w:bCs/>
                <w:sz w:val="18"/>
                <w:szCs w:val="18"/>
              </w:rPr>
              <w:t>share of area under organic farming in the total u</w:t>
            </w:r>
            <w:r w:rsidR="007D3E04" w:rsidRPr="5CB4B133">
              <w:rPr>
                <w:rFonts w:cs="Times New Roman"/>
                <w:b/>
                <w:bCs/>
                <w:sz w:val="18"/>
                <w:szCs w:val="18"/>
              </w:rPr>
              <w:t>tilised agricultural area (UAA)</w:t>
            </w:r>
          </w:p>
          <w:p w14:paraId="3829383C" w14:textId="77777777" w:rsidR="0007671D" w:rsidRPr="00C34DE9" w:rsidRDefault="0007671D" w:rsidP="00544872">
            <w:pPr>
              <w:pStyle w:val="RD-Indicatortabletext"/>
              <w:spacing w:after="60"/>
              <w:jc w:val="both"/>
              <w:rPr>
                <w:rFonts w:cs="Times New Roman"/>
                <w:b/>
                <w:sz w:val="18"/>
                <w:szCs w:val="18"/>
              </w:rPr>
            </w:pPr>
          </w:p>
          <w:p w14:paraId="205F375B" w14:textId="77777777" w:rsidR="0007671D" w:rsidRPr="00C34DE9" w:rsidRDefault="0007671D" w:rsidP="00990173">
            <w:pPr>
              <w:pStyle w:val="RD-Indicatortabletext"/>
              <w:spacing w:after="60"/>
              <w:jc w:val="both"/>
              <w:rPr>
                <w:rFonts w:cs="Times New Roman"/>
                <w:sz w:val="18"/>
                <w:szCs w:val="18"/>
              </w:rPr>
            </w:pPr>
            <w:r w:rsidRPr="00C34DE9">
              <w:rPr>
                <w:rFonts w:cs="Times New Roman"/>
                <w:sz w:val="18"/>
                <w:szCs w:val="18"/>
              </w:rPr>
              <w:t>The area under organic farming is classified as follows:</w:t>
            </w:r>
          </w:p>
          <w:p w14:paraId="7FDB6490" w14:textId="77777777" w:rsidR="0007671D" w:rsidRPr="00C34DE9" w:rsidRDefault="0007671D" w:rsidP="00A85A9D">
            <w:pPr>
              <w:pStyle w:val="RD-Indicatortabletext"/>
              <w:numPr>
                <w:ilvl w:val="0"/>
                <w:numId w:val="21"/>
              </w:numPr>
              <w:spacing w:after="60"/>
              <w:rPr>
                <w:rFonts w:cs="Times New Roman"/>
                <w:sz w:val="18"/>
                <w:szCs w:val="18"/>
              </w:rPr>
            </w:pPr>
            <w:r w:rsidRPr="00C34DE9">
              <w:rPr>
                <w:rFonts w:cs="Times New Roman"/>
                <w:sz w:val="18"/>
                <w:szCs w:val="18"/>
              </w:rPr>
              <w:t xml:space="preserve">fully converted to organic farming </w:t>
            </w:r>
          </w:p>
          <w:p w14:paraId="1EADE598" w14:textId="77777777" w:rsidR="0007671D" w:rsidRPr="00C34DE9" w:rsidRDefault="0007671D" w:rsidP="00A85A9D">
            <w:pPr>
              <w:pStyle w:val="RD-Indicatortabletext"/>
              <w:numPr>
                <w:ilvl w:val="0"/>
                <w:numId w:val="21"/>
              </w:numPr>
              <w:spacing w:after="60"/>
              <w:rPr>
                <w:rFonts w:cs="Times New Roman"/>
                <w:sz w:val="18"/>
                <w:szCs w:val="18"/>
              </w:rPr>
            </w:pPr>
            <w:r w:rsidRPr="00C34DE9">
              <w:rPr>
                <w:rFonts w:cs="Times New Roman"/>
                <w:sz w:val="18"/>
                <w:szCs w:val="18"/>
              </w:rPr>
              <w:t>under conversion to organic farming</w:t>
            </w:r>
          </w:p>
          <w:p w14:paraId="104DC6AC" w14:textId="77777777" w:rsidR="0007671D" w:rsidRPr="00C34DE9" w:rsidRDefault="0007671D" w:rsidP="00A85A9D">
            <w:pPr>
              <w:pStyle w:val="RD-Indicatortabletext"/>
              <w:numPr>
                <w:ilvl w:val="0"/>
                <w:numId w:val="21"/>
              </w:numPr>
              <w:spacing w:after="60"/>
              <w:jc w:val="both"/>
              <w:rPr>
                <w:rFonts w:cs="Times New Roman"/>
                <w:sz w:val="18"/>
                <w:szCs w:val="18"/>
              </w:rPr>
            </w:pPr>
            <w:r w:rsidRPr="00C34DE9">
              <w:rPr>
                <w:rFonts w:cs="Times New Roman"/>
                <w:sz w:val="18"/>
                <w:szCs w:val="18"/>
              </w:rPr>
              <w:t>total fully converted and under conversion to organic farming</w:t>
            </w:r>
          </w:p>
          <w:p w14:paraId="12CB6EC8" w14:textId="77777777" w:rsidR="0007671D" w:rsidRPr="00C34DE9" w:rsidRDefault="0007671D" w:rsidP="00990173">
            <w:pPr>
              <w:pStyle w:val="RD-Indicatortabletext"/>
              <w:spacing w:after="60"/>
              <w:jc w:val="both"/>
              <w:rPr>
                <w:sz w:val="18"/>
                <w:szCs w:val="18"/>
              </w:rPr>
            </w:pPr>
          </w:p>
          <w:p w14:paraId="2165AE46" w14:textId="2FF8385D" w:rsidR="0007671D" w:rsidRPr="00C34DE9" w:rsidRDefault="0007671D" w:rsidP="00DB4B58">
            <w:pPr>
              <w:pStyle w:val="RD-Indicatortabletext"/>
              <w:spacing w:after="60"/>
              <w:rPr>
                <w:rFonts w:cs="Times New Roman"/>
                <w:sz w:val="18"/>
                <w:szCs w:val="18"/>
              </w:rPr>
            </w:pPr>
            <w:r w:rsidRPr="00C34DE9">
              <w:rPr>
                <w:rFonts w:cs="Times New Roman"/>
                <w:sz w:val="18"/>
                <w:szCs w:val="18"/>
              </w:rPr>
              <w:t>Farming is considered to be organic if it complies with the relevant EU legislation</w:t>
            </w:r>
            <w:r w:rsidR="009A3FE8">
              <w:rPr>
                <w:rFonts w:cs="Times New Roman"/>
                <w:sz w:val="18"/>
                <w:szCs w:val="18"/>
              </w:rPr>
              <w:t xml:space="preserve"> </w:t>
            </w:r>
            <w:r w:rsidR="00E27CCD">
              <w:rPr>
                <w:rFonts w:cs="Times New Roman"/>
                <w:sz w:val="18"/>
                <w:szCs w:val="18"/>
              </w:rPr>
              <w:t>(</w:t>
            </w:r>
            <w:hyperlink r:id="rId154" w:history="1">
              <w:r w:rsidR="00917BF2" w:rsidRPr="00FA12E9">
                <w:rPr>
                  <w:rStyle w:val="Hyperlink"/>
                  <w:rFonts w:cs="Times New Roman"/>
                  <w:sz w:val="18"/>
                  <w:szCs w:val="18"/>
                </w:rPr>
                <w:t>https://eur-lex.europa.eu/legal-content/EN/TXT/PDF/?uri=CELEX:32007R0834&amp;from=EN</w:t>
              </w:r>
            </w:hyperlink>
            <w:r w:rsidR="00E27CCD">
              <w:rPr>
                <w:rFonts w:cs="Times New Roman"/>
                <w:sz w:val="18"/>
                <w:szCs w:val="18"/>
              </w:rPr>
              <w:t>)</w:t>
            </w:r>
            <w:r w:rsidRPr="00C34DE9">
              <w:rPr>
                <w:rFonts w:cs="Times New Roman"/>
                <w:sz w:val="18"/>
                <w:szCs w:val="18"/>
              </w:rPr>
              <w:t>.</w:t>
            </w:r>
          </w:p>
          <w:p w14:paraId="54DB6F12" w14:textId="77777777" w:rsidR="0007671D" w:rsidRPr="00C34DE9" w:rsidRDefault="0007671D" w:rsidP="00990173">
            <w:pPr>
              <w:pStyle w:val="RD-Indicatortabletext"/>
              <w:spacing w:after="60"/>
              <w:jc w:val="both"/>
              <w:rPr>
                <w:rFonts w:cs="Times New Roman"/>
                <w:sz w:val="18"/>
                <w:szCs w:val="18"/>
              </w:rPr>
            </w:pPr>
          </w:p>
          <w:p w14:paraId="0140F5DC" w14:textId="479FD072" w:rsidR="0007671D" w:rsidRPr="00C34DE9" w:rsidRDefault="0007671D" w:rsidP="00990173">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 xml:space="preserve">The area defined refers to the </w:t>
            </w:r>
            <w:r w:rsidR="00161B7C">
              <w:rPr>
                <w:rFonts w:ascii="Verdana" w:hAnsi="Verdana"/>
                <w:sz w:val="18"/>
                <w:szCs w:val="18"/>
              </w:rPr>
              <w:t>UAA</w:t>
            </w:r>
            <w:r w:rsidRPr="00C34DE9">
              <w:rPr>
                <w:rFonts w:ascii="Verdana" w:hAnsi="Verdana"/>
                <w:sz w:val="18"/>
                <w:szCs w:val="18"/>
              </w:rPr>
              <w:t xml:space="preserve"> excluding kitchen garden from </w:t>
            </w:r>
            <w:r w:rsidR="00161B7C">
              <w:rPr>
                <w:rFonts w:ascii="Verdana" w:hAnsi="Verdana"/>
                <w:sz w:val="18"/>
                <w:szCs w:val="18"/>
              </w:rPr>
              <w:t xml:space="preserve">Eurostat’s statistical table </w:t>
            </w:r>
            <w:r w:rsidRPr="00C34DE9">
              <w:rPr>
                <w:rFonts w:ascii="Verdana" w:hAnsi="Verdana"/>
                <w:sz w:val="18"/>
                <w:szCs w:val="18"/>
              </w:rPr>
              <w:t>"Organic crop area by agricultural production methods and crops"</w:t>
            </w:r>
            <w:r w:rsidR="00E27CCD">
              <w:rPr>
                <w:rFonts w:ascii="Verdana" w:hAnsi="Verdana"/>
                <w:sz w:val="18"/>
                <w:szCs w:val="18"/>
              </w:rPr>
              <w:t xml:space="preserve"> [</w:t>
            </w:r>
            <w:hyperlink r:id="rId155" w:history="1">
              <w:r w:rsidR="00E27CCD" w:rsidRPr="00DC4EA8">
                <w:rPr>
                  <w:rStyle w:val="Hyperlink"/>
                </w:rPr>
                <w:t>org_cropar</w:t>
              </w:r>
            </w:hyperlink>
            <w:r w:rsidR="00E27CCD">
              <w:rPr>
                <w:rStyle w:val="Hyperlink"/>
              </w:rPr>
              <w:t>]</w:t>
            </w:r>
            <w:r w:rsidRPr="00C34DE9">
              <w:rPr>
                <w:rFonts w:ascii="Verdana" w:hAnsi="Verdana"/>
                <w:sz w:val="18"/>
                <w:szCs w:val="18"/>
              </w:rPr>
              <w:t>.</w:t>
            </w:r>
          </w:p>
          <w:p w14:paraId="3424B71D" w14:textId="77777777" w:rsidR="0007671D" w:rsidRPr="00C34DE9" w:rsidRDefault="0007671D" w:rsidP="00990173">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It might not be strictly comparable with the definition of UAA (only area of main crops) in the crop production statistics.</w:t>
            </w:r>
          </w:p>
          <w:p w14:paraId="7F91A43B" w14:textId="77777777" w:rsidR="0007671D" w:rsidRPr="00C34DE9" w:rsidRDefault="0007671D" w:rsidP="00544872">
            <w:pPr>
              <w:autoSpaceDE w:val="0"/>
              <w:autoSpaceDN w:val="0"/>
              <w:adjustRightInd w:val="0"/>
              <w:spacing w:after="60" w:line="240" w:lineRule="auto"/>
              <w:jc w:val="both"/>
              <w:rPr>
                <w:rFonts w:ascii="Verdana" w:hAnsi="Verdana"/>
                <w:sz w:val="18"/>
                <w:szCs w:val="18"/>
              </w:rPr>
            </w:pPr>
          </w:p>
          <w:p w14:paraId="115668D4" w14:textId="77777777" w:rsidR="0007671D" w:rsidRPr="00C34DE9" w:rsidRDefault="0007671D" w:rsidP="00B750DA">
            <w:pPr>
              <w:autoSpaceDE w:val="0"/>
              <w:autoSpaceDN w:val="0"/>
              <w:adjustRightInd w:val="0"/>
              <w:spacing w:after="60" w:line="240" w:lineRule="auto"/>
              <w:jc w:val="both"/>
              <w:rPr>
                <w:rFonts w:ascii="Verdana" w:hAnsi="Verdana"/>
                <w:sz w:val="18"/>
                <w:szCs w:val="18"/>
              </w:rPr>
            </w:pPr>
            <w:r w:rsidRPr="00C34DE9">
              <w:rPr>
                <w:rFonts w:ascii="Verdana" w:hAnsi="Verdana"/>
                <w:sz w:val="18"/>
                <w:szCs w:val="18"/>
              </w:rPr>
              <w:t>Data on the area under organic farming at regional level come from the FSS</w:t>
            </w:r>
            <w:r w:rsidR="00161B7C">
              <w:rPr>
                <w:rFonts w:ascii="Verdana" w:hAnsi="Verdana"/>
                <w:sz w:val="18"/>
                <w:szCs w:val="18"/>
              </w:rPr>
              <w:t>/IFS</w:t>
            </w:r>
            <w:r w:rsidRPr="00C34DE9">
              <w:rPr>
                <w:rFonts w:ascii="Verdana" w:hAnsi="Verdana"/>
                <w:sz w:val="18"/>
                <w:szCs w:val="18"/>
              </w:rPr>
              <w:t>.</w:t>
            </w:r>
          </w:p>
        </w:tc>
      </w:tr>
      <w:tr w:rsidR="0007671D" w:rsidRPr="00C34DE9" w14:paraId="5588ED99" w14:textId="77777777" w:rsidTr="240ABBB4">
        <w:tc>
          <w:tcPr>
            <w:tcW w:w="3085" w:type="dxa"/>
            <w:shd w:val="clear" w:color="auto" w:fill="auto"/>
          </w:tcPr>
          <w:p w14:paraId="167453E5"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Unit of measurement</w:t>
            </w:r>
          </w:p>
        </w:tc>
        <w:tc>
          <w:tcPr>
            <w:tcW w:w="6946" w:type="dxa"/>
            <w:shd w:val="clear" w:color="auto" w:fill="auto"/>
          </w:tcPr>
          <w:p w14:paraId="449B9C0E" w14:textId="6F8C0120" w:rsidR="00E27CCD" w:rsidRDefault="008908FF" w:rsidP="00672958">
            <w:pPr>
              <w:spacing w:after="60" w:line="240" w:lineRule="auto"/>
              <w:jc w:val="both"/>
              <w:rPr>
                <w:rFonts w:ascii="Verdana" w:hAnsi="Verdana"/>
                <w:sz w:val="18"/>
                <w:szCs w:val="18"/>
              </w:rPr>
            </w:pPr>
            <w:r>
              <w:rPr>
                <w:rFonts w:ascii="Verdana" w:hAnsi="Verdana"/>
                <w:sz w:val="18"/>
                <w:szCs w:val="18"/>
              </w:rPr>
              <w:t xml:space="preserve">1: </w:t>
            </w:r>
            <w:r w:rsidR="00D66A04">
              <w:rPr>
                <w:rFonts w:ascii="Verdana" w:hAnsi="Verdana"/>
                <w:sz w:val="18"/>
                <w:szCs w:val="18"/>
              </w:rPr>
              <w:t>number of h</w:t>
            </w:r>
            <w:r w:rsidR="0007671D" w:rsidRPr="00C34DE9">
              <w:rPr>
                <w:rFonts w:ascii="Verdana" w:hAnsi="Verdana"/>
                <w:sz w:val="18"/>
                <w:szCs w:val="18"/>
              </w:rPr>
              <w:t>a</w:t>
            </w:r>
            <w:r w:rsidR="00672958" w:rsidRPr="00C34DE9" w:rsidDel="00672958">
              <w:rPr>
                <w:rFonts w:ascii="Verdana" w:hAnsi="Verdana"/>
                <w:sz w:val="18"/>
                <w:szCs w:val="18"/>
              </w:rPr>
              <w:t xml:space="preserve"> </w:t>
            </w:r>
          </w:p>
          <w:p w14:paraId="64275F89" w14:textId="26246AAA" w:rsidR="0007671D" w:rsidRPr="00C34DE9" w:rsidRDefault="008908FF" w:rsidP="00672958">
            <w:pPr>
              <w:spacing w:after="60" w:line="240" w:lineRule="auto"/>
              <w:jc w:val="both"/>
              <w:rPr>
                <w:rFonts w:ascii="Verdana" w:hAnsi="Verdana"/>
                <w:sz w:val="18"/>
                <w:szCs w:val="18"/>
              </w:rPr>
            </w:pPr>
            <w:r>
              <w:rPr>
                <w:rFonts w:ascii="Verdana" w:hAnsi="Verdana"/>
                <w:sz w:val="18"/>
                <w:szCs w:val="18"/>
              </w:rPr>
              <w:t xml:space="preserve">2: </w:t>
            </w:r>
            <w:r w:rsidR="00D66A04">
              <w:rPr>
                <w:rFonts w:ascii="Verdana" w:hAnsi="Verdana"/>
                <w:sz w:val="18"/>
                <w:szCs w:val="18"/>
              </w:rPr>
              <w:t>%</w:t>
            </w:r>
          </w:p>
        </w:tc>
      </w:tr>
      <w:tr w:rsidR="0007671D" w:rsidRPr="00C34DE9" w14:paraId="04A9526B" w14:textId="77777777" w:rsidTr="240ABBB4">
        <w:tc>
          <w:tcPr>
            <w:tcW w:w="3085" w:type="dxa"/>
            <w:shd w:val="clear" w:color="auto" w:fill="auto"/>
          </w:tcPr>
          <w:p w14:paraId="010FF6D4"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Data source</w:t>
            </w:r>
          </w:p>
        </w:tc>
        <w:tc>
          <w:tcPr>
            <w:tcW w:w="6946" w:type="dxa"/>
            <w:shd w:val="clear" w:color="auto" w:fill="auto"/>
            <w:vAlign w:val="center"/>
          </w:tcPr>
          <w:p w14:paraId="5C7CDA3D" w14:textId="77777777" w:rsidR="0007671D" w:rsidRDefault="0007671D" w:rsidP="00990173">
            <w:pPr>
              <w:pStyle w:val="RD-Indicatortabletext"/>
              <w:spacing w:after="60"/>
              <w:rPr>
                <w:rFonts w:cs="Times New Roman"/>
                <w:sz w:val="18"/>
                <w:szCs w:val="18"/>
              </w:rPr>
            </w:pPr>
            <w:r w:rsidRPr="00C34DE9">
              <w:rPr>
                <w:rFonts w:cs="Times New Roman"/>
                <w:sz w:val="18"/>
                <w:szCs w:val="18"/>
              </w:rPr>
              <w:t xml:space="preserve">Eurostat – Organic farming </w:t>
            </w:r>
            <w:r w:rsidR="007350B0">
              <w:rPr>
                <w:rFonts w:cs="Times New Roman"/>
                <w:sz w:val="18"/>
                <w:szCs w:val="18"/>
              </w:rPr>
              <w:t>annual data collection</w:t>
            </w:r>
          </w:p>
          <w:p w14:paraId="3CCD2AFB" w14:textId="77777777" w:rsidR="007350B0" w:rsidRPr="00ED2A3A" w:rsidRDefault="007350B0" w:rsidP="007350B0">
            <w:pPr>
              <w:pStyle w:val="RD-Indicatortabletext"/>
              <w:spacing w:after="60"/>
              <w:rPr>
                <w:rFonts w:cs="Times New Roman"/>
                <w:sz w:val="18"/>
                <w:szCs w:val="18"/>
              </w:rPr>
            </w:pPr>
            <w:r>
              <w:rPr>
                <w:rFonts w:cs="Times New Roman"/>
                <w:sz w:val="18"/>
                <w:szCs w:val="18"/>
              </w:rPr>
              <w:t>Eurostat – Farm Structure Survey (FSS)/Integrated Farm Statistics (IFS)</w:t>
            </w:r>
          </w:p>
          <w:p w14:paraId="25F6B5CD" w14:textId="366BEBB6" w:rsidR="0007671D" w:rsidRPr="00C34DE9" w:rsidRDefault="0007671D" w:rsidP="009162AA">
            <w:pPr>
              <w:pStyle w:val="RD-Indicatortabletext"/>
              <w:spacing w:after="60"/>
              <w:rPr>
                <w:rFonts w:cs="Times New Roman"/>
                <w:sz w:val="18"/>
                <w:szCs w:val="18"/>
              </w:rPr>
            </w:pPr>
            <w:r w:rsidRPr="00C34DE9">
              <w:rPr>
                <w:rFonts w:cs="Times New Roman"/>
                <w:sz w:val="18"/>
                <w:szCs w:val="18"/>
              </w:rPr>
              <w:t>Eurostat – Crop production</w:t>
            </w:r>
            <w:r w:rsidR="00E27CCD">
              <w:rPr>
                <w:rFonts w:cs="Times New Roman"/>
                <w:sz w:val="18"/>
                <w:szCs w:val="18"/>
              </w:rPr>
              <w:t xml:space="preserve"> statistics</w:t>
            </w:r>
          </w:p>
        </w:tc>
      </w:tr>
      <w:tr w:rsidR="0007671D" w:rsidRPr="00C34DE9" w14:paraId="766E6F42" w14:textId="77777777" w:rsidTr="240ABBB4">
        <w:tc>
          <w:tcPr>
            <w:tcW w:w="3085" w:type="dxa"/>
            <w:shd w:val="clear" w:color="auto" w:fill="auto"/>
          </w:tcPr>
          <w:p w14:paraId="6ECB7749"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6946" w:type="dxa"/>
            <w:shd w:val="clear" w:color="auto" w:fill="auto"/>
          </w:tcPr>
          <w:p w14:paraId="79EE99CD" w14:textId="46BA8E46" w:rsidR="00672958" w:rsidRPr="00337207" w:rsidRDefault="00337207" w:rsidP="460506C2">
            <w:pPr>
              <w:spacing w:after="60" w:line="240" w:lineRule="auto"/>
              <w:jc w:val="both"/>
              <w:rPr>
                <w:rFonts w:ascii="Verdana" w:hAnsi="Verdana"/>
                <w:sz w:val="18"/>
                <w:szCs w:val="18"/>
              </w:rPr>
            </w:pPr>
            <w:r>
              <w:rPr>
                <w:rFonts w:ascii="Verdana" w:hAnsi="Verdana"/>
                <w:sz w:val="18"/>
                <w:szCs w:val="18"/>
              </w:rPr>
              <w:t>For national data:</w:t>
            </w:r>
            <w:r w:rsidR="000F479B">
              <w:rPr>
                <w:rFonts w:ascii="Verdana" w:hAnsi="Verdana"/>
                <w:sz w:val="18"/>
                <w:szCs w:val="18"/>
              </w:rPr>
              <w:t xml:space="preserve"> </w:t>
            </w:r>
            <w:r>
              <w:rPr>
                <w:rFonts w:ascii="Verdana" w:hAnsi="Verdana"/>
                <w:sz w:val="18"/>
                <w:szCs w:val="18"/>
              </w:rPr>
              <w:t xml:space="preserve">Area under organic farming </w:t>
            </w:r>
            <w:r w:rsidR="00672958">
              <w:rPr>
                <w:rFonts w:ascii="Arial" w:hAnsi="Arial" w:cs="Arial"/>
                <w:b/>
                <w:bCs/>
                <w:color w:val="000000"/>
              </w:rPr>
              <w:t xml:space="preserve"> </w:t>
            </w:r>
            <w:r w:rsidRPr="00337207">
              <w:rPr>
                <w:rFonts w:ascii="Verdana" w:hAnsi="Verdana"/>
                <w:sz w:val="18"/>
                <w:szCs w:val="18"/>
              </w:rPr>
              <w:t>table</w:t>
            </w:r>
            <w:r>
              <w:rPr>
                <w:rFonts w:ascii="Arial" w:hAnsi="Arial" w:cs="Arial"/>
                <w:b/>
                <w:bCs/>
                <w:color w:val="000000"/>
              </w:rPr>
              <w:t xml:space="preserve"> </w:t>
            </w:r>
            <w:r w:rsidR="00672958" w:rsidRPr="00672958">
              <w:rPr>
                <w:rStyle w:val="Hyperlink"/>
                <w:rFonts w:ascii="Verdana" w:hAnsi="Verdana"/>
                <w:sz w:val="18"/>
                <w:szCs w:val="18"/>
              </w:rPr>
              <w:t>[</w:t>
            </w:r>
            <w:hyperlink r:id="rId156" w:history="1">
              <w:r w:rsidR="00672958" w:rsidRPr="00672958">
                <w:rPr>
                  <w:rStyle w:val="Hyperlink"/>
                  <w:rFonts w:ascii="Verdana" w:hAnsi="Verdana"/>
                  <w:sz w:val="18"/>
                  <w:szCs w:val="18"/>
                </w:rPr>
                <w:t>org_cropar</w:t>
              </w:r>
            </w:hyperlink>
            <w:r w:rsidR="00672958" w:rsidRPr="00672958">
              <w:rPr>
                <w:rStyle w:val="Hyperlink"/>
                <w:rFonts w:ascii="Verdana" w:hAnsi="Verdana"/>
                <w:sz w:val="18"/>
                <w:szCs w:val="18"/>
              </w:rPr>
              <w:t>]</w:t>
            </w:r>
            <w:r>
              <w:rPr>
                <w:rStyle w:val="Hyperlink"/>
                <w:rFonts w:ascii="Verdana" w:hAnsi="Verdana"/>
                <w:sz w:val="18"/>
                <w:szCs w:val="18"/>
              </w:rPr>
              <w:t xml:space="preserve"> </w:t>
            </w:r>
            <w:r w:rsidRPr="00337207">
              <w:rPr>
                <w:rFonts w:ascii="Verdana" w:hAnsi="Verdana"/>
                <w:sz w:val="18"/>
                <w:szCs w:val="18"/>
              </w:rPr>
              <w:t>from 2012 onwards</w:t>
            </w:r>
          </w:p>
          <w:p w14:paraId="01281D16" w14:textId="252960F9" w:rsidR="00337207" w:rsidRDefault="00337207" w:rsidP="007350B0">
            <w:pPr>
              <w:spacing w:after="60" w:line="240" w:lineRule="auto"/>
              <w:jc w:val="both"/>
              <w:rPr>
                <w:rFonts w:ascii="Verdana" w:hAnsi="Verdana"/>
                <w:sz w:val="18"/>
                <w:szCs w:val="18"/>
              </w:rPr>
            </w:pPr>
            <w:r>
              <w:rPr>
                <w:rFonts w:ascii="Verdana" w:hAnsi="Verdana"/>
                <w:sz w:val="18"/>
                <w:szCs w:val="18"/>
              </w:rPr>
              <w:t xml:space="preserve">For regional data: </w:t>
            </w:r>
            <w:r w:rsidR="000211DF">
              <w:rPr>
                <w:rFonts w:ascii="Verdana" w:hAnsi="Verdana"/>
                <w:sz w:val="18"/>
                <w:szCs w:val="18"/>
              </w:rPr>
              <w:t>Table [</w:t>
            </w:r>
            <w:hyperlink r:id="rId157" w:history="1">
              <w:r w:rsidR="00006DA8">
                <w:rPr>
                  <w:rStyle w:val="Hyperlink"/>
                  <w:rFonts w:ascii="Verdana" w:hAnsi="Verdana"/>
                  <w:sz w:val="18"/>
                  <w:szCs w:val="18"/>
                </w:rPr>
                <w:t>e</w:t>
              </w:r>
              <w:r w:rsidR="000211DF" w:rsidRPr="000211DF">
                <w:rPr>
                  <w:rStyle w:val="Hyperlink"/>
                  <w:rFonts w:ascii="Verdana" w:hAnsi="Verdana"/>
                  <w:sz w:val="18"/>
                  <w:szCs w:val="18"/>
                </w:rPr>
                <w:t>f_lus_main</w:t>
              </w:r>
            </w:hyperlink>
            <w:r w:rsidR="000211DF" w:rsidRPr="000211DF">
              <w:rPr>
                <w:rFonts w:ascii="Verdana" w:hAnsi="Verdana"/>
                <w:sz w:val="18"/>
                <w:szCs w:val="18"/>
              </w:rPr>
              <w:t xml:space="preserve">] </w:t>
            </w:r>
            <w:r w:rsidR="000211DF" w:rsidRPr="000211DF">
              <w:t>contains data from 2013 onwards</w:t>
            </w:r>
            <w:r w:rsidR="009F0D97" w:rsidRPr="240ABBB4">
              <w:t>.</w:t>
            </w:r>
          </w:p>
          <w:p w14:paraId="7AF07967" w14:textId="77777777" w:rsidR="0007671D" w:rsidRPr="00C34DE9" w:rsidRDefault="007350B0" w:rsidP="00544018">
            <w:pPr>
              <w:spacing w:after="60" w:line="240" w:lineRule="auto"/>
              <w:jc w:val="both"/>
              <w:rPr>
                <w:rFonts w:ascii="Verdana" w:hAnsi="Verdana"/>
                <w:sz w:val="18"/>
                <w:szCs w:val="18"/>
              </w:rPr>
            </w:pPr>
            <w:r>
              <w:rPr>
                <w:rFonts w:ascii="Verdana" w:eastAsia="Times New Roman" w:hAnsi="Verdana"/>
                <w:sz w:val="18"/>
                <w:szCs w:val="18"/>
              </w:rPr>
              <w:t>Data from FSS is available on request to Eurostat.</w:t>
            </w:r>
          </w:p>
        </w:tc>
      </w:tr>
      <w:tr w:rsidR="0007671D" w:rsidRPr="00693B7B" w14:paraId="60F7E46C" w14:textId="77777777" w:rsidTr="240ABBB4">
        <w:tc>
          <w:tcPr>
            <w:tcW w:w="3085" w:type="dxa"/>
            <w:shd w:val="clear" w:color="auto" w:fill="auto"/>
          </w:tcPr>
          <w:p w14:paraId="05AF32B0"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Data collection / dissemination level</w:t>
            </w:r>
          </w:p>
        </w:tc>
        <w:tc>
          <w:tcPr>
            <w:tcW w:w="6946" w:type="dxa"/>
            <w:shd w:val="clear" w:color="auto" w:fill="auto"/>
          </w:tcPr>
          <w:p w14:paraId="2D383938" w14:textId="77777777" w:rsidR="0007671D" w:rsidRPr="00F11697" w:rsidRDefault="0007671D" w:rsidP="009162AA">
            <w:pPr>
              <w:spacing w:after="60" w:line="240" w:lineRule="auto"/>
              <w:jc w:val="both"/>
              <w:rPr>
                <w:rFonts w:ascii="Verdana" w:hAnsi="Verdana"/>
                <w:sz w:val="18"/>
                <w:szCs w:val="18"/>
                <w:lang w:val="fr-BE"/>
              </w:rPr>
            </w:pPr>
            <w:r w:rsidRPr="00F11697">
              <w:rPr>
                <w:rFonts w:ascii="Verdana" w:hAnsi="Verdana"/>
                <w:sz w:val="18"/>
                <w:szCs w:val="18"/>
                <w:lang w:val="fr-BE"/>
              </w:rPr>
              <w:t xml:space="preserve">EU, </w:t>
            </w:r>
            <w:r w:rsidR="00A6594A">
              <w:rPr>
                <w:rFonts w:ascii="Verdana" w:hAnsi="Verdana"/>
                <w:sz w:val="18"/>
                <w:szCs w:val="18"/>
                <w:lang w:val="fr-BE"/>
              </w:rPr>
              <w:t>N</w:t>
            </w:r>
            <w:r w:rsidRPr="00F11697">
              <w:rPr>
                <w:rFonts w:ascii="Verdana" w:hAnsi="Verdana"/>
                <w:sz w:val="18"/>
                <w:szCs w:val="18"/>
                <w:lang w:val="fr-BE"/>
              </w:rPr>
              <w:t>ational (NUTS 0)</w:t>
            </w:r>
            <w:r w:rsidR="00774A97">
              <w:rPr>
                <w:rFonts w:ascii="Verdana" w:hAnsi="Verdana"/>
                <w:sz w:val="18"/>
                <w:szCs w:val="18"/>
                <w:lang w:val="fr-BE"/>
              </w:rPr>
              <w:t xml:space="preserve">, </w:t>
            </w:r>
            <w:r w:rsidR="00A6594A" w:rsidRPr="00A44DB9">
              <w:rPr>
                <w:rFonts w:ascii="Verdana" w:hAnsi="Verdana"/>
                <w:sz w:val="18"/>
                <w:szCs w:val="18"/>
                <w:lang w:val="fr-BE"/>
              </w:rPr>
              <w:t>R</w:t>
            </w:r>
            <w:r w:rsidR="007350B0" w:rsidRPr="00A44DB9">
              <w:rPr>
                <w:rFonts w:ascii="Verdana" w:hAnsi="Verdana"/>
                <w:sz w:val="18"/>
                <w:szCs w:val="18"/>
                <w:lang w:val="fr-BE"/>
              </w:rPr>
              <w:t>egional</w:t>
            </w:r>
            <w:r w:rsidR="007350B0" w:rsidRPr="00F11697">
              <w:rPr>
                <w:rFonts w:ascii="Verdana" w:hAnsi="Verdana"/>
                <w:sz w:val="18"/>
                <w:szCs w:val="18"/>
                <w:lang w:val="fr-BE"/>
              </w:rPr>
              <w:t xml:space="preserve"> (NUTS 2)</w:t>
            </w:r>
          </w:p>
        </w:tc>
      </w:tr>
      <w:tr w:rsidR="0007671D" w:rsidRPr="00C34DE9" w14:paraId="59340560" w14:textId="77777777" w:rsidTr="240ABBB4">
        <w:tc>
          <w:tcPr>
            <w:tcW w:w="3085" w:type="dxa"/>
            <w:shd w:val="clear" w:color="auto" w:fill="auto"/>
          </w:tcPr>
          <w:p w14:paraId="2102DD3A"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Frequency</w:t>
            </w:r>
          </w:p>
        </w:tc>
        <w:tc>
          <w:tcPr>
            <w:tcW w:w="6946" w:type="dxa"/>
            <w:shd w:val="clear" w:color="auto" w:fill="auto"/>
          </w:tcPr>
          <w:p w14:paraId="05EDB352" w14:textId="77777777" w:rsidR="0007671D" w:rsidRDefault="007350B0" w:rsidP="00544872">
            <w:pPr>
              <w:spacing w:before="30" w:after="60"/>
              <w:jc w:val="both"/>
              <w:rPr>
                <w:rFonts w:ascii="Verdana" w:eastAsia="Times New Roman" w:hAnsi="Verdana"/>
                <w:sz w:val="18"/>
                <w:szCs w:val="18"/>
              </w:rPr>
            </w:pPr>
            <w:r>
              <w:rPr>
                <w:rFonts w:ascii="Verdana" w:eastAsia="Times New Roman" w:hAnsi="Verdana"/>
                <w:sz w:val="18"/>
                <w:szCs w:val="18"/>
              </w:rPr>
              <w:t>A</w:t>
            </w:r>
            <w:r w:rsidR="0007671D" w:rsidRPr="00C34DE9">
              <w:rPr>
                <w:rFonts w:ascii="Verdana" w:eastAsia="Times New Roman" w:hAnsi="Verdana"/>
                <w:sz w:val="18"/>
                <w:szCs w:val="18"/>
              </w:rPr>
              <w:t>nnual</w:t>
            </w:r>
            <w:r>
              <w:rPr>
                <w:rFonts w:ascii="Verdana" w:eastAsia="Times New Roman" w:hAnsi="Verdana"/>
                <w:sz w:val="18"/>
                <w:szCs w:val="18"/>
              </w:rPr>
              <w:t xml:space="preserve"> for the area under organic farming.</w:t>
            </w:r>
          </w:p>
          <w:p w14:paraId="0B04FB94" w14:textId="77777777" w:rsidR="007350B0" w:rsidRPr="00C34DE9" w:rsidRDefault="007350B0" w:rsidP="00544872">
            <w:pPr>
              <w:spacing w:before="30" w:after="60"/>
              <w:jc w:val="both"/>
              <w:rPr>
                <w:rFonts w:ascii="Verdana" w:eastAsia="Times New Roman" w:hAnsi="Verdana"/>
                <w:sz w:val="18"/>
                <w:szCs w:val="18"/>
              </w:rPr>
            </w:pPr>
            <w:r w:rsidRPr="00ED2A3A">
              <w:rPr>
                <w:rFonts w:ascii="Verdana" w:eastAsia="Times New Roman" w:hAnsi="Verdana"/>
                <w:sz w:val="18"/>
                <w:szCs w:val="18"/>
              </w:rPr>
              <w:t>FSS</w:t>
            </w:r>
            <w:r>
              <w:rPr>
                <w:rFonts w:ascii="Verdana" w:eastAsia="Times New Roman" w:hAnsi="Verdana"/>
                <w:sz w:val="18"/>
                <w:szCs w:val="18"/>
              </w:rPr>
              <w:t>/IFS</w:t>
            </w:r>
            <w:r w:rsidRPr="00ED2A3A">
              <w:rPr>
                <w:rFonts w:ascii="Verdana" w:eastAsia="Times New Roman" w:hAnsi="Verdana"/>
                <w:sz w:val="18"/>
                <w:szCs w:val="18"/>
              </w:rPr>
              <w:t>: full census every 10 years, intermediate surveys 2 times in-between.</w:t>
            </w:r>
          </w:p>
        </w:tc>
      </w:tr>
      <w:tr w:rsidR="0007671D" w:rsidRPr="00C34DE9" w14:paraId="1C0486D0" w14:textId="77777777" w:rsidTr="240ABBB4">
        <w:tc>
          <w:tcPr>
            <w:tcW w:w="3085" w:type="dxa"/>
            <w:shd w:val="clear" w:color="auto" w:fill="auto"/>
          </w:tcPr>
          <w:p w14:paraId="3BBF1EF3" w14:textId="77777777" w:rsidR="0007671D" w:rsidRPr="00C34DE9" w:rsidRDefault="0087328F" w:rsidP="5CB4B133">
            <w:pPr>
              <w:spacing w:after="60" w:line="240" w:lineRule="auto"/>
              <w:rPr>
                <w:rFonts w:ascii="Verdana" w:hAnsi="Verdana"/>
                <w:b/>
                <w:bCs/>
                <w:sz w:val="18"/>
                <w:szCs w:val="18"/>
              </w:rPr>
            </w:pPr>
            <w:r w:rsidRPr="5CB4B133">
              <w:rPr>
                <w:rFonts w:ascii="Verdana" w:hAnsi="Verdana"/>
                <w:b/>
                <w:bCs/>
                <w:sz w:val="18"/>
                <w:szCs w:val="18"/>
              </w:rPr>
              <w:t>Timeliness</w:t>
            </w:r>
          </w:p>
        </w:tc>
        <w:tc>
          <w:tcPr>
            <w:tcW w:w="6946" w:type="dxa"/>
            <w:shd w:val="clear" w:color="auto" w:fill="auto"/>
          </w:tcPr>
          <w:p w14:paraId="2E131969" w14:textId="77777777" w:rsidR="0007671D" w:rsidRDefault="0007671D" w:rsidP="00544872">
            <w:pPr>
              <w:spacing w:after="60" w:line="240" w:lineRule="auto"/>
              <w:jc w:val="both"/>
              <w:rPr>
                <w:rFonts w:ascii="Verdana" w:hAnsi="Verdana"/>
                <w:sz w:val="18"/>
                <w:szCs w:val="18"/>
              </w:rPr>
            </w:pPr>
            <w:r w:rsidRPr="00C34DE9">
              <w:rPr>
                <w:rFonts w:ascii="Verdana" w:hAnsi="Verdana"/>
                <w:sz w:val="18"/>
                <w:szCs w:val="18"/>
              </w:rPr>
              <w:t>1 year</w:t>
            </w:r>
          </w:p>
          <w:p w14:paraId="2DC28F69" w14:textId="77777777" w:rsidR="007350B0" w:rsidRPr="00C34DE9" w:rsidRDefault="007350B0" w:rsidP="00544872">
            <w:pPr>
              <w:spacing w:after="60" w:line="240" w:lineRule="auto"/>
              <w:jc w:val="both"/>
              <w:rPr>
                <w:rFonts w:ascii="Verdana" w:hAnsi="Verdana"/>
                <w:sz w:val="18"/>
                <w:szCs w:val="18"/>
              </w:rPr>
            </w:pPr>
            <w:r>
              <w:rPr>
                <w:rFonts w:ascii="Verdana" w:hAnsi="Verdana"/>
                <w:sz w:val="18"/>
                <w:szCs w:val="18"/>
              </w:rPr>
              <w:t>FSS/IFS: 2 years</w:t>
            </w:r>
          </w:p>
        </w:tc>
      </w:tr>
      <w:tr w:rsidR="0007671D" w:rsidRPr="00C34DE9" w14:paraId="05DA4205" w14:textId="77777777" w:rsidTr="240ABBB4">
        <w:tc>
          <w:tcPr>
            <w:tcW w:w="3085" w:type="dxa"/>
            <w:shd w:val="clear" w:color="auto" w:fill="auto"/>
          </w:tcPr>
          <w:p w14:paraId="74B4A0F7" w14:textId="77777777" w:rsidR="0007671D" w:rsidRPr="00C34DE9" w:rsidRDefault="0007671D" w:rsidP="5CB4B133">
            <w:pPr>
              <w:spacing w:after="60" w:line="240" w:lineRule="auto"/>
              <w:rPr>
                <w:rFonts w:ascii="Verdana" w:hAnsi="Verdana"/>
                <w:b/>
                <w:bCs/>
                <w:sz w:val="18"/>
                <w:szCs w:val="18"/>
              </w:rPr>
            </w:pPr>
            <w:r w:rsidRPr="5CB4B133">
              <w:rPr>
                <w:rFonts w:ascii="Verdana" w:hAnsi="Verdana"/>
                <w:b/>
                <w:bCs/>
                <w:sz w:val="18"/>
                <w:szCs w:val="18"/>
              </w:rPr>
              <w:t>Comments/caveats</w:t>
            </w:r>
          </w:p>
        </w:tc>
        <w:tc>
          <w:tcPr>
            <w:tcW w:w="6946" w:type="dxa"/>
            <w:shd w:val="clear" w:color="auto" w:fill="auto"/>
          </w:tcPr>
          <w:p w14:paraId="4557B2A4" w14:textId="3ED90D3C" w:rsidR="0007671D" w:rsidRDefault="0007671D" w:rsidP="00544872">
            <w:pPr>
              <w:spacing w:after="60"/>
              <w:jc w:val="both"/>
              <w:rPr>
                <w:rFonts w:ascii="Verdana" w:hAnsi="Verdana"/>
                <w:sz w:val="18"/>
                <w:szCs w:val="18"/>
              </w:rPr>
            </w:pPr>
            <w:r w:rsidRPr="00C34DE9">
              <w:rPr>
                <w:rFonts w:ascii="Verdana" w:hAnsi="Verdana"/>
                <w:sz w:val="18"/>
                <w:szCs w:val="18"/>
              </w:rPr>
              <w:t xml:space="preserve">There are differences between national and regional data because the former is collected </w:t>
            </w:r>
            <w:r w:rsidR="007350B0">
              <w:rPr>
                <w:rFonts w:ascii="Verdana" w:hAnsi="Verdana"/>
                <w:sz w:val="18"/>
                <w:szCs w:val="18"/>
              </w:rPr>
              <w:t xml:space="preserve">annually mainly based on administrative data, </w:t>
            </w:r>
            <w:r w:rsidRPr="00C34DE9">
              <w:rPr>
                <w:rFonts w:ascii="Verdana" w:hAnsi="Verdana"/>
                <w:sz w:val="18"/>
                <w:szCs w:val="18"/>
              </w:rPr>
              <w:t>and the latter is based on the Farm structure survey (FSS).</w:t>
            </w:r>
            <w:r w:rsidR="007350B0">
              <w:rPr>
                <w:rFonts w:ascii="Verdana" w:hAnsi="Verdana"/>
                <w:sz w:val="18"/>
                <w:szCs w:val="18"/>
              </w:rPr>
              <w:t xml:space="preserve"> It means that the samples and data collection methods are different.</w:t>
            </w:r>
          </w:p>
          <w:p w14:paraId="506D22BB" w14:textId="77777777" w:rsidR="00D34F97" w:rsidRPr="00FA7243" w:rsidRDefault="00D34F97" w:rsidP="5CB4B133">
            <w:pPr>
              <w:spacing w:after="60"/>
              <w:jc w:val="both"/>
              <w:rPr>
                <w:rFonts w:ascii="Verdana" w:hAnsi="Verdana"/>
                <w:b/>
                <w:bCs/>
                <w:sz w:val="18"/>
                <w:szCs w:val="18"/>
              </w:rPr>
            </w:pPr>
            <w:r w:rsidRPr="5CB4B133">
              <w:rPr>
                <w:rFonts w:ascii="Verdana" w:hAnsi="Verdana"/>
                <w:b/>
                <w:bCs/>
                <w:sz w:val="18"/>
                <w:szCs w:val="18"/>
              </w:rPr>
              <w:t>This indicator is also used for the EU reporting on UN Sustainable Development Goals.</w:t>
            </w:r>
          </w:p>
        </w:tc>
      </w:tr>
    </w:tbl>
    <w:p w14:paraId="65CE974E" w14:textId="45817B3E" w:rsidR="00940A4E" w:rsidRPr="00C34DE9" w:rsidRDefault="00940A4E" w:rsidP="00BD6BF6">
      <w:pPr>
        <w:spacing w:after="60"/>
        <w:rPr>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07671D" w:rsidRPr="00C34DE9" w14:paraId="31559905" w14:textId="77777777" w:rsidTr="790C88FB">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18F82C6" w14:textId="025941D1" w:rsidR="0007671D" w:rsidRPr="00C34DE9" w:rsidRDefault="0007671D" w:rsidP="00C91840">
            <w:pPr>
              <w:spacing w:after="60"/>
              <w:rPr>
                <w:rFonts w:ascii="Verdana" w:hAnsi="Verdana"/>
                <w:b/>
                <w:bCs/>
                <w:sz w:val="18"/>
                <w:szCs w:val="18"/>
              </w:rPr>
            </w:pPr>
            <w:bookmarkStart w:id="46" w:name="C33"/>
            <w:r w:rsidRPr="5CB4B133">
              <w:rPr>
                <w:rFonts w:ascii="Verdana" w:hAnsi="Verdana"/>
                <w:b/>
                <w:bCs/>
                <w:smallCaps/>
                <w:sz w:val="18"/>
                <w:szCs w:val="18"/>
              </w:rPr>
              <w:t>Indicator C.3</w:t>
            </w:r>
            <w:r w:rsidR="00C91840">
              <w:rPr>
                <w:rFonts w:ascii="Verdana" w:hAnsi="Verdana"/>
                <w:b/>
                <w:bCs/>
                <w:smallCaps/>
                <w:sz w:val="18"/>
                <w:szCs w:val="18"/>
              </w:rPr>
              <w:t>4</w:t>
            </w:r>
            <w:bookmarkEnd w:id="46"/>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998ADF0" w14:textId="77777777" w:rsidR="0007671D" w:rsidRPr="00C34DE9" w:rsidRDefault="0007671D" w:rsidP="00C30187">
            <w:pPr>
              <w:spacing w:after="60"/>
              <w:rPr>
                <w:rFonts w:ascii="Verdana" w:hAnsi="Verdana"/>
                <w:caps/>
                <w:sz w:val="18"/>
                <w:szCs w:val="18"/>
              </w:rPr>
            </w:pPr>
          </w:p>
        </w:tc>
      </w:tr>
      <w:tr w:rsidR="0007671D" w:rsidRPr="00C34DE9" w14:paraId="44C8E7B5" w14:textId="77777777" w:rsidTr="790C88FB">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3BDC1D93"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675231"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Farming intensity</w:t>
            </w:r>
          </w:p>
        </w:tc>
      </w:tr>
      <w:tr w:rsidR="0007671D" w:rsidRPr="00C34DE9" w14:paraId="40D2DB1A"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6A6DF6A6"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76FD6B9" w14:textId="3442E32D" w:rsidR="0007671D" w:rsidRPr="00C34DE9" w:rsidRDefault="0007671D" w:rsidP="00544872">
            <w:pPr>
              <w:pStyle w:val="RD-Indicatortabletext"/>
              <w:spacing w:after="60"/>
              <w:jc w:val="both"/>
              <w:rPr>
                <w:rFonts w:cs="Calibri"/>
                <w:sz w:val="18"/>
                <w:szCs w:val="18"/>
                <w:lang w:val="en"/>
              </w:rPr>
            </w:pPr>
            <w:r w:rsidRPr="3F2573B5">
              <w:rPr>
                <w:rFonts w:cs="Calibri"/>
                <w:b/>
                <w:bCs/>
                <w:sz w:val="18"/>
                <w:szCs w:val="18"/>
              </w:rPr>
              <w:t>Farm</w:t>
            </w:r>
            <w:r w:rsidR="00161B7C" w:rsidRPr="3F2573B5">
              <w:rPr>
                <w:rFonts w:cs="Calibri"/>
                <w:b/>
                <w:bCs/>
                <w:sz w:val="18"/>
                <w:szCs w:val="18"/>
              </w:rPr>
              <w:t>ing</w:t>
            </w:r>
            <w:r w:rsidRPr="3F2573B5">
              <w:rPr>
                <w:rFonts w:cs="Calibri"/>
                <w:b/>
                <w:bCs/>
                <w:sz w:val="18"/>
                <w:szCs w:val="18"/>
              </w:rPr>
              <w:t xml:space="preserve"> intensity</w:t>
            </w:r>
            <w:r w:rsidRPr="00C34DE9">
              <w:rPr>
                <w:rFonts w:cs="Calibri"/>
                <w:sz w:val="18"/>
                <w:szCs w:val="18"/>
              </w:rPr>
              <w:t xml:space="preserve"> is expressed as the </w:t>
            </w:r>
            <w:r w:rsidR="00161B7C">
              <w:rPr>
                <w:rFonts w:cs="Calibri"/>
                <w:sz w:val="18"/>
                <w:szCs w:val="18"/>
              </w:rPr>
              <w:t xml:space="preserve">percentage of </w:t>
            </w:r>
            <w:r w:rsidRPr="3F2573B5">
              <w:rPr>
                <w:rFonts w:cs="Calibri"/>
                <w:b/>
                <w:bCs/>
                <w:sz w:val="18"/>
                <w:szCs w:val="18"/>
              </w:rPr>
              <w:t xml:space="preserve">utilised agricultural area (UAA) </w:t>
            </w:r>
            <w:r w:rsidR="00161B7C" w:rsidRPr="3F2573B5">
              <w:rPr>
                <w:rFonts w:cs="Calibri"/>
                <w:b/>
                <w:bCs/>
                <w:sz w:val="18"/>
                <w:szCs w:val="18"/>
              </w:rPr>
              <w:t>that is farmed</w:t>
            </w:r>
            <w:r w:rsidRPr="3F2573B5">
              <w:rPr>
                <w:rFonts w:cs="Calibri"/>
                <w:b/>
                <w:bCs/>
                <w:sz w:val="18"/>
                <w:szCs w:val="18"/>
              </w:rPr>
              <w:t xml:space="preserve"> with low, medium </w:t>
            </w:r>
            <w:r w:rsidR="00161B7C" w:rsidRPr="3F2573B5">
              <w:rPr>
                <w:rFonts w:cs="Calibri"/>
                <w:b/>
                <w:bCs/>
                <w:sz w:val="18"/>
                <w:szCs w:val="18"/>
              </w:rPr>
              <w:t xml:space="preserve">or </w:t>
            </w:r>
            <w:r w:rsidRPr="3F2573B5">
              <w:rPr>
                <w:rFonts w:cs="Calibri"/>
                <w:b/>
                <w:bCs/>
                <w:sz w:val="18"/>
                <w:szCs w:val="18"/>
              </w:rPr>
              <w:t>high input intensity.</w:t>
            </w:r>
            <w:r w:rsidRPr="00C34DE9">
              <w:rPr>
                <w:rFonts w:cs="Calibri"/>
                <w:sz w:val="18"/>
                <w:szCs w:val="18"/>
              </w:rPr>
              <w:t xml:space="preserve"> </w:t>
            </w:r>
            <w:r w:rsidRPr="00C34DE9">
              <w:rPr>
                <w:rFonts w:cs="Calibri"/>
                <w:sz w:val="18"/>
                <w:szCs w:val="18"/>
                <w:lang w:val="en"/>
              </w:rPr>
              <w:t>The input intensity of a farm can be defined as the level of inputs used by the farm per unit of production factor (in general land). Intensification is defined as the increase in farm intensity, while extensification describes the opposite trend.</w:t>
            </w:r>
          </w:p>
          <w:p w14:paraId="388D322D" w14:textId="77777777" w:rsidR="0007671D" w:rsidRPr="00C34DE9" w:rsidRDefault="0007671D" w:rsidP="00544872">
            <w:pPr>
              <w:pStyle w:val="RD-Indicatortabletext"/>
              <w:spacing w:after="60"/>
              <w:jc w:val="both"/>
              <w:rPr>
                <w:rFonts w:cs="Calibri"/>
                <w:sz w:val="18"/>
                <w:szCs w:val="18"/>
                <w:lang w:val="en"/>
              </w:rPr>
            </w:pPr>
            <w:r w:rsidRPr="00C34DE9">
              <w:rPr>
                <w:rFonts w:cs="Calibri"/>
                <w:sz w:val="18"/>
                <w:szCs w:val="18"/>
                <w:lang w:val="en"/>
              </w:rPr>
              <w:t xml:space="preserve">Farms are classified into intensity categories according to an estimate of input volume per hectare of UAA. The inputs considered are </w:t>
            </w:r>
            <w:r w:rsidRPr="00A6594A">
              <w:rPr>
                <w:rFonts w:cs="Calibri"/>
                <w:sz w:val="18"/>
                <w:szCs w:val="18"/>
              </w:rPr>
              <w:t>fertili</w:t>
            </w:r>
            <w:r w:rsidR="00A6594A" w:rsidRPr="00A6594A">
              <w:rPr>
                <w:rFonts w:cs="Calibri"/>
                <w:sz w:val="18"/>
                <w:szCs w:val="18"/>
              </w:rPr>
              <w:t>s</w:t>
            </w:r>
            <w:r w:rsidRPr="00A6594A">
              <w:rPr>
                <w:rFonts w:cs="Calibri"/>
                <w:sz w:val="18"/>
                <w:szCs w:val="18"/>
              </w:rPr>
              <w:t>ers</w:t>
            </w:r>
            <w:r w:rsidRPr="00C34DE9">
              <w:rPr>
                <w:rFonts w:cs="Calibri"/>
                <w:sz w:val="18"/>
                <w:szCs w:val="18"/>
                <w:lang w:val="en"/>
              </w:rPr>
              <w:t>, pesticides, other crop protection products and purchased feed. This approach allows covering both crop and livestock productions.</w:t>
            </w:r>
          </w:p>
          <w:p w14:paraId="4C40A058" w14:textId="0511F44B" w:rsidR="0007671D" w:rsidRPr="00C34DE9" w:rsidRDefault="0007671D" w:rsidP="00544872">
            <w:pPr>
              <w:pStyle w:val="RD-Indicatortabletext"/>
              <w:spacing w:after="60"/>
              <w:jc w:val="both"/>
              <w:rPr>
                <w:rFonts w:cs="Calibri"/>
                <w:sz w:val="18"/>
                <w:szCs w:val="18"/>
                <w:lang w:val="en"/>
              </w:rPr>
            </w:pPr>
            <w:r w:rsidRPr="00C34DE9">
              <w:rPr>
                <w:rFonts w:cs="Calibri"/>
                <w:sz w:val="18"/>
                <w:szCs w:val="18"/>
                <w:lang w:val="en"/>
              </w:rPr>
              <w:t xml:space="preserve">The volume of inputs used (per hectare) is estimated by dividing input expenditures (per hectare) by the input price index for the year and country in question. This results in input expenditures per hectare in constant national input prices. </w:t>
            </w:r>
            <w:r w:rsidRPr="00C34DE9">
              <w:rPr>
                <w:rFonts w:cs="Calibri"/>
                <w:sz w:val="18"/>
                <w:szCs w:val="18"/>
              </w:rPr>
              <w:t>Fertiliser expenditure (purchased fertilisers and soil improvers) is divided by the fertiliser price index in the country of the same year in order to estimate the volume used. Similarly, crop protection expenditure (plant protection products, traps and baits, bird scares, anti-hail shells, frost protection) is divided by the pesticide price index in the country of the same year. Purchased feed cost is also divided by the feed price index in the country of the same year. The result is thus expressed in constant inputs prices (Euro per ha). The method allows not only to deduct inflation, but also the fluctuation of input prices. Thus</w:t>
            </w:r>
            <w:r w:rsidR="00A6594A">
              <w:rPr>
                <w:rFonts w:cs="Calibri"/>
                <w:sz w:val="18"/>
                <w:szCs w:val="18"/>
              </w:rPr>
              <w:t>,</w:t>
            </w:r>
            <w:r w:rsidRPr="00C34DE9">
              <w:rPr>
                <w:rFonts w:cs="Calibri"/>
                <w:sz w:val="18"/>
                <w:szCs w:val="18"/>
              </w:rPr>
              <w:t xml:space="preserve"> it estimates the trend in the volume of inputs used per hectare. However, it does not capture differences in input prices between countries and the differences in prices within each category of inputs (for example between a pesticide A and a pesticide B). Therefore</w:t>
            </w:r>
            <w:r w:rsidR="00A6594A">
              <w:rPr>
                <w:rFonts w:cs="Calibri"/>
                <w:sz w:val="18"/>
                <w:szCs w:val="18"/>
              </w:rPr>
              <w:t>,</w:t>
            </w:r>
            <w:r w:rsidRPr="00C34DE9">
              <w:rPr>
                <w:rFonts w:cs="Calibri"/>
                <w:sz w:val="18"/>
                <w:szCs w:val="18"/>
              </w:rPr>
              <w:t xml:space="preserve"> it does not give the exact volume of inputs used for a specific country and year.</w:t>
            </w:r>
          </w:p>
          <w:p w14:paraId="66541D4B" w14:textId="77777777" w:rsidR="00D7536A" w:rsidRPr="00B43A76" w:rsidRDefault="00D7536A" w:rsidP="00D7536A">
            <w:pPr>
              <w:pStyle w:val="RD-Indicatortabletext"/>
              <w:jc w:val="both"/>
              <w:rPr>
                <w:sz w:val="18"/>
                <w:szCs w:val="18"/>
              </w:rPr>
            </w:pPr>
            <w:r w:rsidRPr="00B43A76">
              <w:rPr>
                <w:sz w:val="18"/>
                <w:szCs w:val="18"/>
                <w:lang w:val="en"/>
              </w:rPr>
              <w:t xml:space="preserve">In a second step, the distribution of the UAA is considered by the ranked input intensity (bivariate approach) in </w:t>
            </w:r>
            <w:r w:rsidRPr="00B43A76">
              <w:rPr>
                <w:sz w:val="18"/>
                <w:szCs w:val="18"/>
              </w:rPr>
              <w:t>each geographical level (EU, MS, NUTS) for the specific year of reference (2010 for all MSs, 2013 for HR). Three classes of intensity (low, medium, high) are then defined, by deriving the associated level of input corresponding to the 33</w:t>
            </w:r>
            <w:r w:rsidRPr="00B43A76">
              <w:rPr>
                <w:sz w:val="18"/>
                <w:szCs w:val="18"/>
                <w:vertAlign w:val="superscript"/>
              </w:rPr>
              <w:t>rd</w:t>
            </w:r>
            <w:r w:rsidRPr="00B43A76">
              <w:rPr>
                <w:sz w:val="18"/>
                <w:szCs w:val="18"/>
              </w:rPr>
              <w:t xml:space="preserve"> (q33) and the 66</w:t>
            </w:r>
            <w:r w:rsidRPr="00B43A76">
              <w:rPr>
                <w:sz w:val="18"/>
                <w:szCs w:val="18"/>
                <w:vertAlign w:val="superscript"/>
              </w:rPr>
              <w:t>th</w:t>
            </w:r>
            <w:r w:rsidRPr="00B43A76">
              <w:rPr>
                <w:sz w:val="18"/>
                <w:szCs w:val="18"/>
              </w:rPr>
              <w:t xml:space="preserve"> (q66) UAA quantiles. </w:t>
            </w:r>
          </w:p>
          <w:p w14:paraId="43F4B178" w14:textId="77777777" w:rsidR="00D7536A" w:rsidRPr="00B43A76" w:rsidRDefault="00D7536A" w:rsidP="00D7536A">
            <w:pPr>
              <w:pStyle w:val="RD-Indicatortabletext"/>
              <w:jc w:val="both"/>
              <w:rPr>
                <w:sz w:val="18"/>
                <w:szCs w:val="18"/>
              </w:rPr>
            </w:pPr>
            <w:r w:rsidRPr="00B43A76">
              <w:rPr>
                <w:sz w:val="18"/>
                <w:szCs w:val="18"/>
              </w:rPr>
              <w:t>A farm is classified under the class “low intensity” if its input level is below or equal to the intensity value associated to th</w:t>
            </w:r>
            <w:r w:rsidR="00840FB0">
              <w:rPr>
                <w:sz w:val="18"/>
                <w:szCs w:val="18"/>
              </w:rPr>
              <w:t>e Q33 of UAA</w:t>
            </w:r>
            <w:r w:rsidRPr="00B43A76">
              <w:rPr>
                <w:sz w:val="18"/>
                <w:szCs w:val="18"/>
              </w:rPr>
              <w:t>.</w:t>
            </w:r>
          </w:p>
          <w:p w14:paraId="1D491FAA" w14:textId="77777777" w:rsidR="00D7536A" w:rsidRPr="00B43A76" w:rsidRDefault="00D7536A" w:rsidP="00D7536A">
            <w:pPr>
              <w:pStyle w:val="RD-Indicatortabletext"/>
              <w:jc w:val="both"/>
              <w:rPr>
                <w:sz w:val="18"/>
                <w:szCs w:val="18"/>
              </w:rPr>
            </w:pPr>
            <w:r w:rsidRPr="00B43A76">
              <w:rPr>
                <w:sz w:val="18"/>
                <w:szCs w:val="18"/>
              </w:rPr>
              <w:t>A farm is classified under the class “high intensity” if its input level is greater than the intensity value associated to the Q66 of UAA</w:t>
            </w:r>
            <w:r w:rsidR="00840FB0">
              <w:rPr>
                <w:sz w:val="18"/>
                <w:szCs w:val="18"/>
              </w:rPr>
              <w:t>.</w:t>
            </w:r>
          </w:p>
          <w:p w14:paraId="195072C9" w14:textId="77777777" w:rsidR="00D7536A" w:rsidRDefault="00D7536A" w:rsidP="00D7536A">
            <w:pPr>
              <w:pStyle w:val="RD-Indicatortabletext"/>
              <w:jc w:val="both"/>
              <w:rPr>
                <w:sz w:val="18"/>
                <w:szCs w:val="18"/>
              </w:rPr>
            </w:pPr>
            <w:r w:rsidRPr="00B43A76">
              <w:rPr>
                <w:sz w:val="18"/>
                <w:szCs w:val="18"/>
              </w:rPr>
              <w:t>A farm is classified under the class “medium intensity”  if its input level is greater than the  intensity value associated to the Q33 of UAA and it is below the intensity value associated to the Q66 of UAA.</w:t>
            </w:r>
          </w:p>
          <w:p w14:paraId="3E503B12" w14:textId="77777777" w:rsidR="00D7536A" w:rsidRPr="00B43A76" w:rsidRDefault="00D7536A" w:rsidP="00D7536A">
            <w:pPr>
              <w:pStyle w:val="RD-Indicatortabletext"/>
              <w:spacing w:after="60"/>
              <w:jc w:val="both"/>
              <w:rPr>
                <w:sz w:val="18"/>
                <w:szCs w:val="18"/>
              </w:rPr>
            </w:pPr>
          </w:p>
          <w:p w14:paraId="26F70845" w14:textId="1CD5848A" w:rsidR="00D7536A" w:rsidRPr="00B43A76" w:rsidRDefault="00840FB0" w:rsidP="00D7536A">
            <w:pPr>
              <w:pStyle w:val="RD-Indicatortabletext"/>
              <w:spacing w:after="60"/>
              <w:jc w:val="both"/>
              <w:rPr>
                <w:sz w:val="18"/>
                <w:szCs w:val="18"/>
                <w:lang w:val="en"/>
              </w:rPr>
            </w:pPr>
            <w:r>
              <w:rPr>
                <w:sz w:val="18"/>
                <w:szCs w:val="18"/>
                <w:lang w:val="en"/>
              </w:rPr>
              <w:t>Considering the 2017 FADN data, f</w:t>
            </w:r>
            <w:r w:rsidR="00D7536A" w:rsidRPr="00B43A76">
              <w:rPr>
                <w:sz w:val="18"/>
                <w:szCs w:val="18"/>
                <w:lang w:val="en"/>
              </w:rPr>
              <w:t>or EU</w:t>
            </w:r>
            <w:r w:rsidR="00232F4E">
              <w:rPr>
                <w:sz w:val="18"/>
                <w:szCs w:val="18"/>
                <w:lang w:val="en"/>
              </w:rPr>
              <w:t>-</w:t>
            </w:r>
            <w:r w:rsidR="00D7536A" w:rsidRPr="00B43A76">
              <w:rPr>
                <w:sz w:val="18"/>
                <w:szCs w:val="18"/>
                <w:lang w:val="en"/>
              </w:rPr>
              <w:t>28, as well as for EU</w:t>
            </w:r>
            <w:r w:rsidR="00232F4E">
              <w:rPr>
                <w:sz w:val="18"/>
                <w:szCs w:val="18"/>
                <w:lang w:val="en"/>
              </w:rPr>
              <w:t>-</w:t>
            </w:r>
            <w:r w:rsidR="00D7536A" w:rsidRPr="00B43A76">
              <w:rPr>
                <w:sz w:val="18"/>
                <w:szCs w:val="18"/>
                <w:lang w:val="en"/>
              </w:rPr>
              <w:t>27</w:t>
            </w:r>
            <w:r w:rsidR="00232F4E">
              <w:rPr>
                <w:sz w:val="18"/>
                <w:szCs w:val="18"/>
                <w:lang w:val="en"/>
              </w:rPr>
              <w:t xml:space="preserve"> without the UK</w:t>
            </w:r>
            <w:r w:rsidR="00D7536A" w:rsidRPr="00B43A76">
              <w:rPr>
                <w:sz w:val="18"/>
                <w:szCs w:val="18"/>
                <w:lang w:val="en"/>
              </w:rPr>
              <w:t xml:space="preserve">, those thresholds are represented by 88 </w:t>
            </w:r>
            <w:r w:rsidR="00D7536A" w:rsidRPr="00B43A76">
              <w:rPr>
                <w:sz w:val="18"/>
                <w:szCs w:val="18"/>
              </w:rPr>
              <w:t>euros</w:t>
            </w:r>
            <w:r w:rsidR="00D7536A" w:rsidRPr="00B43A76">
              <w:rPr>
                <w:sz w:val="18"/>
                <w:szCs w:val="18"/>
                <w:lang w:val="en"/>
              </w:rPr>
              <w:t xml:space="preserve">/ha for low intensity farms, by 560 </w:t>
            </w:r>
            <w:r w:rsidR="00D7536A" w:rsidRPr="00B43A76">
              <w:rPr>
                <w:sz w:val="18"/>
                <w:szCs w:val="18"/>
              </w:rPr>
              <w:t>euros</w:t>
            </w:r>
            <w:r w:rsidR="00D7536A" w:rsidRPr="00B43A76">
              <w:rPr>
                <w:sz w:val="18"/>
                <w:szCs w:val="18"/>
                <w:lang w:val="en"/>
              </w:rPr>
              <w:t xml:space="preserve">/ha for high intensity farms, and by between 88 and 560 </w:t>
            </w:r>
            <w:r w:rsidR="00D7536A" w:rsidRPr="00B43A76">
              <w:rPr>
                <w:sz w:val="18"/>
                <w:szCs w:val="18"/>
              </w:rPr>
              <w:t>euros</w:t>
            </w:r>
            <w:r w:rsidR="00D7536A" w:rsidRPr="00B43A76">
              <w:rPr>
                <w:sz w:val="18"/>
                <w:szCs w:val="18"/>
                <w:lang w:val="en"/>
              </w:rPr>
              <w:t>/ha for medium intensity farms.</w:t>
            </w:r>
          </w:p>
          <w:p w14:paraId="4F04AE3A" w14:textId="77777777" w:rsidR="0007671D" w:rsidRPr="00C34DE9" w:rsidRDefault="0007671D" w:rsidP="00544872">
            <w:pPr>
              <w:pStyle w:val="RD-Indicatortabletext"/>
              <w:spacing w:after="60"/>
              <w:jc w:val="both"/>
              <w:rPr>
                <w:rFonts w:cs="Calibri"/>
                <w:sz w:val="18"/>
                <w:szCs w:val="18"/>
                <w:lang w:val="en"/>
              </w:rPr>
            </w:pPr>
          </w:p>
          <w:p w14:paraId="019CCF73" w14:textId="60C40C7B" w:rsidR="00D7536A" w:rsidRPr="00B43A76" w:rsidRDefault="00D7536A" w:rsidP="00D7536A">
            <w:pPr>
              <w:pStyle w:val="RD-Indicatortabletext"/>
              <w:spacing w:after="60"/>
              <w:jc w:val="both"/>
              <w:rPr>
                <w:sz w:val="18"/>
                <w:szCs w:val="18"/>
                <w:lang w:val="en"/>
              </w:rPr>
            </w:pPr>
            <w:r w:rsidRPr="00B43A76">
              <w:rPr>
                <w:sz w:val="18"/>
                <w:szCs w:val="18"/>
                <w:lang w:val="en"/>
              </w:rPr>
              <w:t xml:space="preserve">These levels should not be considered as strict cut-off values, but rather </w:t>
            </w:r>
            <w:r w:rsidR="00840FB0">
              <w:rPr>
                <w:sz w:val="18"/>
                <w:szCs w:val="18"/>
                <w:lang w:val="en"/>
              </w:rPr>
              <w:t xml:space="preserve">as reference in time, </w:t>
            </w:r>
            <w:r w:rsidRPr="00B43A76">
              <w:rPr>
                <w:sz w:val="18"/>
                <w:szCs w:val="18"/>
                <w:lang w:val="en"/>
              </w:rPr>
              <w:t>in order to be able to study the evolution of farm intensification through the years.</w:t>
            </w:r>
          </w:p>
          <w:p w14:paraId="77CF2339" w14:textId="77777777" w:rsidR="00232F4E" w:rsidRDefault="00D7536A" w:rsidP="00840FB0">
            <w:pPr>
              <w:pStyle w:val="RD-Indicatortabletext"/>
              <w:spacing w:after="60"/>
              <w:jc w:val="both"/>
              <w:rPr>
                <w:rFonts w:cs="Calibri"/>
                <w:sz w:val="18"/>
                <w:szCs w:val="18"/>
                <w:lang w:val="en"/>
              </w:rPr>
            </w:pPr>
            <w:r>
              <w:rPr>
                <w:rFonts w:cs="Calibri"/>
                <w:sz w:val="18"/>
                <w:szCs w:val="18"/>
                <w:lang w:val="en"/>
              </w:rPr>
              <w:t>In</w:t>
            </w:r>
            <w:r w:rsidRPr="00ED2A3A">
              <w:rPr>
                <w:rFonts w:cs="Calibri"/>
                <w:sz w:val="18"/>
                <w:szCs w:val="18"/>
                <w:lang w:val="en"/>
              </w:rPr>
              <w:t xml:space="preserve">tensification in a country with very low intensity does not mean the same for the environment than intensification in a country with high </w:t>
            </w:r>
            <w:r w:rsidRPr="00ED2A3A">
              <w:rPr>
                <w:rFonts w:cs="Calibri"/>
                <w:sz w:val="18"/>
                <w:szCs w:val="18"/>
                <w:lang w:val="en"/>
              </w:rPr>
              <w:lastRenderedPageBreak/>
              <w:t xml:space="preserve">intensity. </w:t>
            </w:r>
          </w:p>
          <w:p w14:paraId="6087479A" w14:textId="52C88071" w:rsidR="0007671D" w:rsidRPr="00C34DE9" w:rsidRDefault="00232F4E" w:rsidP="00840FB0">
            <w:pPr>
              <w:pStyle w:val="RD-Indicatortabletext"/>
              <w:spacing w:after="60"/>
              <w:jc w:val="both"/>
            </w:pPr>
            <w:r>
              <w:rPr>
                <w:rFonts w:cs="Calibri"/>
                <w:sz w:val="18"/>
                <w:szCs w:val="18"/>
                <w:lang w:val="en"/>
              </w:rPr>
              <w:t xml:space="preserve">The indicator is expressed as the </w:t>
            </w:r>
            <w:r>
              <w:rPr>
                <w:rFonts w:cs="Calibri"/>
                <w:sz w:val="18"/>
                <w:szCs w:val="18"/>
              </w:rPr>
              <w:t>share</w:t>
            </w:r>
            <w:r w:rsidRPr="00C34DE9">
              <w:rPr>
                <w:rFonts w:cs="Calibri"/>
                <w:sz w:val="18"/>
                <w:szCs w:val="18"/>
              </w:rPr>
              <w:t xml:space="preserve"> of total UAA</w:t>
            </w:r>
            <w:r>
              <w:rPr>
                <w:rFonts w:cs="Calibri"/>
                <w:sz w:val="18"/>
                <w:szCs w:val="18"/>
              </w:rPr>
              <w:t xml:space="preserve"> by farming intensity</w:t>
            </w:r>
            <w:r w:rsidRPr="00C34DE9">
              <w:rPr>
                <w:rFonts w:cs="Calibri"/>
                <w:sz w:val="18"/>
                <w:szCs w:val="18"/>
              </w:rPr>
              <w:t>, broken down by MS, and in addition by T</w:t>
            </w:r>
            <w:r>
              <w:rPr>
                <w:rFonts w:cs="Calibri"/>
                <w:sz w:val="18"/>
                <w:szCs w:val="18"/>
              </w:rPr>
              <w:t xml:space="preserve">ype of </w:t>
            </w:r>
            <w:r w:rsidRPr="00C34DE9">
              <w:rPr>
                <w:rFonts w:cs="Calibri"/>
                <w:sz w:val="18"/>
                <w:szCs w:val="18"/>
              </w:rPr>
              <w:t>F</w:t>
            </w:r>
            <w:r>
              <w:rPr>
                <w:rFonts w:cs="Calibri"/>
                <w:sz w:val="18"/>
                <w:szCs w:val="18"/>
              </w:rPr>
              <w:t>arming</w:t>
            </w:r>
            <w:r w:rsidRPr="00C34DE9">
              <w:rPr>
                <w:rFonts w:cs="Calibri"/>
                <w:sz w:val="18"/>
                <w:szCs w:val="18"/>
              </w:rPr>
              <w:t xml:space="preserve"> and by E</w:t>
            </w:r>
            <w:r>
              <w:rPr>
                <w:rFonts w:cs="Calibri"/>
                <w:sz w:val="18"/>
                <w:szCs w:val="18"/>
              </w:rPr>
              <w:t xml:space="preserve">conomic </w:t>
            </w:r>
            <w:r w:rsidRPr="00C34DE9">
              <w:rPr>
                <w:rFonts w:cs="Calibri"/>
                <w:sz w:val="18"/>
                <w:szCs w:val="18"/>
              </w:rPr>
              <w:t>S</w:t>
            </w:r>
            <w:r>
              <w:rPr>
                <w:rFonts w:cs="Calibri"/>
                <w:sz w:val="18"/>
                <w:szCs w:val="18"/>
              </w:rPr>
              <w:t>ize.</w:t>
            </w:r>
            <w:r w:rsidRPr="00C34DE9" w:rsidDel="00D7536A">
              <w:rPr>
                <w:rFonts w:cs="Calibri"/>
                <w:sz w:val="18"/>
                <w:szCs w:val="18"/>
                <w:lang w:val="en"/>
              </w:rPr>
              <w:t xml:space="preserve"> </w:t>
            </w:r>
          </w:p>
        </w:tc>
      </w:tr>
      <w:tr w:rsidR="0007671D" w:rsidRPr="00C34DE9" w14:paraId="5ADA5C77"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742C4D75"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lastRenderedPageBreak/>
              <w:t>Unit of measurement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A4799D" w14:textId="5C2292B4" w:rsidR="0007671D" w:rsidRPr="00C34DE9" w:rsidRDefault="00232F4E" w:rsidP="005C1EA8">
            <w:pPr>
              <w:autoSpaceDE w:val="0"/>
              <w:autoSpaceDN w:val="0"/>
              <w:adjustRightInd w:val="0"/>
              <w:spacing w:after="60" w:line="240" w:lineRule="auto"/>
            </w:pPr>
            <w:r>
              <w:rPr>
                <w:rFonts w:ascii="Verdana" w:hAnsi="Verdana" w:cs="Calibri"/>
                <w:sz w:val="18"/>
                <w:szCs w:val="18"/>
              </w:rPr>
              <w:t>%</w:t>
            </w:r>
            <w:r w:rsidR="0007671D" w:rsidRPr="00C34DE9">
              <w:rPr>
                <w:rFonts w:ascii="Verdana" w:hAnsi="Verdana" w:cs="Calibri"/>
                <w:sz w:val="18"/>
                <w:szCs w:val="18"/>
              </w:rPr>
              <w:t xml:space="preserve"> </w:t>
            </w:r>
          </w:p>
        </w:tc>
      </w:tr>
      <w:tr w:rsidR="0007671D" w:rsidRPr="00C34DE9" w14:paraId="186B930C"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061A38AC"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6FCC021" w14:textId="77777777" w:rsidR="0007671D" w:rsidRPr="00C34DE9" w:rsidRDefault="0007671D" w:rsidP="00544872">
            <w:pPr>
              <w:pStyle w:val="RD-Indicatortabletext"/>
              <w:spacing w:after="60"/>
              <w:jc w:val="both"/>
              <w:rPr>
                <w:rFonts w:cs="Calibri"/>
                <w:sz w:val="18"/>
                <w:szCs w:val="18"/>
                <w:lang w:val="en"/>
              </w:rPr>
            </w:pPr>
            <w:r w:rsidRPr="00C34DE9">
              <w:rPr>
                <w:rFonts w:cs="Calibri"/>
                <w:sz w:val="18"/>
                <w:szCs w:val="18"/>
                <w:lang w:val="en"/>
              </w:rPr>
              <w:t xml:space="preserve">- The main data source is DG AGRI - Farm Accountancy Data Network (FADN). </w:t>
            </w:r>
          </w:p>
          <w:p w14:paraId="19637AD2" w14:textId="3562FA4E" w:rsidR="0007671D" w:rsidRPr="00C34DE9" w:rsidRDefault="0007671D" w:rsidP="00A6594A">
            <w:pPr>
              <w:pStyle w:val="RD-Indicatortabletext"/>
              <w:spacing w:after="60"/>
              <w:jc w:val="both"/>
              <w:rPr>
                <w:sz w:val="18"/>
                <w:szCs w:val="18"/>
              </w:rPr>
            </w:pPr>
            <w:r w:rsidRPr="00C34DE9">
              <w:rPr>
                <w:rFonts w:cs="Calibri"/>
                <w:sz w:val="18"/>
                <w:szCs w:val="18"/>
                <w:lang w:val="en"/>
              </w:rPr>
              <w:t xml:space="preserve">- Eurostat - </w:t>
            </w:r>
            <w:r w:rsidR="007D563F" w:rsidRPr="007D563F">
              <w:rPr>
                <w:rFonts w:cs="Calibri"/>
                <w:sz w:val="18"/>
                <w:szCs w:val="18"/>
                <w:lang w:val="en"/>
              </w:rPr>
              <w:t>Economic accounts for agriculture - indices: volume, price, values</w:t>
            </w:r>
            <w:r w:rsidRPr="00C34DE9">
              <w:rPr>
                <w:rFonts w:cs="Calibri"/>
                <w:sz w:val="18"/>
                <w:szCs w:val="18"/>
                <w:lang w:val="en"/>
              </w:rPr>
              <w:t>.</w:t>
            </w:r>
          </w:p>
        </w:tc>
      </w:tr>
      <w:tr w:rsidR="0007671D" w:rsidRPr="00C34DE9" w14:paraId="1895A804"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71F4F525"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D6D78B6" w14:textId="3275900C" w:rsidR="0007671D" w:rsidRPr="00C34DE9" w:rsidRDefault="0007671D" w:rsidP="00544872">
            <w:pPr>
              <w:spacing w:after="60"/>
              <w:rPr>
                <w:rFonts w:ascii="Verdana" w:hAnsi="Verdana"/>
                <w:sz w:val="18"/>
                <w:szCs w:val="18"/>
              </w:rPr>
            </w:pPr>
            <w:r w:rsidRPr="00C34DE9">
              <w:rPr>
                <w:rFonts w:ascii="Verdana" w:hAnsi="Verdana" w:cs="Calibri"/>
                <w:sz w:val="18"/>
                <w:szCs w:val="18"/>
                <w:lang w:val="en"/>
              </w:rPr>
              <w:t xml:space="preserve">- DG AGRI - Farm Accountancy Data Network (FADN). Name of current variables defined in the FADN: SE295 </w:t>
            </w:r>
            <w:r w:rsidRPr="00A6594A">
              <w:rPr>
                <w:rFonts w:ascii="Verdana" w:hAnsi="Verdana" w:cs="Calibri"/>
                <w:sz w:val="18"/>
                <w:szCs w:val="18"/>
              </w:rPr>
              <w:t>Fertili</w:t>
            </w:r>
            <w:r w:rsidR="00A6594A" w:rsidRPr="00A6594A">
              <w:rPr>
                <w:rFonts w:ascii="Verdana" w:hAnsi="Verdana" w:cs="Calibri"/>
                <w:sz w:val="18"/>
                <w:szCs w:val="18"/>
              </w:rPr>
              <w:t>s</w:t>
            </w:r>
            <w:r w:rsidRPr="00A6594A">
              <w:rPr>
                <w:rFonts w:ascii="Verdana" w:hAnsi="Verdana" w:cs="Calibri"/>
                <w:sz w:val="18"/>
                <w:szCs w:val="18"/>
              </w:rPr>
              <w:t>ers</w:t>
            </w:r>
            <w:r w:rsidRPr="00C34DE9">
              <w:rPr>
                <w:rFonts w:ascii="Verdana" w:hAnsi="Verdana" w:cs="Calibri"/>
                <w:sz w:val="18"/>
                <w:szCs w:val="18"/>
                <w:lang w:val="en"/>
              </w:rPr>
              <w:t>; SE</w:t>
            </w:r>
            <w:r w:rsidR="003B43D9">
              <w:rPr>
                <w:rFonts w:ascii="Verdana" w:hAnsi="Verdana" w:cs="Calibri"/>
                <w:sz w:val="18"/>
                <w:szCs w:val="18"/>
                <w:lang w:val="en"/>
              </w:rPr>
              <w:t xml:space="preserve">300 Crop protection; </w:t>
            </w:r>
            <w:r w:rsidR="003B43D9">
              <w:rPr>
                <w:rFonts w:ascii="Verdana" w:hAnsi="Verdana"/>
                <w:sz w:val="18"/>
                <w:szCs w:val="18"/>
              </w:rPr>
              <w:t>Purchased feed</w:t>
            </w:r>
            <w:r w:rsidRPr="00C34DE9">
              <w:rPr>
                <w:rFonts w:ascii="Verdana" w:hAnsi="Verdana"/>
                <w:sz w:val="18"/>
                <w:szCs w:val="18"/>
              </w:rPr>
              <w:t xml:space="preserve">, SE025 Utilised Agricultural Area: </w:t>
            </w:r>
          </w:p>
          <w:p w14:paraId="4BBCCA17" w14:textId="421C1E26" w:rsidR="0007671D" w:rsidRPr="003B43D9" w:rsidRDefault="00AA07F1" w:rsidP="003B43D9">
            <w:pPr>
              <w:spacing w:before="120" w:after="60"/>
              <w:rPr>
                <w:rFonts w:ascii="Verdana" w:hAnsi="Verdana"/>
                <w:sz w:val="18"/>
                <w:szCs w:val="18"/>
              </w:rPr>
            </w:pPr>
            <w:hyperlink r:id="rId158" w:history="1">
              <w:r w:rsidR="003B43D9">
                <w:rPr>
                  <w:rStyle w:val="Hyperlink"/>
                </w:rPr>
                <w:t>European Commission | Agri food-data | Farm Economics (europa.eu)</w:t>
              </w:r>
            </w:hyperlink>
            <w:r w:rsidR="0007671D" w:rsidRPr="00C34DE9">
              <w:rPr>
                <w:rFonts w:ascii="Verdana" w:hAnsi="Verdana" w:cs="Calibri"/>
                <w:sz w:val="18"/>
                <w:szCs w:val="18"/>
                <w:lang w:val="en"/>
              </w:rPr>
              <w:t>;</w:t>
            </w:r>
          </w:p>
          <w:p w14:paraId="24A1A462" w14:textId="06CA012D" w:rsidR="0007671D" w:rsidRPr="00C34DE9" w:rsidRDefault="0007671D" w:rsidP="00544872">
            <w:pPr>
              <w:spacing w:after="60"/>
              <w:rPr>
                <w:rFonts w:ascii="Verdana" w:hAnsi="Verdana" w:cs="Calibri"/>
                <w:sz w:val="18"/>
                <w:szCs w:val="18"/>
                <w:lang w:val="en"/>
              </w:rPr>
            </w:pPr>
          </w:p>
          <w:p w14:paraId="682BF6C7" w14:textId="6194DE4C" w:rsidR="0007671D" w:rsidRPr="00C34DE9" w:rsidRDefault="007D563F" w:rsidP="00095E66">
            <w:pPr>
              <w:autoSpaceDE w:val="0"/>
              <w:autoSpaceDN w:val="0"/>
              <w:adjustRightInd w:val="0"/>
              <w:spacing w:after="0" w:line="240" w:lineRule="auto"/>
              <w:rPr>
                <w:rFonts w:ascii="Verdana" w:eastAsia="Times New Roman" w:hAnsi="Verdana" w:cs="Calibri"/>
                <w:sz w:val="18"/>
                <w:szCs w:val="18"/>
              </w:rPr>
            </w:pPr>
            <w:r>
              <w:rPr>
                <w:rFonts w:ascii="Verdana" w:hAnsi="Verdana" w:cs="Calibri"/>
                <w:sz w:val="18"/>
                <w:szCs w:val="18"/>
                <w:lang w:val="en"/>
              </w:rPr>
              <w:t xml:space="preserve">Eurostat - </w:t>
            </w:r>
            <w:r w:rsidRPr="007D563F">
              <w:rPr>
                <w:rFonts w:ascii="Verdana" w:hAnsi="Verdana" w:cs="Calibri"/>
                <w:sz w:val="18"/>
                <w:szCs w:val="18"/>
                <w:lang w:val="en"/>
              </w:rPr>
              <w:t xml:space="preserve">Economic accounts for agriculture - indices: volume, price, values </w:t>
            </w:r>
            <w:hyperlink r:id="rId159" w:history="1">
              <w:r w:rsidRPr="008E3AC3">
                <w:rPr>
                  <w:rStyle w:val="Hyperlink"/>
                  <w:rFonts w:ascii="Verdana" w:hAnsi="Verdana" w:cs="Calibri"/>
                  <w:sz w:val="18"/>
                  <w:szCs w:val="18"/>
                  <w:lang w:val="en"/>
                </w:rPr>
                <w:t>[aact_eaa05</w:t>
              </w:r>
            </w:hyperlink>
            <w:r w:rsidRPr="007D563F">
              <w:rPr>
                <w:rFonts w:ascii="Verdana" w:hAnsi="Verdana" w:cs="Calibri"/>
                <w:sz w:val="18"/>
                <w:szCs w:val="18"/>
                <w:lang w:val="en"/>
              </w:rPr>
              <w:t>]</w:t>
            </w:r>
            <w:r w:rsidR="0007671D" w:rsidRPr="00C34DE9">
              <w:rPr>
                <w:rFonts w:ascii="Verdana" w:eastAsia="Times New Roman" w:hAnsi="Verdana" w:cs="Calibri"/>
                <w:sz w:val="18"/>
                <w:szCs w:val="18"/>
              </w:rPr>
              <w:t>.</w:t>
            </w:r>
          </w:p>
          <w:p w14:paraId="79A70C74" w14:textId="78718052" w:rsidR="0007671D" w:rsidRPr="00C34DE9" w:rsidRDefault="0007671D" w:rsidP="00A6594A">
            <w:pPr>
              <w:autoSpaceDE w:val="0"/>
              <w:autoSpaceDN w:val="0"/>
              <w:adjustRightInd w:val="0"/>
              <w:spacing w:after="0" w:line="240" w:lineRule="auto"/>
            </w:pPr>
            <w:r w:rsidRPr="00C34DE9">
              <w:rPr>
                <w:rStyle w:val="rightside"/>
                <w:rFonts w:ascii="Verdana" w:hAnsi="Verdana" w:cs="Calibri"/>
                <w:sz w:val="18"/>
                <w:szCs w:val="18"/>
              </w:rPr>
              <w:t xml:space="preserve">Products: </w:t>
            </w:r>
            <w:r w:rsidR="007D563F">
              <w:rPr>
                <w:rStyle w:val="rightside"/>
                <w:rFonts w:ascii="Verdana" w:hAnsi="Verdana" w:cs="Calibri"/>
                <w:sz w:val="18"/>
                <w:szCs w:val="18"/>
              </w:rPr>
              <w:t>19030</w:t>
            </w:r>
            <w:r w:rsidRPr="00C34DE9">
              <w:rPr>
                <w:rStyle w:val="rightside"/>
                <w:rFonts w:ascii="Verdana" w:hAnsi="Verdana" w:cs="Calibri"/>
                <w:sz w:val="18"/>
                <w:szCs w:val="18"/>
              </w:rPr>
              <w:t xml:space="preserve"> - FERTILISERS AND SOIL IMPROVERS, </w:t>
            </w:r>
            <w:r w:rsidR="007D563F">
              <w:rPr>
                <w:rStyle w:val="rightside"/>
                <w:rFonts w:ascii="Verdana" w:hAnsi="Verdana" w:cs="Calibri"/>
                <w:sz w:val="18"/>
                <w:szCs w:val="18"/>
              </w:rPr>
              <w:t>19040</w:t>
            </w:r>
            <w:r w:rsidRPr="00C34DE9">
              <w:rPr>
                <w:rStyle w:val="rightside"/>
                <w:rFonts w:ascii="Verdana" w:hAnsi="Verdana" w:cs="Calibri"/>
                <w:sz w:val="18"/>
                <w:szCs w:val="18"/>
              </w:rPr>
              <w:t xml:space="preserve"> - PLANT PROTECTION PRODUCTS AND PESTICIDES, </w:t>
            </w:r>
            <w:r w:rsidR="007D563F">
              <w:rPr>
                <w:rStyle w:val="rightside"/>
                <w:rFonts w:ascii="Verdana" w:hAnsi="Verdana" w:cs="Calibri"/>
                <w:sz w:val="18"/>
                <w:szCs w:val="18"/>
              </w:rPr>
              <w:t>19060</w:t>
            </w:r>
            <w:r w:rsidRPr="00C34DE9">
              <w:rPr>
                <w:rStyle w:val="rightside"/>
                <w:rFonts w:ascii="Verdana" w:hAnsi="Verdana" w:cs="Calibri"/>
                <w:sz w:val="18"/>
                <w:szCs w:val="18"/>
              </w:rPr>
              <w:t xml:space="preserve"> - ANIMAL FEEDINGSTUFFS.</w:t>
            </w:r>
          </w:p>
        </w:tc>
      </w:tr>
      <w:tr w:rsidR="0007671D" w:rsidRPr="00C34DE9" w14:paraId="67C7C0C8"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405B6E41"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EA1946D" w14:textId="77777777" w:rsidR="0007671D" w:rsidRPr="00C34DE9" w:rsidDel="00F9611E" w:rsidRDefault="002F6287" w:rsidP="00544872">
            <w:pPr>
              <w:spacing w:after="60"/>
              <w:rPr>
                <w:rFonts w:ascii="Verdana" w:hAnsi="Verdana"/>
                <w:sz w:val="18"/>
                <w:szCs w:val="18"/>
              </w:rPr>
            </w:pPr>
            <w:r>
              <w:rPr>
                <w:rFonts w:ascii="Verdana" w:hAnsi="Verdana"/>
                <w:sz w:val="18"/>
                <w:szCs w:val="18"/>
              </w:rPr>
              <w:t>EU,</w:t>
            </w:r>
            <w:r w:rsidR="0007671D" w:rsidRPr="00C34DE9">
              <w:rPr>
                <w:rFonts w:ascii="Verdana" w:hAnsi="Verdana"/>
                <w:sz w:val="18"/>
                <w:szCs w:val="18"/>
              </w:rPr>
              <w:t xml:space="preserve"> </w:t>
            </w:r>
            <w:r w:rsidR="00A6594A">
              <w:rPr>
                <w:rFonts w:ascii="Verdana" w:hAnsi="Verdana"/>
                <w:sz w:val="18"/>
                <w:szCs w:val="18"/>
              </w:rPr>
              <w:t>N</w:t>
            </w:r>
            <w:r w:rsidR="0007671D" w:rsidRPr="00C34DE9">
              <w:rPr>
                <w:rFonts w:ascii="Verdana" w:hAnsi="Verdana"/>
                <w:sz w:val="18"/>
                <w:szCs w:val="18"/>
              </w:rPr>
              <w:t xml:space="preserve">ational (NUTS 0), </w:t>
            </w:r>
            <w:r w:rsidR="00A6594A">
              <w:rPr>
                <w:rFonts w:ascii="Verdana" w:hAnsi="Verdana"/>
                <w:sz w:val="18"/>
                <w:szCs w:val="18"/>
              </w:rPr>
              <w:t>R</w:t>
            </w:r>
            <w:r w:rsidR="0007671D" w:rsidRPr="00C34DE9">
              <w:rPr>
                <w:rFonts w:ascii="Verdana" w:hAnsi="Verdana"/>
                <w:sz w:val="18"/>
                <w:szCs w:val="18"/>
              </w:rPr>
              <w:t>egional (NUTS 2); primary data refer to FADN regions.</w:t>
            </w:r>
          </w:p>
        </w:tc>
      </w:tr>
      <w:tr w:rsidR="0007671D" w:rsidRPr="00C34DE9" w14:paraId="4310B3CB" w14:textId="77777777" w:rsidTr="790C88FB">
        <w:trPr>
          <w:trHeight w:val="426"/>
        </w:trPr>
        <w:tc>
          <w:tcPr>
            <w:tcW w:w="3085" w:type="dxa"/>
            <w:tcBorders>
              <w:top w:val="single" w:sz="4" w:space="0" w:color="auto"/>
              <w:left w:val="single" w:sz="4" w:space="0" w:color="auto"/>
              <w:bottom w:val="single" w:sz="4" w:space="0" w:color="auto"/>
              <w:right w:val="single" w:sz="4" w:space="0" w:color="auto"/>
            </w:tcBorders>
            <w:vAlign w:val="center"/>
          </w:tcPr>
          <w:p w14:paraId="753BB8C8"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F2CC1BA" w14:textId="77777777" w:rsidR="0007671D" w:rsidRPr="00C34DE9" w:rsidRDefault="0007671D" w:rsidP="00544872">
            <w:pPr>
              <w:spacing w:after="60"/>
              <w:rPr>
                <w:rFonts w:ascii="Verdana" w:eastAsia="Times New Roman" w:hAnsi="Verdana"/>
                <w:sz w:val="18"/>
                <w:szCs w:val="18"/>
              </w:rPr>
            </w:pPr>
            <w:r w:rsidRPr="00C34DE9">
              <w:rPr>
                <w:rFonts w:ascii="Verdana" w:eastAsia="Times New Roman" w:hAnsi="Verdana"/>
                <w:sz w:val="18"/>
                <w:szCs w:val="18"/>
              </w:rPr>
              <w:t>Annual</w:t>
            </w:r>
          </w:p>
        </w:tc>
      </w:tr>
      <w:tr w:rsidR="0007671D" w:rsidRPr="00C34DE9" w14:paraId="7DD5B60B" w14:textId="77777777" w:rsidTr="790C88FB">
        <w:trPr>
          <w:trHeight w:val="401"/>
        </w:trPr>
        <w:tc>
          <w:tcPr>
            <w:tcW w:w="3085" w:type="dxa"/>
            <w:tcBorders>
              <w:top w:val="single" w:sz="4" w:space="0" w:color="auto"/>
              <w:left w:val="single" w:sz="4" w:space="0" w:color="auto"/>
              <w:bottom w:val="single" w:sz="4" w:space="0" w:color="auto"/>
              <w:right w:val="single" w:sz="4" w:space="0" w:color="auto"/>
            </w:tcBorders>
            <w:vAlign w:val="center"/>
          </w:tcPr>
          <w:p w14:paraId="72CE4790"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E9C50D4" w14:textId="77777777" w:rsidR="0007671D" w:rsidRPr="00C34DE9" w:rsidRDefault="0007671D" w:rsidP="00544872">
            <w:pPr>
              <w:spacing w:after="60"/>
              <w:rPr>
                <w:rFonts w:ascii="Verdana" w:hAnsi="Verdana"/>
                <w:sz w:val="18"/>
                <w:szCs w:val="18"/>
                <w:lang w:val="en-US"/>
              </w:rPr>
            </w:pPr>
            <w:r w:rsidRPr="00C34DE9">
              <w:rPr>
                <w:rFonts w:ascii="Verdana" w:hAnsi="Verdana"/>
                <w:sz w:val="18"/>
                <w:szCs w:val="18"/>
                <w:lang w:val="en-US"/>
              </w:rPr>
              <w:t>2 years</w:t>
            </w:r>
          </w:p>
        </w:tc>
      </w:tr>
      <w:tr w:rsidR="0007671D" w:rsidRPr="00C34DE9" w14:paraId="13E5AA29" w14:textId="77777777" w:rsidTr="790C88FB">
        <w:tc>
          <w:tcPr>
            <w:tcW w:w="3085" w:type="dxa"/>
            <w:tcBorders>
              <w:top w:val="single" w:sz="4" w:space="0" w:color="auto"/>
              <w:left w:val="single" w:sz="4" w:space="0" w:color="auto"/>
              <w:bottom w:val="single" w:sz="4" w:space="0" w:color="auto"/>
              <w:right w:val="single" w:sz="4" w:space="0" w:color="auto"/>
            </w:tcBorders>
            <w:vAlign w:val="center"/>
          </w:tcPr>
          <w:p w14:paraId="0AB5CCE5"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B821B45" w14:textId="77777777" w:rsidR="0007671D" w:rsidRPr="00C34DE9" w:rsidRDefault="00231F4F" w:rsidP="00544872">
            <w:pPr>
              <w:spacing w:after="60"/>
              <w:jc w:val="both"/>
              <w:rPr>
                <w:rFonts w:ascii="Verdana" w:hAnsi="Verdana"/>
                <w:sz w:val="18"/>
                <w:szCs w:val="18"/>
              </w:rPr>
            </w:pPr>
            <w:r w:rsidRPr="00C34DE9">
              <w:rPr>
                <w:rFonts w:ascii="Verdana" w:hAnsi="Verdana"/>
                <w:sz w:val="18"/>
                <w:szCs w:val="18"/>
              </w:rPr>
              <w:t>T</w:t>
            </w:r>
            <w:r w:rsidR="0007671D" w:rsidRPr="00C34DE9">
              <w:rPr>
                <w:rFonts w:ascii="Verdana" w:hAnsi="Verdana"/>
                <w:sz w:val="18"/>
                <w:szCs w:val="18"/>
              </w:rPr>
              <w:t xml:space="preserve">he </w:t>
            </w:r>
            <w:r w:rsidRPr="00C34DE9">
              <w:rPr>
                <w:rFonts w:ascii="Verdana" w:hAnsi="Verdana"/>
                <w:sz w:val="18"/>
                <w:szCs w:val="18"/>
              </w:rPr>
              <w:t xml:space="preserve">same </w:t>
            </w:r>
            <w:r w:rsidR="0007671D" w:rsidRPr="00C34DE9">
              <w:rPr>
                <w:rFonts w:ascii="Verdana" w:hAnsi="Verdana"/>
                <w:sz w:val="18"/>
                <w:szCs w:val="18"/>
              </w:rPr>
              <w:t xml:space="preserve">methodology </w:t>
            </w:r>
            <w:r w:rsidRPr="00C34DE9">
              <w:rPr>
                <w:rFonts w:ascii="Verdana" w:hAnsi="Verdana"/>
                <w:sz w:val="18"/>
                <w:szCs w:val="18"/>
              </w:rPr>
              <w:t>is applied to</w:t>
            </w:r>
            <w:r w:rsidR="0007671D" w:rsidRPr="00C34DE9">
              <w:rPr>
                <w:rFonts w:ascii="Verdana" w:hAnsi="Verdana"/>
                <w:sz w:val="18"/>
                <w:szCs w:val="18"/>
              </w:rPr>
              <w:t xml:space="preserve"> the agri-environmental indicator 12 Intensification/Extensification </w:t>
            </w:r>
          </w:p>
          <w:p w14:paraId="495D1B1B" w14:textId="77777777" w:rsidR="0007671D" w:rsidRPr="00C34DE9" w:rsidRDefault="00AA07F1" w:rsidP="00544872">
            <w:pPr>
              <w:pStyle w:val="RD-Indicatortabletext"/>
              <w:spacing w:after="60"/>
              <w:rPr>
                <w:rFonts w:cs="Calibri"/>
                <w:sz w:val="18"/>
                <w:szCs w:val="18"/>
              </w:rPr>
            </w:pPr>
            <w:hyperlink r:id="rId160" w:history="1">
              <w:r w:rsidR="0007671D" w:rsidRPr="00C34DE9">
                <w:rPr>
                  <w:rStyle w:val="Hyperlink"/>
                  <w:rFonts w:cs="Calibri"/>
                  <w:sz w:val="18"/>
                  <w:szCs w:val="18"/>
                </w:rPr>
                <w:t>http://ec.europa.eu/eurostat/statistics-explained/index.php/Agri-environmental_indicators</w:t>
              </w:r>
            </w:hyperlink>
          </w:p>
        </w:tc>
      </w:tr>
    </w:tbl>
    <w:p w14:paraId="6CBDA814" w14:textId="77777777" w:rsidR="002D6AF6" w:rsidRPr="00C34DE9" w:rsidRDefault="002D6AF6" w:rsidP="00544872">
      <w:pPr>
        <w:spacing w:after="60"/>
        <w:rPr>
          <w:rFonts w:ascii="Verdana" w:hAnsi="Verdana"/>
          <w:sz w:val="18"/>
          <w:szCs w:val="18"/>
        </w:rPr>
      </w:pPr>
    </w:p>
    <w:p w14:paraId="42E60884" w14:textId="77777777" w:rsidR="002D6AF6" w:rsidRPr="00C34DE9" w:rsidRDefault="002D6AF6" w:rsidP="00544872">
      <w:pPr>
        <w:spacing w:after="60"/>
        <w:rPr>
          <w:rFonts w:ascii="Verdana" w:hAnsi="Verdana"/>
          <w:b/>
          <w:sz w:val="18"/>
          <w:szCs w:val="18"/>
        </w:rPr>
      </w:pPr>
    </w:p>
    <w:p w14:paraId="0DE19689" w14:textId="77777777" w:rsidR="00940A4E" w:rsidRPr="00C34DE9" w:rsidRDefault="00940A4E">
      <w:pPr>
        <w:rPr>
          <w:rFonts w:ascii="Verdana" w:hAnsi="Verdana"/>
          <w:sz w:val="18"/>
          <w:szCs w:val="18"/>
        </w:rPr>
      </w:pPr>
      <w:r w:rsidRPr="00C34DE9">
        <w:rPr>
          <w:rFonts w:ascii="Verdana" w:hAnsi="Verdana"/>
          <w:sz w:val="18"/>
          <w:szCs w:val="18"/>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28"/>
      </w:tblGrid>
      <w:tr w:rsidR="0007671D" w:rsidRPr="00C34DE9" w14:paraId="41957F28"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00B0F0"/>
          </w:tcPr>
          <w:p w14:paraId="2258AC6F" w14:textId="5C0B77A4" w:rsidR="0007671D" w:rsidRPr="00C34DE9" w:rsidRDefault="0007671D" w:rsidP="00C91840">
            <w:pPr>
              <w:spacing w:before="60" w:after="60" w:line="240" w:lineRule="auto"/>
              <w:rPr>
                <w:rFonts w:ascii="Verdana" w:hAnsi="Verdana"/>
                <w:b/>
                <w:bCs/>
                <w:smallCaps/>
                <w:sz w:val="18"/>
                <w:szCs w:val="18"/>
              </w:rPr>
            </w:pPr>
            <w:bookmarkStart w:id="47" w:name="C34"/>
            <w:r w:rsidRPr="5CB4B133">
              <w:rPr>
                <w:rFonts w:ascii="Verdana" w:hAnsi="Verdana"/>
                <w:b/>
                <w:bCs/>
                <w:smallCaps/>
                <w:sz w:val="18"/>
                <w:szCs w:val="18"/>
              </w:rPr>
              <w:lastRenderedPageBreak/>
              <w:t>Indicator C.3</w:t>
            </w:r>
            <w:r w:rsidR="00C91840">
              <w:rPr>
                <w:rFonts w:ascii="Verdana" w:hAnsi="Verdana"/>
                <w:b/>
                <w:bCs/>
                <w:smallCaps/>
                <w:sz w:val="18"/>
                <w:szCs w:val="18"/>
              </w:rPr>
              <w:t>5</w:t>
            </w:r>
            <w:bookmarkEnd w:id="47"/>
          </w:p>
        </w:tc>
        <w:tc>
          <w:tcPr>
            <w:tcW w:w="7528" w:type="dxa"/>
            <w:tcBorders>
              <w:top w:val="single" w:sz="4" w:space="0" w:color="auto"/>
              <w:left w:val="single" w:sz="4" w:space="0" w:color="auto"/>
              <w:bottom w:val="single" w:sz="4" w:space="0" w:color="auto"/>
              <w:right w:val="single" w:sz="4" w:space="0" w:color="auto"/>
            </w:tcBorders>
            <w:shd w:val="clear" w:color="auto" w:fill="00B0F0"/>
          </w:tcPr>
          <w:p w14:paraId="3EDBEDAC" w14:textId="12D35D6F" w:rsidR="00DF348E" w:rsidRPr="00DF348E" w:rsidRDefault="00DF348E" w:rsidP="009110F8">
            <w:pPr>
              <w:spacing w:before="60" w:after="60" w:line="240" w:lineRule="auto"/>
              <w:rPr>
                <w:rFonts w:ascii="Verdana" w:hAnsi="Verdana"/>
                <w:caps/>
                <w:sz w:val="18"/>
                <w:szCs w:val="18"/>
              </w:rPr>
            </w:pPr>
            <w:bookmarkStart w:id="48" w:name="I28"/>
            <w:r w:rsidRPr="5CB4B133">
              <w:rPr>
                <w:rFonts w:ascii="Verdana" w:hAnsi="Verdana"/>
                <w:b/>
                <w:bCs/>
                <w:sz w:val="18"/>
                <w:szCs w:val="18"/>
              </w:rPr>
              <w:t>Indicator I.2</w:t>
            </w:r>
            <w:r w:rsidR="00C91840">
              <w:rPr>
                <w:rFonts w:ascii="Verdana" w:hAnsi="Verdana"/>
                <w:b/>
                <w:bCs/>
                <w:sz w:val="18"/>
                <w:szCs w:val="18"/>
              </w:rPr>
              <w:t>9</w:t>
            </w:r>
            <w:bookmarkEnd w:id="48"/>
            <w:r w:rsidRPr="5CB4B133">
              <w:rPr>
                <w:rFonts w:ascii="Verdana" w:hAnsi="Verdana"/>
                <w:b/>
                <w:bCs/>
                <w:sz w:val="18"/>
                <w:szCs w:val="18"/>
              </w:rPr>
              <w:t xml:space="preserve"> Responding to consumer demand for quality food</w:t>
            </w:r>
            <w:r w:rsidRPr="00DF348E">
              <w:rPr>
                <w:rFonts w:ascii="Verdana" w:hAnsi="Verdana"/>
                <w:sz w:val="18"/>
                <w:szCs w:val="18"/>
              </w:rPr>
              <w:t>:</w:t>
            </w:r>
          </w:p>
          <w:p w14:paraId="1639C70A" w14:textId="105DD59C" w:rsidR="0007671D" w:rsidRPr="00C34DE9" w:rsidRDefault="00DF348E" w:rsidP="00CE175B">
            <w:pPr>
              <w:spacing w:before="60" w:after="60"/>
              <w:rPr>
                <w:rFonts w:ascii="Verdana" w:hAnsi="Verdana"/>
                <w:caps/>
                <w:sz w:val="18"/>
                <w:szCs w:val="18"/>
              </w:rPr>
            </w:pPr>
            <w:r>
              <w:rPr>
                <w:rFonts w:ascii="Verdana" w:hAnsi="Verdana"/>
                <w:sz w:val="18"/>
                <w:szCs w:val="18"/>
              </w:rPr>
              <w:t>V</w:t>
            </w:r>
            <w:r w:rsidRPr="00DF348E">
              <w:rPr>
                <w:rFonts w:ascii="Verdana" w:hAnsi="Verdana"/>
                <w:sz w:val="18"/>
                <w:szCs w:val="18"/>
              </w:rPr>
              <w:t xml:space="preserve">alue of production under </w:t>
            </w:r>
            <w:r w:rsidR="00051B8B">
              <w:rPr>
                <w:rFonts w:ascii="Verdana" w:hAnsi="Verdana"/>
                <w:sz w:val="18"/>
                <w:szCs w:val="18"/>
              </w:rPr>
              <w:t>Union</w:t>
            </w:r>
            <w:r w:rsidRPr="00DF348E">
              <w:rPr>
                <w:rFonts w:ascii="Verdana" w:hAnsi="Verdana"/>
                <w:sz w:val="18"/>
                <w:szCs w:val="18"/>
              </w:rPr>
              <w:t xml:space="preserve"> quality schemes </w:t>
            </w:r>
            <w:r w:rsidR="00CE175B">
              <w:rPr>
                <w:rFonts w:ascii="Verdana" w:hAnsi="Verdana"/>
                <w:sz w:val="18"/>
                <w:szCs w:val="18"/>
              </w:rPr>
              <w:t xml:space="preserve">and </w:t>
            </w:r>
            <w:r w:rsidR="00051B8B">
              <w:rPr>
                <w:rFonts w:ascii="Verdana" w:hAnsi="Verdana"/>
                <w:sz w:val="18"/>
                <w:szCs w:val="18"/>
              </w:rPr>
              <w:t xml:space="preserve">of </w:t>
            </w:r>
            <w:r w:rsidRPr="00DF348E">
              <w:rPr>
                <w:rFonts w:ascii="Verdana" w:hAnsi="Verdana"/>
                <w:sz w:val="18"/>
                <w:szCs w:val="18"/>
              </w:rPr>
              <w:t>organic</w:t>
            </w:r>
            <w:r w:rsidR="00051B8B">
              <w:rPr>
                <w:rFonts w:ascii="Verdana" w:hAnsi="Verdana"/>
                <w:sz w:val="18"/>
                <w:szCs w:val="18"/>
              </w:rPr>
              <w:t xml:space="preserve"> production</w:t>
            </w:r>
          </w:p>
        </w:tc>
      </w:tr>
      <w:tr w:rsidR="0007671D" w:rsidRPr="00C34DE9" w14:paraId="60474534" w14:textId="77777777" w:rsidTr="790C88FB">
        <w:tc>
          <w:tcPr>
            <w:tcW w:w="2660" w:type="dxa"/>
            <w:tcBorders>
              <w:top w:val="single" w:sz="4" w:space="0" w:color="auto"/>
              <w:left w:val="single" w:sz="4" w:space="0" w:color="auto"/>
              <w:bottom w:val="single" w:sz="4" w:space="0" w:color="auto"/>
              <w:right w:val="single" w:sz="4" w:space="0" w:color="auto"/>
            </w:tcBorders>
          </w:tcPr>
          <w:p w14:paraId="25FDED9E"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Indicator Name</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19919B25" w14:textId="7AD86FFA" w:rsidR="0007671D" w:rsidRPr="00C34DE9" w:rsidRDefault="0007671D" w:rsidP="3B80D187">
            <w:pPr>
              <w:spacing w:after="120" w:line="240" w:lineRule="auto"/>
              <w:jc w:val="center"/>
              <w:rPr>
                <w:rFonts w:ascii="Verdana" w:hAnsi="Verdana"/>
                <w:b/>
                <w:bCs/>
                <w:sz w:val="18"/>
                <w:szCs w:val="18"/>
              </w:rPr>
            </w:pPr>
            <w:r w:rsidRPr="3B80D187">
              <w:rPr>
                <w:rFonts w:ascii="Verdana" w:hAnsi="Verdana"/>
                <w:b/>
                <w:bCs/>
                <w:sz w:val="18"/>
                <w:szCs w:val="18"/>
              </w:rPr>
              <w:t>Value of production under EU quality schemes</w:t>
            </w:r>
            <w:r w:rsidR="00CE175B" w:rsidRPr="3B80D187">
              <w:rPr>
                <w:rFonts w:ascii="Verdana" w:hAnsi="Verdana"/>
                <w:b/>
                <w:bCs/>
                <w:sz w:val="18"/>
                <w:szCs w:val="18"/>
              </w:rPr>
              <w:t xml:space="preserve"> and </w:t>
            </w:r>
            <w:r w:rsidR="007C6E79">
              <w:rPr>
                <w:rFonts w:ascii="Verdana" w:hAnsi="Verdana"/>
                <w:b/>
                <w:bCs/>
                <w:sz w:val="18"/>
                <w:szCs w:val="18"/>
              </w:rPr>
              <w:t xml:space="preserve">of </w:t>
            </w:r>
            <w:r w:rsidR="00CE175B" w:rsidRPr="3B80D187">
              <w:rPr>
                <w:rFonts w:ascii="Verdana" w:hAnsi="Verdana"/>
                <w:b/>
                <w:bCs/>
                <w:sz w:val="18"/>
                <w:szCs w:val="18"/>
              </w:rPr>
              <w:t>organic</w:t>
            </w:r>
            <w:r w:rsidR="007C6E79">
              <w:rPr>
                <w:rFonts w:ascii="Verdana" w:hAnsi="Verdana"/>
                <w:b/>
                <w:bCs/>
                <w:sz w:val="18"/>
                <w:szCs w:val="18"/>
              </w:rPr>
              <w:t xml:space="preserve"> production</w:t>
            </w:r>
          </w:p>
          <w:p w14:paraId="01F99EA1" w14:textId="77777777" w:rsidR="0007671D" w:rsidRPr="00C34DE9" w:rsidRDefault="0007671D" w:rsidP="005B5547">
            <w:pPr>
              <w:spacing w:after="120" w:line="240" w:lineRule="auto"/>
              <w:jc w:val="center"/>
              <w:rPr>
                <w:rFonts w:ascii="Verdana" w:hAnsi="Verdana"/>
                <w:sz w:val="18"/>
                <w:szCs w:val="18"/>
              </w:rPr>
            </w:pPr>
            <w:r w:rsidRPr="00C34DE9">
              <w:rPr>
                <w:rFonts w:ascii="Verdana" w:hAnsi="Verdana"/>
                <w:sz w:val="18"/>
                <w:szCs w:val="18"/>
              </w:rPr>
              <w:t>compared to total value of agricultural and food production</w:t>
            </w:r>
          </w:p>
        </w:tc>
      </w:tr>
      <w:tr w:rsidR="0007671D" w:rsidRPr="00C34DE9" w14:paraId="12FCB66A" w14:textId="77777777" w:rsidTr="790C88FB">
        <w:tc>
          <w:tcPr>
            <w:tcW w:w="2660" w:type="dxa"/>
            <w:tcBorders>
              <w:top w:val="single" w:sz="4" w:space="0" w:color="auto"/>
              <w:left w:val="single" w:sz="4" w:space="0" w:color="auto"/>
              <w:bottom w:val="single" w:sz="4" w:space="0" w:color="auto"/>
              <w:right w:val="single" w:sz="4" w:space="0" w:color="auto"/>
            </w:tcBorders>
          </w:tcPr>
          <w:p w14:paraId="2936B702"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Definition</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33178D69" w14:textId="77777777" w:rsidR="00837D98" w:rsidRDefault="00837D98" w:rsidP="005B5547">
            <w:pPr>
              <w:spacing w:after="120" w:line="240" w:lineRule="auto"/>
              <w:rPr>
                <w:rFonts w:ascii="Verdana" w:hAnsi="Verdana"/>
                <w:sz w:val="18"/>
                <w:szCs w:val="18"/>
              </w:rPr>
            </w:pPr>
            <w:r>
              <w:rPr>
                <w:rFonts w:ascii="Verdana" w:hAnsi="Verdana"/>
                <w:sz w:val="18"/>
                <w:szCs w:val="18"/>
              </w:rPr>
              <w:t xml:space="preserve">It consists of 3 </w:t>
            </w:r>
            <w:r w:rsidR="00DD478B">
              <w:rPr>
                <w:rFonts w:ascii="Verdana" w:hAnsi="Verdana"/>
                <w:sz w:val="18"/>
                <w:szCs w:val="18"/>
              </w:rPr>
              <w:t>specific indicators</w:t>
            </w:r>
            <w:r>
              <w:rPr>
                <w:rFonts w:ascii="Verdana" w:hAnsi="Verdana"/>
                <w:sz w:val="18"/>
                <w:szCs w:val="18"/>
              </w:rPr>
              <w:t>:</w:t>
            </w:r>
          </w:p>
          <w:p w14:paraId="2998CC23" w14:textId="7D8083BC" w:rsidR="0007671D" w:rsidRPr="002961BF" w:rsidRDefault="00837D98" w:rsidP="002961BF">
            <w:pPr>
              <w:pStyle w:val="ListParagraph"/>
              <w:numPr>
                <w:ilvl w:val="0"/>
                <w:numId w:val="116"/>
              </w:numPr>
              <w:shd w:val="clear" w:color="auto" w:fill="00B0F0"/>
              <w:autoSpaceDE w:val="0"/>
              <w:autoSpaceDN w:val="0"/>
              <w:adjustRightInd w:val="0"/>
              <w:spacing w:after="60"/>
              <w:jc w:val="both"/>
              <w:rPr>
                <w:rFonts w:ascii="Verdana" w:hAnsi="Verdana" w:cs="Calibri"/>
                <w:sz w:val="18"/>
                <w:szCs w:val="18"/>
              </w:rPr>
            </w:pPr>
            <w:r w:rsidRPr="002961BF">
              <w:rPr>
                <w:rFonts w:ascii="Verdana" w:hAnsi="Verdana" w:cs="Calibri"/>
                <w:b/>
                <w:sz w:val="18"/>
                <w:szCs w:val="18"/>
              </w:rPr>
              <w:t>total v</w:t>
            </w:r>
            <w:r w:rsidR="0007671D" w:rsidRPr="002961BF">
              <w:rPr>
                <w:rFonts w:ascii="Verdana" w:hAnsi="Verdana" w:cs="Calibri"/>
                <w:b/>
                <w:sz w:val="18"/>
                <w:szCs w:val="18"/>
              </w:rPr>
              <w:t xml:space="preserve">alue of production under </w:t>
            </w:r>
            <w:r w:rsidR="007856C1" w:rsidRPr="002961BF">
              <w:rPr>
                <w:rFonts w:ascii="Verdana" w:hAnsi="Verdana" w:cs="Calibri"/>
                <w:b/>
                <w:sz w:val="18"/>
                <w:szCs w:val="18"/>
              </w:rPr>
              <w:t xml:space="preserve">EU </w:t>
            </w:r>
            <w:r w:rsidR="0007671D" w:rsidRPr="002961BF">
              <w:rPr>
                <w:rFonts w:ascii="Verdana" w:hAnsi="Verdana" w:cs="Calibri"/>
                <w:b/>
                <w:sz w:val="18"/>
                <w:szCs w:val="18"/>
              </w:rPr>
              <w:t>quality schemes</w:t>
            </w:r>
            <w:r w:rsidR="00DE1B65" w:rsidRPr="002961BF">
              <w:rPr>
                <w:rFonts w:ascii="Verdana" w:hAnsi="Verdana" w:cs="Calibri"/>
                <w:b/>
                <w:sz w:val="18"/>
                <w:szCs w:val="18"/>
              </w:rPr>
              <w:t xml:space="preserve"> and organics</w:t>
            </w:r>
            <w:r w:rsidR="0007671D" w:rsidRPr="002961BF">
              <w:rPr>
                <w:rFonts w:ascii="Verdana" w:hAnsi="Verdana" w:cs="Calibri"/>
                <w:sz w:val="18"/>
                <w:szCs w:val="18"/>
              </w:rPr>
              <w:t xml:space="preserve"> </w:t>
            </w:r>
            <w:r w:rsidR="00DE1B65" w:rsidRPr="002961BF">
              <w:rPr>
                <w:rFonts w:ascii="Verdana" w:hAnsi="Verdana" w:cs="Calibri"/>
                <w:sz w:val="18"/>
                <w:szCs w:val="18"/>
              </w:rPr>
              <w:t>as well as</w:t>
            </w:r>
            <w:r w:rsidRPr="002961BF">
              <w:rPr>
                <w:rFonts w:ascii="Verdana" w:hAnsi="Verdana" w:cs="Calibri"/>
                <w:sz w:val="18"/>
                <w:szCs w:val="18"/>
              </w:rPr>
              <w:t xml:space="preserve"> </w:t>
            </w:r>
            <w:r w:rsidR="00DE1B65" w:rsidRPr="002961BF">
              <w:rPr>
                <w:rFonts w:ascii="Verdana" w:hAnsi="Verdana" w:cs="Calibri"/>
                <w:sz w:val="18"/>
                <w:szCs w:val="18"/>
              </w:rPr>
              <w:t xml:space="preserve">the </w:t>
            </w:r>
            <w:r w:rsidRPr="002961BF">
              <w:rPr>
                <w:rFonts w:ascii="Verdana" w:hAnsi="Verdana" w:cs="Calibri"/>
                <w:sz w:val="18"/>
                <w:szCs w:val="18"/>
              </w:rPr>
              <w:t>share o</w:t>
            </w:r>
            <w:r w:rsidR="00D66A04" w:rsidRPr="002961BF">
              <w:rPr>
                <w:rFonts w:ascii="Verdana" w:hAnsi="Verdana" w:cs="Calibri"/>
                <w:sz w:val="18"/>
                <w:szCs w:val="18"/>
              </w:rPr>
              <w:t>f</w:t>
            </w:r>
            <w:r w:rsidRPr="002961BF">
              <w:rPr>
                <w:rFonts w:ascii="Verdana" w:hAnsi="Verdana" w:cs="Calibri"/>
                <w:sz w:val="18"/>
                <w:szCs w:val="18"/>
              </w:rPr>
              <w:t xml:space="preserve"> the </w:t>
            </w:r>
            <w:r w:rsidR="0007671D" w:rsidRPr="002961BF">
              <w:rPr>
                <w:rFonts w:ascii="Verdana" w:hAnsi="Verdana" w:cs="Calibri"/>
                <w:sz w:val="18"/>
                <w:szCs w:val="18"/>
              </w:rPr>
              <w:t>total agricultural and food production</w:t>
            </w:r>
            <w:r w:rsidRPr="002961BF">
              <w:rPr>
                <w:rFonts w:ascii="Verdana" w:hAnsi="Verdana" w:cs="Calibri"/>
                <w:sz w:val="18"/>
                <w:szCs w:val="18"/>
              </w:rPr>
              <w:t xml:space="preserve"> value</w:t>
            </w:r>
          </w:p>
          <w:p w14:paraId="65DC3022" w14:textId="464ACFCA" w:rsidR="00837D98" w:rsidRPr="002961BF" w:rsidRDefault="00837D98" w:rsidP="002961BF">
            <w:pPr>
              <w:pStyle w:val="ListParagraph"/>
              <w:numPr>
                <w:ilvl w:val="0"/>
                <w:numId w:val="116"/>
              </w:numPr>
              <w:spacing w:after="120" w:line="240" w:lineRule="auto"/>
              <w:rPr>
                <w:rFonts w:ascii="Verdana" w:hAnsi="Verdana"/>
                <w:b/>
                <w:bCs/>
                <w:sz w:val="18"/>
                <w:szCs w:val="18"/>
              </w:rPr>
            </w:pPr>
            <w:r w:rsidRPr="002961BF">
              <w:rPr>
                <w:rFonts w:ascii="Verdana" w:hAnsi="Verdana"/>
                <w:b/>
                <w:bCs/>
                <w:sz w:val="18"/>
                <w:szCs w:val="18"/>
              </w:rPr>
              <w:t>value of production</w:t>
            </w:r>
            <w:r w:rsidR="00D66A04" w:rsidRPr="002961BF">
              <w:rPr>
                <w:rFonts w:ascii="Verdana" w:hAnsi="Verdana"/>
                <w:b/>
                <w:bCs/>
                <w:sz w:val="18"/>
                <w:szCs w:val="18"/>
              </w:rPr>
              <w:t xml:space="preserve"> by </w:t>
            </w:r>
            <w:r w:rsidRPr="002961BF">
              <w:rPr>
                <w:rFonts w:ascii="Verdana" w:hAnsi="Verdana"/>
                <w:b/>
                <w:bCs/>
                <w:sz w:val="18"/>
                <w:szCs w:val="18"/>
              </w:rPr>
              <w:t xml:space="preserve">EU quality schemes </w:t>
            </w:r>
            <w:r w:rsidR="00D66A04" w:rsidRPr="002961BF">
              <w:rPr>
                <w:rFonts w:ascii="Verdana" w:hAnsi="Verdana"/>
                <w:sz w:val="18"/>
                <w:szCs w:val="18"/>
              </w:rPr>
              <w:t>–</w:t>
            </w:r>
            <w:r w:rsidRPr="002961BF">
              <w:rPr>
                <w:rFonts w:ascii="Verdana" w:hAnsi="Verdana"/>
                <w:sz w:val="18"/>
                <w:szCs w:val="18"/>
              </w:rPr>
              <w:t xml:space="preserve"> PDO</w:t>
            </w:r>
            <w:r w:rsidR="00D66A04" w:rsidRPr="002961BF">
              <w:rPr>
                <w:rFonts w:ascii="Verdana" w:hAnsi="Verdana"/>
                <w:sz w:val="18"/>
                <w:szCs w:val="18"/>
              </w:rPr>
              <w:t>,</w:t>
            </w:r>
            <w:r w:rsidRPr="002961BF">
              <w:rPr>
                <w:rFonts w:ascii="Verdana" w:hAnsi="Verdana"/>
                <w:sz w:val="18"/>
                <w:szCs w:val="18"/>
              </w:rPr>
              <w:t xml:space="preserve"> PGI</w:t>
            </w:r>
            <w:r w:rsidR="00D66A04" w:rsidRPr="002961BF">
              <w:rPr>
                <w:rFonts w:ascii="Verdana" w:hAnsi="Verdana"/>
                <w:sz w:val="18"/>
                <w:szCs w:val="18"/>
              </w:rPr>
              <w:t xml:space="preserve"> and TSG</w:t>
            </w:r>
            <w:r w:rsidRPr="002961BF">
              <w:rPr>
                <w:rFonts w:ascii="Verdana" w:hAnsi="Verdana"/>
                <w:sz w:val="18"/>
                <w:szCs w:val="18"/>
              </w:rPr>
              <w:t xml:space="preserve"> (</w:t>
            </w:r>
            <w:r w:rsidRPr="002961BF">
              <w:rPr>
                <w:rFonts w:ascii="Verdana" w:hAnsi="Verdana"/>
                <w:sz w:val="18"/>
                <w:szCs w:val="18"/>
                <w:lang w:val="en"/>
              </w:rPr>
              <w:t>Council Regulation (EC) No 510/2006) and share o</w:t>
            </w:r>
            <w:r w:rsidR="00D66A04" w:rsidRPr="002961BF">
              <w:rPr>
                <w:rFonts w:ascii="Verdana" w:hAnsi="Verdana"/>
                <w:sz w:val="18"/>
                <w:szCs w:val="18"/>
                <w:lang w:val="en"/>
              </w:rPr>
              <w:t>f</w:t>
            </w:r>
            <w:r w:rsidRPr="002961BF">
              <w:rPr>
                <w:rFonts w:ascii="Verdana" w:hAnsi="Verdana"/>
                <w:sz w:val="18"/>
                <w:szCs w:val="18"/>
                <w:lang w:val="en"/>
              </w:rPr>
              <w:t xml:space="preserve"> total </w:t>
            </w:r>
            <w:r w:rsidRPr="002961BF">
              <w:rPr>
                <w:rFonts w:ascii="Verdana" w:hAnsi="Verdana"/>
                <w:sz w:val="18"/>
                <w:szCs w:val="18"/>
              </w:rPr>
              <w:t>agricultural and food production value</w:t>
            </w:r>
          </w:p>
          <w:p w14:paraId="4B2F64E3" w14:textId="54004CD6" w:rsidR="00837D98" w:rsidRPr="002961BF" w:rsidRDefault="00837D98" w:rsidP="002961BF">
            <w:pPr>
              <w:pStyle w:val="ListParagraph"/>
              <w:numPr>
                <w:ilvl w:val="0"/>
                <w:numId w:val="116"/>
              </w:numPr>
              <w:spacing w:after="120" w:line="240" w:lineRule="auto"/>
              <w:rPr>
                <w:rFonts w:ascii="Verdana" w:hAnsi="Verdana"/>
                <w:b/>
                <w:bCs/>
                <w:sz w:val="18"/>
                <w:szCs w:val="18"/>
              </w:rPr>
            </w:pPr>
            <w:r w:rsidRPr="002961BF">
              <w:rPr>
                <w:rFonts w:ascii="Verdana" w:hAnsi="Verdana"/>
                <w:b/>
                <w:bCs/>
                <w:sz w:val="18"/>
                <w:szCs w:val="18"/>
              </w:rPr>
              <w:t xml:space="preserve">value of certified organic production </w:t>
            </w:r>
            <w:r w:rsidRPr="002961BF">
              <w:rPr>
                <w:rFonts w:ascii="Verdana" w:hAnsi="Verdana"/>
                <w:sz w:val="18"/>
                <w:szCs w:val="18"/>
                <w:lang w:val="en"/>
              </w:rPr>
              <w:t>and share</w:t>
            </w:r>
            <w:r w:rsidRPr="002961BF">
              <w:rPr>
                <w:rFonts w:ascii="Verdana" w:hAnsi="Verdana"/>
                <w:b/>
                <w:bCs/>
                <w:sz w:val="18"/>
                <w:szCs w:val="18"/>
                <w:lang w:val="en"/>
              </w:rPr>
              <w:t xml:space="preserve"> </w:t>
            </w:r>
            <w:r w:rsidRPr="002961BF">
              <w:rPr>
                <w:rFonts w:ascii="Verdana" w:hAnsi="Verdana"/>
                <w:sz w:val="18"/>
                <w:szCs w:val="18"/>
                <w:lang w:val="en"/>
              </w:rPr>
              <w:t>o</w:t>
            </w:r>
            <w:r w:rsidR="00D66A04" w:rsidRPr="002961BF">
              <w:rPr>
                <w:rFonts w:ascii="Verdana" w:hAnsi="Verdana"/>
                <w:sz w:val="18"/>
                <w:szCs w:val="18"/>
                <w:lang w:val="en"/>
              </w:rPr>
              <w:t>f</w:t>
            </w:r>
            <w:r w:rsidRPr="002961BF">
              <w:rPr>
                <w:rFonts w:ascii="Verdana" w:hAnsi="Verdana"/>
                <w:sz w:val="18"/>
                <w:szCs w:val="18"/>
                <w:lang w:val="en"/>
              </w:rPr>
              <w:t xml:space="preserve"> total </w:t>
            </w:r>
            <w:r w:rsidRPr="002961BF">
              <w:rPr>
                <w:rFonts w:ascii="Verdana" w:hAnsi="Verdana"/>
                <w:sz w:val="18"/>
                <w:szCs w:val="18"/>
              </w:rPr>
              <w:t>agricultural and food production value</w:t>
            </w:r>
          </w:p>
          <w:p w14:paraId="743E3ED0" w14:textId="2A909E70" w:rsidR="0007671D" w:rsidRPr="00C34DE9" w:rsidRDefault="007856C1" w:rsidP="005B5547">
            <w:pPr>
              <w:spacing w:after="120" w:line="240" w:lineRule="auto"/>
              <w:rPr>
                <w:rFonts w:ascii="Verdana" w:hAnsi="Verdana"/>
                <w:sz w:val="18"/>
                <w:szCs w:val="18"/>
              </w:rPr>
            </w:pPr>
            <w:r w:rsidRPr="007856C1">
              <w:rPr>
                <w:rFonts w:ascii="Verdana" w:hAnsi="Verdana"/>
                <w:sz w:val="18"/>
                <w:szCs w:val="18"/>
              </w:rPr>
              <w:t xml:space="preserve">It covers </w:t>
            </w:r>
            <w:r>
              <w:rPr>
                <w:rFonts w:ascii="Verdana" w:hAnsi="Verdana"/>
                <w:sz w:val="18"/>
                <w:szCs w:val="18"/>
              </w:rPr>
              <w:t>the four EU quality</w:t>
            </w:r>
            <w:r w:rsidRPr="007856C1">
              <w:rPr>
                <w:rFonts w:ascii="Verdana" w:hAnsi="Verdana"/>
                <w:sz w:val="18"/>
                <w:szCs w:val="18"/>
              </w:rPr>
              <w:t xml:space="preserve"> schemes: agricultural products and foodstuffs (Reg. (EU) No 1151/2012), wines (Reg. (EU) No 1308/2013), spirit drinks (Reg. (EC) No 110/2008), and aromatised wine products (Reg.(EU) No 251/2014)</w:t>
            </w:r>
            <w:r>
              <w:rPr>
                <w:rFonts w:ascii="Verdana" w:hAnsi="Verdana"/>
                <w:sz w:val="18"/>
                <w:szCs w:val="18"/>
              </w:rPr>
              <w:t>, as well as certified organic production (Reg. (EC</w:t>
            </w:r>
            <w:r w:rsidRPr="007856C1">
              <w:rPr>
                <w:rFonts w:ascii="Verdana" w:hAnsi="Verdana"/>
                <w:sz w:val="18"/>
                <w:szCs w:val="18"/>
              </w:rPr>
              <w:t>) No 834/2007</w:t>
            </w:r>
            <w:r>
              <w:rPr>
                <w:rFonts w:ascii="Verdana" w:hAnsi="Verdana"/>
                <w:sz w:val="18"/>
                <w:szCs w:val="18"/>
              </w:rPr>
              <w:t>).</w:t>
            </w:r>
            <w:r w:rsidRPr="007856C1">
              <w:rPr>
                <w:rFonts w:ascii="Verdana" w:hAnsi="Verdana"/>
                <w:sz w:val="18"/>
                <w:szCs w:val="18"/>
              </w:rPr>
              <w:t xml:space="preserve"> </w:t>
            </w:r>
          </w:p>
        </w:tc>
      </w:tr>
      <w:tr w:rsidR="0007671D" w:rsidRPr="00C34DE9" w14:paraId="64E7C4DE" w14:textId="77777777" w:rsidTr="790C88FB">
        <w:tc>
          <w:tcPr>
            <w:tcW w:w="2660" w:type="dxa"/>
            <w:tcBorders>
              <w:top w:val="single" w:sz="4" w:space="0" w:color="auto"/>
              <w:left w:val="single" w:sz="4" w:space="0" w:color="auto"/>
              <w:bottom w:val="single" w:sz="4" w:space="0" w:color="auto"/>
              <w:right w:val="single" w:sz="4" w:space="0" w:color="auto"/>
            </w:tcBorders>
          </w:tcPr>
          <w:p w14:paraId="03EEB5F0"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Unit of measurement</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77C658DA" w14:textId="26D69C6A" w:rsidR="007856C1" w:rsidRDefault="00837D98" w:rsidP="00B10D33">
            <w:pPr>
              <w:spacing w:after="120" w:line="240" w:lineRule="auto"/>
              <w:rPr>
                <w:rFonts w:ascii="Verdana" w:hAnsi="Verdana"/>
                <w:sz w:val="18"/>
                <w:szCs w:val="18"/>
              </w:rPr>
            </w:pPr>
            <w:r>
              <w:rPr>
                <w:rFonts w:ascii="Verdana" w:hAnsi="Verdana"/>
                <w:sz w:val="18"/>
                <w:szCs w:val="18"/>
              </w:rPr>
              <w:t xml:space="preserve">1 – 3: </w:t>
            </w:r>
            <w:r w:rsidR="004248F8">
              <w:rPr>
                <w:rFonts w:ascii="Verdana" w:hAnsi="Verdana"/>
                <w:sz w:val="18"/>
                <w:szCs w:val="18"/>
              </w:rPr>
              <w:t xml:space="preserve">sales in </w:t>
            </w:r>
            <w:r w:rsidR="007856C1">
              <w:rPr>
                <w:rFonts w:ascii="Verdana" w:hAnsi="Verdana"/>
                <w:sz w:val="18"/>
                <w:szCs w:val="18"/>
              </w:rPr>
              <w:t xml:space="preserve">EUR </w:t>
            </w:r>
            <w:r>
              <w:rPr>
                <w:rFonts w:ascii="Verdana" w:hAnsi="Verdana"/>
                <w:sz w:val="18"/>
                <w:szCs w:val="18"/>
              </w:rPr>
              <w:t xml:space="preserve">and </w:t>
            </w:r>
            <w:r w:rsidR="00D66A04">
              <w:rPr>
                <w:rFonts w:ascii="Verdana" w:hAnsi="Verdana"/>
                <w:sz w:val="18"/>
                <w:szCs w:val="18"/>
              </w:rPr>
              <w:t>%</w:t>
            </w:r>
          </w:p>
          <w:p w14:paraId="0F4BAAE5" w14:textId="123B44E9" w:rsidR="0007671D" w:rsidRPr="00C34DE9" w:rsidRDefault="0007671D" w:rsidP="00B10D33">
            <w:pPr>
              <w:spacing w:after="120" w:line="240" w:lineRule="auto"/>
              <w:rPr>
                <w:rFonts w:ascii="Verdana" w:hAnsi="Verdana"/>
                <w:sz w:val="18"/>
                <w:szCs w:val="18"/>
              </w:rPr>
            </w:pPr>
          </w:p>
        </w:tc>
      </w:tr>
      <w:tr w:rsidR="0007671D" w:rsidRPr="00C34DE9" w14:paraId="48C55B3D" w14:textId="77777777" w:rsidTr="790C88FB">
        <w:trPr>
          <w:trHeight w:val="381"/>
        </w:trPr>
        <w:tc>
          <w:tcPr>
            <w:tcW w:w="2660" w:type="dxa"/>
            <w:tcBorders>
              <w:top w:val="single" w:sz="4" w:space="0" w:color="auto"/>
              <w:left w:val="single" w:sz="4" w:space="0" w:color="auto"/>
              <w:bottom w:val="single" w:sz="4" w:space="0" w:color="auto"/>
              <w:right w:val="single" w:sz="4" w:space="0" w:color="auto"/>
            </w:tcBorders>
          </w:tcPr>
          <w:p w14:paraId="2A7862E6"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Data source</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27782F8F" w14:textId="4F4F6832" w:rsidR="0007671D" w:rsidRPr="00C34DE9" w:rsidRDefault="0007671D" w:rsidP="006A5B86">
            <w:pPr>
              <w:spacing w:after="120" w:line="240" w:lineRule="auto"/>
              <w:rPr>
                <w:rFonts w:ascii="Verdana" w:hAnsi="Verdana"/>
                <w:sz w:val="18"/>
                <w:szCs w:val="18"/>
              </w:rPr>
            </w:pPr>
            <w:r w:rsidRPr="00C34DE9">
              <w:rPr>
                <w:rFonts w:ascii="Verdana" w:hAnsi="Verdana"/>
                <w:sz w:val="18"/>
                <w:szCs w:val="18"/>
              </w:rPr>
              <w:t>External study commissioned by the Commission.</w:t>
            </w:r>
          </w:p>
        </w:tc>
      </w:tr>
      <w:tr w:rsidR="0007671D" w:rsidRPr="00C34DE9" w14:paraId="513DB2C3" w14:textId="77777777" w:rsidTr="790C88FB">
        <w:tc>
          <w:tcPr>
            <w:tcW w:w="2660" w:type="dxa"/>
            <w:tcBorders>
              <w:top w:val="single" w:sz="4" w:space="0" w:color="auto"/>
              <w:left w:val="single" w:sz="4" w:space="0" w:color="auto"/>
              <w:bottom w:val="single" w:sz="4" w:space="0" w:color="auto"/>
              <w:right w:val="single" w:sz="4" w:space="0" w:color="auto"/>
            </w:tcBorders>
          </w:tcPr>
          <w:p w14:paraId="564A0847"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712C72D1" w14:textId="77777777" w:rsidR="0007671D" w:rsidRPr="00C34DE9" w:rsidRDefault="0007671D" w:rsidP="00DF348E">
            <w:pPr>
              <w:pStyle w:val="FootnoteText"/>
              <w:spacing w:after="120"/>
              <w:jc w:val="left"/>
              <w:rPr>
                <w:rFonts w:ascii="Verdana" w:hAnsi="Verdana"/>
                <w:sz w:val="18"/>
                <w:szCs w:val="18"/>
                <w:lang w:val="en-GB"/>
              </w:rPr>
            </w:pPr>
          </w:p>
        </w:tc>
      </w:tr>
      <w:tr w:rsidR="0007671D" w:rsidRPr="00C34DE9" w:rsidDel="00F9611E" w14:paraId="5C6C5EFD" w14:textId="77777777" w:rsidTr="790C88FB">
        <w:tc>
          <w:tcPr>
            <w:tcW w:w="2660" w:type="dxa"/>
            <w:tcBorders>
              <w:top w:val="single" w:sz="4" w:space="0" w:color="auto"/>
              <w:left w:val="single" w:sz="4" w:space="0" w:color="auto"/>
              <w:bottom w:val="single" w:sz="4" w:space="0" w:color="auto"/>
              <w:right w:val="single" w:sz="4" w:space="0" w:color="auto"/>
            </w:tcBorders>
          </w:tcPr>
          <w:p w14:paraId="46FFBFFA" w14:textId="77777777" w:rsidR="0007671D" w:rsidRPr="00C34DE9" w:rsidRDefault="0087328F" w:rsidP="790C88FB">
            <w:pPr>
              <w:spacing w:after="120" w:line="240" w:lineRule="auto"/>
              <w:rPr>
                <w:rFonts w:ascii="Verdana" w:hAnsi="Verdana"/>
                <w:b/>
                <w:bCs/>
                <w:i/>
                <w:iCs/>
                <w:sz w:val="18"/>
                <w:szCs w:val="18"/>
              </w:rPr>
            </w:pPr>
            <w:r w:rsidRPr="5CB4B133">
              <w:rPr>
                <w:rFonts w:ascii="Verdana" w:hAnsi="Verdana"/>
                <w:b/>
                <w:bCs/>
                <w:sz w:val="18"/>
                <w:szCs w:val="18"/>
              </w:rPr>
              <w:t>Data collection / dissemination level</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5C74AB31"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Data are available at the producer</w:t>
            </w:r>
            <w:r w:rsidR="002F6287">
              <w:rPr>
                <w:rFonts w:ascii="Verdana" w:hAnsi="Verdana"/>
                <w:sz w:val="18"/>
                <w:szCs w:val="18"/>
              </w:rPr>
              <w:t>’</w:t>
            </w:r>
            <w:r w:rsidRPr="00C34DE9">
              <w:rPr>
                <w:rFonts w:ascii="Verdana" w:hAnsi="Verdana"/>
                <w:sz w:val="18"/>
                <w:szCs w:val="18"/>
              </w:rPr>
              <w:t>s level. Their availability depends on the readiness of producer to provide them.</w:t>
            </w:r>
          </w:p>
          <w:p w14:paraId="02D85AAF"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There is no systematic data collection established EU wide but some Member States have national data collections.</w:t>
            </w:r>
          </w:p>
          <w:p w14:paraId="411BA3EC" w14:textId="77777777" w:rsidR="0007671D" w:rsidRPr="00C34DE9" w:rsidDel="00F9611E" w:rsidRDefault="00161B7C" w:rsidP="00161B7C">
            <w:pPr>
              <w:spacing w:after="120" w:line="240" w:lineRule="auto"/>
              <w:rPr>
                <w:rFonts w:ascii="Verdana" w:hAnsi="Verdana"/>
                <w:sz w:val="18"/>
                <w:szCs w:val="18"/>
              </w:rPr>
            </w:pPr>
            <w:r>
              <w:rPr>
                <w:rFonts w:ascii="Verdana" w:hAnsi="Verdana"/>
                <w:sz w:val="18"/>
                <w:szCs w:val="18"/>
              </w:rPr>
              <w:t>The i</w:t>
            </w:r>
            <w:r w:rsidR="0007671D" w:rsidRPr="00C34DE9">
              <w:rPr>
                <w:rFonts w:ascii="Verdana" w:hAnsi="Verdana"/>
                <w:sz w:val="18"/>
                <w:szCs w:val="18"/>
              </w:rPr>
              <w:t>ndicator will be established at EU level, based on an estimation provided by a study.</w:t>
            </w:r>
          </w:p>
        </w:tc>
      </w:tr>
      <w:tr w:rsidR="0007671D" w:rsidRPr="00C34DE9" w14:paraId="72470EBA" w14:textId="77777777" w:rsidTr="790C88FB">
        <w:tc>
          <w:tcPr>
            <w:tcW w:w="2660" w:type="dxa"/>
            <w:tcBorders>
              <w:top w:val="single" w:sz="4" w:space="0" w:color="auto"/>
              <w:left w:val="single" w:sz="4" w:space="0" w:color="auto"/>
              <w:bottom w:val="single" w:sz="4" w:space="0" w:color="auto"/>
              <w:right w:val="single" w:sz="4" w:space="0" w:color="auto"/>
            </w:tcBorders>
          </w:tcPr>
          <w:p w14:paraId="448500FA"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 xml:space="preserve">Frequency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3D835455"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Every four years</w:t>
            </w:r>
          </w:p>
        </w:tc>
      </w:tr>
      <w:tr w:rsidR="0007671D" w:rsidRPr="00C34DE9" w14:paraId="346C207E" w14:textId="77777777" w:rsidTr="790C88FB">
        <w:tc>
          <w:tcPr>
            <w:tcW w:w="2660" w:type="dxa"/>
            <w:tcBorders>
              <w:top w:val="single" w:sz="4" w:space="0" w:color="auto"/>
              <w:left w:val="single" w:sz="4" w:space="0" w:color="auto"/>
              <w:bottom w:val="single" w:sz="4" w:space="0" w:color="auto"/>
              <w:right w:val="single" w:sz="4" w:space="0" w:color="auto"/>
            </w:tcBorders>
          </w:tcPr>
          <w:p w14:paraId="2B0CEB36" w14:textId="77777777" w:rsidR="0007671D" w:rsidRPr="00C34DE9" w:rsidRDefault="0007671D" w:rsidP="5CB4B133">
            <w:pPr>
              <w:spacing w:after="120" w:line="240" w:lineRule="auto"/>
              <w:rPr>
                <w:rFonts w:ascii="Verdana" w:hAnsi="Verdana"/>
                <w:b/>
                <w:bCs/>
                <w:sz w:val="18"/>
                <w:szCs w:val="18"/>
              </w:rPr>
            </w:pPr>
            <w:r w:rsidRPr="5CB4B133">
              <w:rPr>
                <w:rFonts w:ascii="Verdana" w:hAnsi="Verdana"/>
                <w:b/>
                <w:bCs/>
                <w:sz w:val="18"/>
                <w:szCs w:val="18"/>
              </w:rPr>
              <w:t>Time</w:t>
            </w:r>
            <w:r w:rsidR="008D6791" w:rsidRPr="5CB4B133">
              <w:rPr>
                <w:rFonts w:ascii="Verdana" w:hAnsi="Verdana"/>
                <w:b/>
                <w:bCs/>
                <w:sz w:val="18"/>
                <w:szCs w:val="18"/>
              </w:rPr>
              <w:t>liness</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29A830FD" w14:textId="77777777" w:rsidR="0007671D" w:rsidRPr="00C34DE9" w:rsidRDefault="0007671D" w:rsidP="005B5547">
            <w:pPr>
              <w:spacing w:after="120" w:line="240" w:lineRule="auto"/>
              <w:rPr>
                <w:rFonts w:ascii="Verdana" w:hAnsi="Verdana"/>
                <w:sz w:val="18"/>
                <w:szCs w:val="18"/>
                <w:lang w:val="en-US"/>
              </w:rPr>
            </w:pPr>
            <w:r w:rsidRPr="00C34DE9">
              <w:rPr>
                <w:rFonts w:ascii="Verdana" w:hAnsi="Verdana"/>
                <w:sz w:val="18"/>
                <w:szCs w:val="18"/>
                <w:lang w:val="en-US"/>
              </w:rPr>
              <w:t>Approximately 2 years</w:t>
            </w:r>
          </w:p>
        </w:tc>
      </w:tr>
      <w:tr w:rsidR="0007671D" w:rsidRPr="00C34DE9" w14:paraId="7A3E9E21" w14:textId="77777777" w:rsidTr="790C88FB">
        <w:tc>
          <w:tcPr>
            <w:tcW w:w="2660" w:type="dxa"/>
            <w:tcBorders>
              <w:top w:val="single" w:sz="4" w:space="0" w:color="auto"/>
              <w:left w:val="single" w:sz="4" w:space="0" w:color="auto"/>
              <w:bottom w:val="single" w:sz="4" w:space="0" w:color="auto"/>
              <w:right w:val="single" w:sz="4" w:space="0" w:color="auto"/>
            </w:tcBorders>
          </w:tcPr>
          <w:p w14:paraId="33275FA9" w14:textId="77777777" w:rsidR="0007671D" w:rsidRPr="00C34DE9" w:rsidRDefault="0007671D" w:rsidP="790C88FB">
            <w:pPr>
              <w:spacing w:after="120" w:line="240" w:lineRule="auto"/>
              <w:rPr>
                <w:rFonts w:ascii="Verdana" w:hAnsi="Verdana"/>
                <w:b/>
                <w:bCs/>
                <w:i/>
                <w:iCs/>
                <w:sz w:val="18"/>
                <w:szCs w:val="18"/>
              </w:rPr>
            </w:pPr>
            <w:r w:rsidRPr="5CB4B133">
              <w:rPr>
                <w:rFonts w:ascii="Verdana" w:hAnsi="Verdana"/>
                <w:b/>
                <w:bCs/>
                <w:sz w:val="18"/>
                <w:szCs w:val="18"/>
              </w:rPr>
              <w:t>Comments/caveats</w:t>
            </w:r>
            <w:r w:rsidRPr="00C34DE9">
              <w:rPr>
                <w:rFonts w:ascii="Verdana" w:hAnsi="Verdana"/>
                <w:sz w:val="18"/>
                <w:szCs w:val="18"/>
              </w:rPr>
              <w:t xml:space="preserve">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088DA0BA"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Given the lack of a clear definition of quality, the EU PDO/PGI schemes were taken as a proxy for quality production</w:t>
            </w:r>
            <w:r w:rsidR="007856C1">
              <w:rPr>
                <w:rFonts w:ascii="Verdana" w:hAnsi="Verdana"/>
                <w:sz w:val="18"/>
                <w:szCs w:val="18"/>
              </w:rPr>
              <w:t xml:space="preserve"> as well as the certified organic production</w:t>
            </w:r>
            <w:r w:rsidRPr="00C34DE9">
              <w:rPr>
                <w:rFonts w:ascii="Verdana" w:hAnsi="Verdana"/>
                <w:sz w:val="18"/>
                <w:szCs w:val="18"/>
              </w:rPr>
              <w:t xml:space="preserve">. </w:t>
            </w:r>
          </w:p>
          <w:p w14:paraId="2604989E" w14:textId="77777777" w:rsidR="0007671D" w:rsidRPr="00C34DE9" w:rsidRDefault="0007671D" w:rsidP="005B5547">
            <w:pPr>
              <w:spacing w:after="120" w:line="240" w:lineRule="auto"/>
              <w:rPr>
                <w:rFonts w:ascii="Verdana" w:hAnsi="Verdana"/>
                <w:sz w:val="18"/>
                <w:szCs w:val="18"/>
              </w:rPr>
            </w:pPr>
            <w:r w:rsidRPr="00C34DE9">
              <w:rPr>
                <w:rFonts w:ascii="Verdana" w:hAnsi="Verdana"/>
                <w:sz w:val="18"/>
                <w:szCs w:val="18"/>
              </w:rPr>
              <w:t>The indicator could be biased in case some producers (notably the larger ones) do not provide data.</w:t>
            </w:r>
          </w:p>
          <w:p w14:paraId="075B2E4E" w14:textId="345D2E3E" w:rsidR="0007671D" w:rsidRDefault="0007671D" w:rsidP="007856C1">
            <w:pPr>
              <w:spacing w:after="120" w:line="240" w:lineRule="auto"/>
              <w:rPr>
                <w:rFonts w:ascii="Verdana" w:hAnsi="Verdana"/>
                <w:sz w:val="18"/>
                <w:szCs w:val="18"/>
              </w:rPr>
            </w:pPr>
            <w:r w:rsidRPr="00C34DE9">
              <w:rPr>
                <w:rFonts w:ascii="Verdana" w:hAnsi="Verdana"/>
                <w:sz w:val="18"/>
                <w:szCs w:val="18"/>
              </w:rPr>
              <w:t xml:space="preserve">So far this is the only method to obtain data; Member States are reluctant to ensure a systematic data collection of the value of production under </w:t>
            </w:r>
            <w:r w:rsidR="007856C1">
              <w:rPr>
                <w:rFonts w:ascii="Verdana" w:hAnsi="Verdana"/>
                <w:sz w:val="18"/>
                <w:szCs w:val="18"/>
              </w:rPr>
              <w:t>EU quality</w:t>
            </w:r>
            <w:r w:rsidRPr="00C34DE9">
              <w:rPr>
                <w:rFonts w:ascii="Verdana" w:hAnsi="Verdana"/>
                <w:sz w:val="18"/>
                <w:szCs w:val="18"/>
              </w:rPr>
              <w:t xml:space="preserve"> schemes</w:t>
            </w:r>
            <w:r w:rsidR="007856C1">
              <w:rPr>
                <w:rFonts w:ascii="Verdana" w:hAnsi="Verdana"/>
                <w:sz w:val="18"/>
                <w:szCs w:val="18"/>
              </w:rPr>
              <w:t xml:space="preserve"> and certified organic</w:t>
            </w:r>
            <w:r w:rsidRPr="00C34DE9">
              <w:rPr>
                <w:rFonts w:ascii="Verdana" w:hAnsi="Verdana"/>
                <w:sz w:val="18"/>
                <w:szCs w:val="18"/>
              </w:rPr>
              <w:t>.</w:t>
            </w:r>
          </w:p>
          <w:p w14:paraId="500C12EB" w14:textId="07C741BB" w:rsidR="007856C1" w:rsidRPr="00C34DE9" w:rsidRDefault="007856C1" w:rsidP="007856C1">
            <w:pPr>
              <w:spacing w:after="120" w:line="240" w:lineRule="auto"/>
              <w:rPr>
                <w:rFonts w:ascii="Verdana" w:hAnsi="Verdana"/>
                <w:sz w:val="18"/>
                <w:szCs w:val="18"/>
              </w:rPr>
            </w:pPr>
            <w:r>
              <w:rPr>
                <w:rFonts w:ascii="Verdana" w:hAnsi="Verdana"/>
                <w:sz w:val="18"/>
                <w:szCs w:val="18"/>
              </w:rPr>
              <w:t xml:space="preserve">The latest study, finalised in 2019, is available </w:t>
            </w:r>
            <w:hyperlink r:id="rId161" w:history="1">
              <w:r w:rsidRPr="007856C1">
                <w:rPr>
                  <w:rStyle w:val="Hyperlink"/>
                  <w:rFonts w:ascii="Verdana" w:hAnsi="Verdana"/>
                  <w:sz w:val="18"/>
                  <w:szCs w:val="18"/>
                </w:rPr>
                <w:t>here</w:t>
              </w:r>
            </w:hyperlink>
            <w:r>
              <w:rPr>
                <w:rFonts w:ascii="Verdana" w:hAnsi="Verdana"/>
                <w:sz w:val="18"/>
                <w:szCs w:val="18"/>
              </w:rPr>
              <w:t>.</w:t>
            </w:r>
          </w:p>
        </w:tc>
      </w:tr>
    </w:tbl>
    <w:p w14:paraId="4F45533F" w14:textId="77777777" w:rsidR="002D6AF6" w:rsidRPr="00C34DE9" w:rsidRDefault="002D6AF6" w:rsidP="00544872">
      <w:pPr>
        <w:spacing w:after="60"/>
        <w:rPr>
          <w:rFonts w:ascii="Verdana" w:hAnsi="Verdana"/>
          <w:sz w:val="18"/>
          <w:szCs w:val="18"/>
        </w:rPr>
      </w:pPr>
    </w:p>
    <w:p w14:paraId="31976A16" w14:textId="77777777" w:rsidR="002D6AF6" w:rsidRPr="00C34DE9" w:rsidRDefault="002D6AF6" w:rsidP="00544872">
      <w:pPr>
        <w:spacing w:after="60"/>
        <w:rPr>
          <w:rFonts w:ascii="Verdana" w:hAnsi="Verdana"/>
          <w:b/>
          <w:sz w:val="18"/>
          <w:szCs w:val="18"/>
        </w:rPr>
      </w:pPr>
    </w:p>
    <w:p w14:paraId="18CD8B70" w14:textId="77777777" w:rsidR="00E43F7A" w:rsidRPr="00C34DE9" w:rsidRDefault="00940A4E">
      <w:pPr>
        <w:rPr>
          <w:rFonts w:ascii="Verdana" w:hAnsi="Verdana"/>
          <w:sz w:val="18"/>
          <w:szCs w:val="18"/>
        </w:rPr>
      </w:pPr>
      <w:r w:rsidRPr="00C34DE9">
        <w:rPr>
          <w:rFonts w:ascii="Verdana" w:hAnsi="Verdana"/>
          <w:sz w:val="18"/>
          <w:szCs w:val="18"/>
        </w:rPr>
        <w:br w:type="page"/>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26"/>
      </w:tblGrid>
      <w:tr w:rsidR="00234B7A" w:rsidRPr="00C34DE9" w14:paraId="2BC22DBF" w14:textId="77777777" w:rsidTr="1D555990">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206AF911" w14:textId="3F12420A" w:rsidR="00234B7A" w:rsidRPr="00C34DE9" w:rsidRDefault="00234B7A" w:rsidP="00340D8D">
            <w:pPr>
              <w:spacing w:after="60"/>
              <w:rPr>
                <w:rFonts w:ascii="Verdana" w:hAnsi="Verdana"/>
                <w:b/>
                <w:bCs/>
                <w:sz w:val="18"/>
                <w:szCs w:val="18"/>
              </w:rPr>
            </w:pPr>
            <w:bookmarkStart w:id="49" w:name="C35"/>
            <w:r w:rsidRPr="5CB4B133">
              <w:rPr>
                <w:rFonts w:ascii="Verdana" w:hAnsi="Verdana"/>
                <w:b/>
                <w:bCs/>
                <w:smallCaps/>
                <w:sz w:val="18"/>
                <w:szCs w:val="18"/>
              </w:rPr>
              <w:lastRenderedPageBreak/>
              <w:t>Indicator C.3</w:t>
            </w:r>
            <w:r w:rsidR="00340D8D">
              <w:rPr>
                <w:rFonts w:ascii="Verdana" w:hAnsi="Verdana"/>
                <w:b/>
                <w:bCs/>
                <w:smallCaps/>
                <w:sz w:val="18"/>
                <w:szCs w:val="18"/>
              </w:rPr>
              <w:t>6</w:t>
            </w:r>
            <w:bookmarkEnd w:id="49"/>
          </w:p>
        </w:tc>
        <w:tc>
          <w:tcPr>
            <w:tcW w:w="7726" w:type="dxa"/>
            <w:tcBorders>
              <w:top w:val="single" w:sz="4" w:space="0" w:color="auto"/>
              <w:left w:val="single" w:sz="4" w:space="0" w:color="auto"/>
              <w:bottom w:val="single" w:sz="4" w:space="0" w:color="auto"/>
              <w:right w:val="single" w:sz="4" w:space="0" w:color="auto"/>
            </w:tcBorders>
            <w:shd w:val="clear" w:color="auto" w:fill="00B0F0"/>
          </w:tcPr>
          <w:p w14:paraId="42E1CF8D" w14:textId="0D78CDE9" w:rsidR="00DF348E" w:rsidRPr="00DF348E" w:rsidRDefault="00DF348E" w:rsidP="00DF348E">
            <w:pPr>
              <w:spacing w:after="60"/>
              <w:rPr>
                <w:rFonts w:ascii="Verdana" w:hAnsi="Verdana"/>
                <w:caps/>
                <w:sz w:val="18"/>
                <w:szCs w:val="18"/>
              </w:rPr>
            </w:pPr>
            <w:bookmarkStart w:id="50" w:name="I18"/>
            <w:r w:rsidRPr="5CB4B133">
              <w:rPr>
                <w:rFonts w:ascii="Verdana" w:hAnsi="Verdana"/>
                <w:b/>
                <w:bCs/>
                <w:sz w:val="18"/>
                <w:szCs w:val="18"/>
              </w:rPr>
              <w:t>Indicator I.1</w:t>
            </w:r>
            <w:r w:rsidR="0079001D">
              <w:rPr>
                <w:rFonts w:ascii="Verdana" w:hAnsi="Verdana"/>
                <w:b/>
                <w:bCs/>
                <w:sz w:val="18"/>
                <w:szCs w:val="18"/>
              </w:rPr>
              <w:t>9</w:t>
            </w:r>
            <w:bookmarkEnd w:id="50"/>
            <w:r w:rsidRPr="5CB4B133">
              <w:rPr>
                <w:rFonts w:ascii="Verdana" w:hAnsi="Verdana"/>
                <w:b/>
                <w:bCs/>
                <w:sz w:val="18"/>
                <w:szCs w:val="18"/>
              </w:rPr>
              <w:t xml:space="preserve"> Increasing farmland bird populations</w:t>
            </w:r>
            <w:r w:rsidRPr="00DF348E">
              <w:rPr>
                <w:rFonts w:ascii="Verdana" w:hAnsi="Verdana"/>
                <w:sz w:val="18"/>
                <w:szCs w:val="18"/>
              </w:rPr>
              <w:t>:</w:t>
            </w:r>
          </w:p>
          <w:p w14:paraId="6BE42DE9" w14:textId="3CA40B19" w:rsidR="00234B7A" w:rsidRPr="00C34DE9" w:rsidRDefault="00DF348E" w:rsidP="3B80D187">
            <w:pPr>
              <w:spacing w:after="60"/>
              <w:rPr>
                <w:rFonts w:ascii="Verdana" w:hAnsi="Verdana"/>
                <w:b/>
                <w:bCs/>
                <w:caps/>
                <w:sz w:val="18"/>
                <w:szCs w:val="18"/>
              </w:rPr>
            </w:pPr>
            <w:r>
              <w:rPr>
                <w:rFonts w:ascii="Verdana" w:hAnsi="Verdana"/>
                <w:sz w:val="18"/>
                <w:szCs w:val="18"/>
              </w:rPr>
              <w:t>F</w:t>
            </w:r>
            <w:r w:rsidRPr="00DF348E">
              <w:rPr>
                <w:rFonts w:ascii="Verdana" w:hAnsi="Verdana"/>
                <w:sz w:val="18"/>
                <w:szCs w:val="18"/>
              </w:rPr>
              <w:t xml:space="preserve">armland </w:t>
            </w:r>
            <w:r w:rsidR="00E26267">
              <w:rPr>
                <w:rFonts w:ascii="Verdana" w:hAnsi="Verdana"/>
                <w:sz w:val="18"/>
                <w:szCs w:val="18"/>
              </w:rPr>
              <w:t>B</w:t>
            </w:r>
            <w:r w:rsidRPr="00DF348E">
              <w:rPr>
                <w:rFonts w:ascii="Verdana" w:hAnsi="Verdana"/>
                <w:sz w:val="18"/>
                <w:szCs w:val="18"/>
              </w:rPr>
              <w:t xml:space="preserve">ird </w:t>
            </w:r>
            <w:r w:rsidR="00E26267">
              <w:rPr>
                <w:rFonts w:ascii="Verdana" w:hAnsi="Verdana"/>
                <w:sz w:val="18"/>
                <w:szCs w:val="18"/>
              </w:rPr>
              <w:t>I</w:t>
            </w:r>
            <w:r w:rsidRPr="00DF348E">
              <w:rPr>
                <w:rFonts w:ascii="Verdana" w:hAnsi="Verdana"/>
                <w:sz w:val="18"/>
                <w:szCs w:val="18"/>
              </w:rPr>
              <w:t>ndex</w:t>
            </w:r>
          </w:p>
        </w:tc>
      </w:tr>
      <w:tr w:rsidR="00234B7A" w:rsidRPr="00C34DE9" w14:paraId="123F70E5" w14:textId="77777777" w:rsidTr="1D555990">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2AF0780"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Indicator Name</w:t>
            </w:r>
          </w:p>
        </w:tc>
        <w:tc>
          <w:tcPr>
            <w:tcW w:w="7726" w:type="dxa"/>
            <w:tcBorders>
              <w:top w:val="single" w:sz="4" w:space="0" w:color="auto"/>
              <w:left w:val="single" w:sz="4" w:space="0" w:color="auto"/>
              <w:bottom w:val="single" w:sz="4" w:space="0" w:color="auto"/>
              <w:right w:val="single" w:sz="4" w:space="0" w:color="auto"/>
            </w:tcBorders>
            <w:shd w:val="clear" w:color="auto" w:fill="auto"/>
            <w:vAlign w:val="center"/>
          </w:tcPr>
          <w:p w14:paraId="1FBF8AE0" w14:textId="50D9E358" w:rsidR="00234B7A" w:rsidRPr="00C34DE9" w:rsidRDefault="00234B7A" w:rsidP="3B80D187">
            <w:pPr>
              <w:spacing w:after="60"/>
              <w:jc w:val="center"/>
              <w:rPr>
                <w:rFonts w:ascii="Verdana" w:hAnsi="Verdana"/>
                <w:b/>
                <w:bCs/>
                <w:sz w:val="18"/>
                <w:szCs w:val="18"/>
              </w:rPr>
            </w:pPr>
            <w:r w:rsidRPr="3B80D187">
              <w:rPr>
                <w:rFonts w:ascii="Verdana" w:hAnsi="Verdana"/>
                <w:b/>
                <w:bCs/>
                <w:sz w:val="18"/>
                <w:szCs w:val="18"/>
              </w:rPr>
              <w:t>F</w:t>
            </w:r>
            <w:r w:rsidR="0060145A" w:rsidRPr="3B80D187">
              <w:rPr>
                <w:rFonts w:ascii="Verdana" w:hAnsi="Verdana"/>
                <w:b/>
                <w:bCs/>
                <w:sz w:val="18"/>
                <w:szCs w:val="18"/>
              </w:rPr>
              <w:t xml:space="preserve">armland </w:t>
            </w:r>
            <w:r w:rsidR="00E26267" w:rsidRPr="3B80D187">
              <w:rPr>
                <w:rFonts w:ascii="Verdana" w:hAnsi="Verdana"/>
                <w:b/>
                <w:bCs/>
                <w:sz w:val="18"/>
                <w:szCs w:val="18"/>
              </w:rPr>
              <w:t>B</w:t>
            </w:r>
            <w:r w:rsidR="0060145A" w:rsidRPr="3B80D187">
              <w:rPr>
                <w:rFonts w:ascii="Verdana" w:hAnsi="Verdana"/>
                <w:b/>
                <w:bCs/>
                <w:sz w:val="18"/>
                <w:szCs w:val="18"/>
              </w:rPr>
              <w:t xml:space="preserve">ird </w:t>
            </w:r>
            <w:r w:rsidR="00E26267" w:rsidRPr="3B80D187">
              <w:rPr>
                <w:rFonts w:ascii="Verdana" w:hAnsi="Verdana"/>
                <w:b/>
                <w:bCs/>
                <w:sz w:val="18"/>
                <w:szCs w:val="18"/>
              </w:rPr>
              <w:t>I</w:t>
            </w:r>
            <w:r w:rsidR="0060145A" w:rsidRPr="3B80D187">
              <w:rPr>
                <w:rFonts w:ascii="Verdana" w:hAnsi="Verdana"/>
                <w:b/>
                <w:bCs/>
                <w:sz w:val="18"/>
                <w:szCs w:val="18"/>
              </w:rPr>
              <w:t>ndex</w:t>
            </w:r>
          </w:p>
        </w:tc>
      </w:tr>
      <w:tr w:rsidR="00234B7A" w:rsidRPr="00C34DE9" w14:paraId="3A2A9205" w14:textId="77777777" w:rsidTr="1D555990">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26DAB98A"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300CAD63" w14:textId="77777777" w:rsidR="00234B7A" w:rsidRPr="005D44FE" w:rsidRDefault="00161B7C" w:rsidP="790C88FB">
            <w:pPr>
              <w:pStyle w:val="NormalWeb"/>
              <w:spacing w:before="0" w:beforeAutospacing="0" w:after="120" w:afterAutospacing="0"/>
              <w:jc w:val="both"/>
              <w:rPr>
                <w:rFonts w:ascii="Verdana" w:hAnsi="Verdana"/>
                <w:sz w:val="18"/>
                <w:szCs w:val="18"/>
              </w:rPr>
            </w:pPr>
            <w:r w:rsidRPr="005D44FE">
              <w:rPr>
                <w:rFonts w:ascii="Verdana" w:eastAsia="Calibri" w:hAnsi="Verdana"/>
                <w:sz w:val="18"/>
                <w:szCs w:val="18"/>
                <w:lang w:eastAsia="en-US"/>
              </w:rPr>
              <w:t xml:space="preserve">The Farmland Bird Index is </w:t>
            </w:r>
            <w:r w:rsidR="00234B7A" w:rsidRPr="005D44FE">
              <w:rPr>
                <w:rFonts w:ascii="Verdana" w:eastAsia="Calibri" w:hAnsi="Verdana"/>
                <w:sz w:val="18"/>
                <w:szCs w:val="18"/>
                <w:lang w:eastAsia="en-US"/>
              </w:rPr>
              <w:t xml:space="preserve">intended </w:t>
            </w:r>
            <w:r w:rsidRPr="005D44FE">
              <w:rPr>
                <w:rFonts w:ascii="Verdana" w:eastAsia="Calibri" w:hAnsi="Verdana"/>
                <w:sz w:val="18"/>
                <w:szCs w:val="18"/>
                <w:lang w:eastAsia="en-US"/>
              </w:rPr>
              <w:t xml:space="preserve">as proxy to assess the biodiversity </w:t>
            </w:r>
            <w:r w:rsidR="00827319" w:rsidRPr="005D44FE">
              <w:rPr>
                <w:rFonts w:ascii="Verdana" w:eastAsia="Calibri" w:hAnsi="Verdana"/>
                <w:sz w:val="18"/>
                <w:szCs w:val="18"/>
                <w:lang w:eastAsia="en-US"/>
              </w:rPr>
              <w:t xml:space="preserve">status </w:t>
            </w:r>
            <w:r w:rsidRPr="005D44FE">
              <w:rPr>
                <w:rFonts w:ascii="Verdana" w:eastAsia="Calibri" w:hAnsi="Verdana"/>
                <w:sz w:val="18"/>
                <w:szCs w:val="18"/>
                <w:lang w:eastAsia="en-US"/>
              </w:rPr>
              <w:t>of agricultural landscapes in Europe</w:t>
            </w:r>
            <w:r w:rsidR="00234B7A" w:rsidRPr="005D44FE">
              <w:rPr>
                <w:rFonts w:ascii="Verdana" w:eastAsia="Calibri" w:hAnsi="Verdana"/>
                <w:sz w:val="18"/>
                <w:szCs w:val="18"/>
                <w:lang w:eastAsia="en-US"/>
              </w:rPr>
              <w:t xml:space="preserve">. Birds are high in the </w:t>
            </w:r>
            <w:r w:rsidR="007C2749" w:rsidRPr="005D44FE">
              <w:rPr>
                <w:rFonts w:ascii="Verdana" w:eastAsia="Calibri" w:hAnsi="Verdana"/>
                <w:sz w:val="18"/>
                <w:szCs w:val="18"/>
                <w:lang w:eastAsia="en-US"/>
              </w:rPr>
              <w:t>food chain</w:t>
            </w:r>
            <w:r w:rsidR="00234B7A" w:rsidRPr="005D44FE">
              <w:rPr>
                <w:rFonts w:ascii="Verdana" w:eastAsia="Calibri" w:hAnsi="Verdana"/>
                <w:sz w:val="18"/>
                <w:szCs w:val="18"/>
                <w:lang w:eastAsia="en-US"/>
              </w:rPr>
              <w:t xml:space="preserve"> and therefore are considered good indicators for the overall state of biodiversity.</w:t>
            </w:r>
          </w:p>
          <w:p w14:paraId="71648907" w14:textId="77777777" w:rsidR="00234B7A" w:rsidRPr="005D44FE" w:rsidRDefault="00234B7A" w:rsidP="790C88FB">
            <w:pPr>
              <w:pStyle w:val="NormalWeb"/>
              <w:spacing w:before="0" w:beforeAutospacing="0" w:after="120" w:afterAutospacing="0"/>
              <w:jc w:val="both"/>
              <w:rPr>
                <w:rFonts w:ascii="Verdana" w:hAnsi="Verdana"/>
                <w:sz w:val="18"/>
                <w:szCs w:val="18"/>
                <w:lang w:val="en-US"/>
              </w:rPr>
            </w:pPr>
            <w:r w:rsidRPr="005D44FE">
              <w:rPr>
                <w:rFonts w:ascii="Verdana" w:hAnsi="Verdana"/>
                <w:sz w:val="18"/>
                <w:szCs w:val="18"/>
              </w:rPr>
              <w:t xml:space="preserve">The </w:t>
            </w:r>
            <w:r w:rsidR="00161B7C" w:rsidRPr="005D44FE">
              <w:rPr>
                <w:rFonts w:ascii="Verdana" w:hAnsi="Verdana"/>
                <w:sz w:val="18"/>
                <w:szCs w:val="18"/>
              </w:rPr>
              <w:t xml:space="preserve">Farmland Bird Index </w:t>
            </w:r>
            <w:r w:rsidRPr="005D44FE">
              <w:rPr>
                <w:rFonts w:ascii="Verdana" w:hAnsi="Verdana"/>
                <w:sz w:val="18"/>
                <w:szCs w:val="18"/>
              </w:rPr>
              <w:t xml:space="preserve">is a </w:t>
            </w:r>
            <w:r w:rsidRPr="005D44FE">
              <w:rPr>
                <w:rFonts w:ascii="Verdana" w:hAnsi="Verdana"/>
                <w:sz w:val="18"/>
                <w:szCs w:val="18"/>
                <w:lang w:val="en-US"/>
              </w:rPr>
              <w:t>composite index that measures the rate of change in the relative abundance of common bird species that are dependent on farmland.</w:t>
            </w:r>
          </w:p>
          <w:p w14:paraId="38E9B81F" w14:textId="77777777" w:rsidR="00234B7A" w:rsidRPr="005D44FE" w:rsidRDefault="00234B7A" w:rsidP="00234B7A">
            <w:pPr>
              <w:spacing w:after="120"/>
              <w:jc w:val="both"/>
              <w:rPr>
                <w:rFonts w:ascii="Verdana" w:hAnsi="Verdana"/>
                <w:sz w:val="18"/>
                <w:szCs w:val="18"/>
              </w:rPr>
            </w:pPr>
            <w:r w:rsidRPr="005D44FE">
              <w:rPr>
                <w:rFonts w:ascii="Verdana" w:hAnsi="Verdana"/>
                <w:sz w:val="18"/>
                <w:szCs w:val="18"/>
              </w:rPr>
              <w:t>Member States select their own species set, following guidelines from the European Bird Census Council (EBCC). The species basket is different for each Member State, because of their distribution ranges and their different relevance concerning different agricultural habitats in the EU.</w:t>
            </w:r>
          </w:p>
          <w:p w14:paraId="79494A5C" w14:textId="77777777" w:rsidR="00234B7A" w:rsidRPr="005D44FE" w:rsidRDefault="00234B7A" w:rsidP="00234B7A">
            <w:pPr>
              <w:spacing w:after="120"/>
              <w:jc w:val="both"/>
              <w:rPr>
                <w:rFonts w:ascii="Verdana" w:hAnsi="Verdana"/>
                <w:sz w:val="18"/>
                <w:szCs w:val="18"/>
              </w:rPr>
            </w:pPr>
            <w:r w:rsidRPr="005D44FE">
              <w:rPr>
                <w:rFonts w:ascii="Verdana" w:hAnsi="Verdana"/>
                <w:sz w:val="18"/>
                <w:szCs w:val="18"/>
              </w:rPr>
              <w:t xml:space="preserve">Population trends are derived from the counts of individual bird species at census sites and </w:t>
            </w:r>
            <w:r w:rsidR="00DF348E" w:rsidRPr="005D44FE">
              <w:rPr>
                <w:rFonts w:ascii="Verdana" w:hAnsi="Verdana"/>
                <w:sz w:val="18"/>
                <w:szCs w:val="18"/>
              </w:rPr>
              <w:t>modelled</w:t>
            </w:r>
            <w:r w:rsidRPr="005D44FE">
              <w:rPr>
                <w:rFonts w:ascii="Verdana" w:hAnsi="Verdana"/>
                <w:sz w:val="18"/>
                <w:szCs w:val="18"/>
              </w:rPr>
              <w:t xml:space="preserve"> as such through time. In the absence of other biodiversity monitoring networks, producing this indicator takes profit of the existing networks of birdwatchers</w:t>
            </w:r>
            <w:r w:rsidR="00161B7C" w:rsidRPr="005D44FE">
              <w:rPr>
                <w:rFonts w:ascii="Verdana" w:hAnsi="Verdana"/>
                <w:sz w:val="18"/>
                <w:szCs w:val="18"/>
              </w:rPr>
              <w:t>, coordinated by NGOs</w:t>
            </w:r>
            <w:r w:rsidRPr="005D44FE">
              <w:rPr>
                <w:rFonts w:ascii="Verdana" w:hAnsi="Verdana"/>
                <w:sz w:val="18"/>
                <w:szCs w:val="18"/>
              </w:rPr>
              <w:t xml:space="preserve">. Population counts are carried out by a network of </w:t>
            </w:r>
            <w:r w:rsidR="00161B7C" w:rsidRPr="005D44FE">
              <w:rPr>
                <w:rFonts w:ascii="Verdana" w:hAnsi="Verdana"/>
                <w:sz w:val="18"/>
                <w:szCs w:val="18"/>
              </w:rPr>
              <w:t xml:space="preserve">experts and </w:t>
            </w:r>
            <w:r w:rsidRPr="005D44FE">
              <w:rPr>
                <w:rFonts w:ascii="Verdana" w:hAnsi="Verdana"/>
                <w:sz w:val="18"/>
                <w:szCs w:val="18"/>
              </w:rPr>
              <w:t xml:space="preserve">volunteer </w:t>
            </w:r>
            <w:r w:rsidR="00161B7C" w:rsidRPr="005D44FE">
              <w:rPr>
                <w:rFonts w:ascii="Verdana" w:hAnsi="Verdana"/>
                <w:sz w:val="18"/>
                <w:szCs w:val="18"/>
              </w:rPr>
              <w:t xml:space="preserve">amateurs, fieldworkers </w:t>
            </w:r>
            <w:r w:rsidRPr="005D44FE">
              <w:rPr>
                <w:rFonts w:ascii="Verdana" w:hAnsi="Verdana"/>
                <w:sz w:val="18"/>
                <w:szCs w:val="18"/>
              </w:rPr>
              <w:t>coordinated within national sampling schemes.</w:t>
            </w:r>
          </w:p>
          <w:p w14:paraId="0BB6A81B" w14:textId="77777777" w:rsidR="00234B7A" w:rsidRPr="005D44FE" w:rsidRDefault="00234B7A" w:rsidP="00234B7A">
            <w:pPr>
              <w:spacing w:after="60"/>
              <w:jc w:val="both"/>
              <w:rPr>
                <w:rFonts w:ascii="Verdana" w:hAnsi="Verdana"/>
                <w:sz w:val="18"/>
                <w:szCs w:val="18"/>
              </w:rPr>
            </w:pPr>
            <w:r w:rsidRPr="005D44FE">
              <w:rPr>
                <w:rFonts w:ascii="Verdana" w:hAnsi="Verdana"/>
                <w:sz w:val="18"/>
                <w:szCs w:val="18"/>
              </w:rPr>
              <w:t xml:space="preserve">Other </w:t>
            </w:r>
            <w:r w:rsidR="00161B7C" w:rsidRPr="005D44FE">
              <w:rPr>
                <w:rFonts w:ascii="Verdana" w:hAnsi="Verdana"/>
                <w:sz w:val="18"/>
                <w:szCs w:val="18"/>
              </w:rPr>
              <w:t>reporting frameworks</w:t>
            </w:r>
            <w:r w:rsidRPr="005D44FE">
              <w:rPr>
                <w:rFonts w:ascii="Verdana" w:hAnsi="Verdana"/>
                <w:sz w:val="18"/>
                <w:szCs w:val="18"/>
              </w:rPr>
              <w:t>:</w:t>
            </w:r>
          </w:p>
          <w:p w14:paraId="795BD0DF" w14:textId="77777777" w:rsidR="00234B7A" w:rsidRPr="005D44FE" w:rsidRDefault="00234B7A" w:rsidP="00234B7A">
            <w:pPr>
              <w:spacing w:after="60"/>
              <w:rPr>
                <w:rFonts w:ascii="Verdana" w:hAnsi="Verdana"/>
                <w:sz w:val="18"/>
                <w:szCs w:val="18"/>
              </w:rPr>
            </w:pPr>
            <w:r w:rsidRPr="005D44FE">
              <w:rPr>
                <w:rFonts w:ascii="Verdana" w:hAnsi="Verdana"/>
                <w:sz w:val="18"/>
                <w:szCs w:val="18"/>
              </w:rPr>
              <w:t xml:space="preserve">An EU aggregated indicator is used in a number of reporting frameworks,: </w:t>
            </w:r>
          </w:p>
          <w:p w14:paraId="1FF49277" w14:textId="72E27E45" w:rsidR="54A807C4" w:rsidRPr="00E50484" w:rsidRDefault="00234B7A" w:rsidP="00E50484">
            <w:pPr>
              <w:numPr>
                <w:ilvl w:val="0"/>
                <w:numId w:val="29"/>
              </w:numPr>
              <w:spacing w:after="60"/>
              <w:rPr>
                <w:rStyle w:val="Hyperlink"/>
                <w:color w:val="auto"/>
                <w:sz w:val="18"/>
                <w:szCs w:val="18"/>
                <w:lang w:val="fr-BE"/>
              </w:rPr>
            </w:pPr>
            <w:r w:rsidRPr="54A807C4">
              <w:rPr>
                <w:rFonts w:ascii="Verdana" w:hAnsi="Verdana"/>
                <w:sz w:val="18"/>
                <w:szCs w:val="18"/>
              </w:rPr>
              <w:t>Agr</w:t>
            </w:r>
            <w:r w:rsidR="00964944" w:rsidRPr="54A807C4">
              <w:rPr>
                <w:rFonts w:ascii="Verdana" w:hAnsi="Verdana"/>
                <w:sz w:val="18"/>
                <w:szCs w:val="18"/>
              </w:rPr>
              <w:t>i</w:t>
            </w:r>
            <w:r w:rsidRPr="54A807C4">
              <w:rPr>
                <w:rFonts w:ascii="Verdana" w:hAnsi="Verdana"/>
                <w:sz w:val="18"/>
                <w:szCs w:val="18"/>
              </w:rPr>
              <w:t xml:space="preserve">-environmental indicator </w:t>
            </w:r>
            <w:r w:rsidR="00E50484">
              <w:rPr>
                <w:rFonts w:ascii="Verdana" w:hAnsi="Verdana"/>
                <w:sz w:val="18"/>
                <w:szCs w:val="18"/>
              </w:rPr>
              <w:t xml:space="preserve">(AEI) </w:t>
            </w:r>
            <w:r w:rsidR="008D6791" w:rsidRPr="54A807C4">
              <w:rPr>
                <w:rFonts w:ascii="Verdana" w:hAnsi="Verdana"/>
                <w:sz w:val="18"/>
                <w:szCs w:val="18"/>
              </w:rPr>
              <w:t>25</w:t>
            </w:r>
            <w:r w:rsidRPr="54A807C4">
              <w:rPr>
                <w:rFonts w:ascii="Verdana" w:hAnsi="Verdana"/>
                <w:sz w:val="18"/>
                <w:szCs w:val="18"/>
              </w:rPr>
              <w:t xml:space="preserve">: Population trends of farmland birds; </w:t>
            </w:r>
            <w:hyperlink r:id="rId162" w:history="1">
              <w:r w:rsidR="54A807C4" w:rsidRPr="00E50484">
                <w:rPr>
                  <w:rStyle w:val="Hyperlink"/>
                  <w:rFonts w:ascii="Verdana" w:eastAsia="Verdana" w:hAnsi="Verdana" w:cs="Verdana"/>
                  <w:sz w:val="18"/>
                  <w:szCs w:val="18"/>
                  <w:lang w:val="fr-BE"/>
                </w:rPr>
                <w:t>Agri-environmental indicators (AEIs) - Agriculture - Eurostat (europa.eu)</w:t>
              </w:r>
            </w:hyperlink>
          </w:p>
          <w:p w14:paraId="20B0DC59" w14:textId="77777777" w:rsidR="00234B7A" w:rsidRPr="005D44FE" w:rsidRDefault="00234B7A" w:rsidP="00A85A9D">
            <w:pPr>
              <w:numPr>
                <w:ilvl w:val="0"/>
                <w:numId w:val="29"/>
              </w:numPr>
              <w:spacing w:after="60"/>
              <w:rPr>
                <w:rFonts w:ascii="Verdana" w:hAnsi="Verdana"/>
                <w:sz w:val="18"/>
                <w:szCs w:val="18"/>
              </w:rPr>
            </w:pPr>
            <w:r w:rsidRPr="005D44FE">
              <w:rPr>
                <w:rFonts w:ascii="Verdana" w:hAnsi="Verdana"/>
                <w:sz w:val="18"/>
                <w:szCs w:val="18"/>
              </w:rPr>
              <w:t xml:space="preserve">SDGs – Biodiversity: </w:t>
            </w:r>
            <w:hyperlink r:id="rId163" w:history="1">
              <w:r w:rsidRPr="005D44FE">
                <w:rPr>
                  <w:rStyle w:val="Hyperlink"/>
                  <w:rFonts w:ascii="Verdana" w:hAnsi="Verdana"/>
                  <w:color w:val="auto"/>
                  <w:sz w:val="18"/>
                  <w:szCs w:val="18"/>
                </w:rPr>
                <w:t>Common Birds Index</w:t>
              </w:r>
            </w:hyperlink>
            <w:r w:rsidRPr="005D44FE">
              <w:rPr>
                <w:rFonts w:ascii="Verdana" w:hAnsi="Verdana"/>
                <w:sz w:val="18"/>
                <w:szCs w:val="18"/>
              </w:rPr>
              <w:t xml:space="preserve"> (Eurostat). </w:t>
            </w:r>
            <w:hyperlink r:id="rId164" w:anchor="Common_bird_index" w:history="1">
              <w:r w:rsidR="001621B1" w:rsidRPr="005D44FE">
                <w:rPr>
                  <w:rStyle w:val="Hyperlink"/>
                  <w:rFonts w:ascii="Verdana" w:hAnsi="Verdana"/>
                  <w:sz w:val="18"/>
                  <w:szCs w:val="18"/>
                </w:rPr>
                <w:t>https://ec.europa.eu/eurostat/statistics-explained/index.php?title=SDG_15_-_Life_on_land_(statistical_annex)#Common_bird_index</w:t>
              </w:r>
            </w:hyperlink>
            <w:r w:rsidR="001621B1" w:rsidRPr="005D44FE">
              <w:rPr>
                <w:rFonts w:ascii="Verdana" w:hAnsi="Verdana"/>
                <w:sz w:val="18"/>
                <w:szCs w:val="18"/>
              </w:rPr>
              <w:t xml:space="preserve">  </w:t>
            </w:r>
          </w:p>
          <w:p w14:paraId="3C0201B9" w14:textId="77777777" w:rsidR="00234B7A" w:rsidRPr="005D44FE" w:rsidRDefault="00234B7A" w:rsidP="00DF348E">
            <w:pPr>
              <w:spacing w:after="60"/>
              <w:jc w:val="both"/>
              <w:rPr>
                <w:rFonts w:ascii="Verdana" w:hAnsi="Verdana"/>
                <w:sz w:val="18"/>
                <w:szCs w:val="18"/>
              </w:rPr>
            </w:pPr>
            <w:r w:rsidRPr="005D44FE">
              <w:rPr>
                <w:rFonts w:ascii="Verdana" w:hAnsi="Verdana"/>
                <w:sz w:val="18"/>
                <w:szCs w:val="18"/>
              </w:rPr>
              <w:t xml:space="preserve">For producing the EU aggregate index, a list of selected species is used (the so-called </w:t>
            </w:r>
            <w:r w:rsidR="002F6287" w:rsidRPr="005D44FE">
              <w:rPr>
                <w:rFonts w:ascii="Verdana" w:hAnsi="Verdana"/>
                <w:sz w:val="18"/>
                <w:szCs w:val="18"/>
              </w:rPr>
              <w:t>“</w:t>
            </w:r>
            <w:r w:rsidRPr="005D44FE">
              <w:rPr>
                <w:rFonts w:ascii="Verdana" w:hAnsi="Verdana"/>
                <w:sz w:val="18"/>
                <w:szCs w:val="18"/>
              </w:rPr>
              <w:t>EU list of species</w:t>
            </w:r>
            <w:r w:rsidR="002F6287" w:rsidRPr="005D44FE">
              <w:rPr>
                <w:rFonts w:ascii="Verdana" w:hAnsi="Verdana"/>
                <w:sz w:val="18"/>
                <w:szCs w:val="18"/>
              </w:rPr>
              <w:t>”</w:t>
            </w:r>
            <w:r w:rsidRPr="005D44FE">
              <w:rPr>
                <w:rFonts w:ascii="Verdana" w:hAnsi="Verdana"/>
                <w:sz w:val="18"/>
                <w:szCs w:val="18"/>
              </w:rPr>
              <w:t>, currently consisting of 39 species). The national indices for these species are combined into a European index, by using a weighting factor accounting for the national proportion of the total European population. Then the methodology described below is followed for calculating the index.</w:t>
            </w:r>
          </w:p>
          <w:p w14:paraId="3408E34F" w14:textId="77777777" w:rsidR="002F6287" w:rsidRPr="005D44FE" w:rsidRDefault="002F6287" w:rsidP="002F6287">
            <w:pPr>
              <w:spacing w:after="60"/>
              <w:jc w:val="both"/>
              <w:rPr>
                <w:rFonts w:ascii="Verdana" w:hAnsi="Verdana"/>
                <w:sz w:val="18"/>
                <w:szCs w:val="18"/>
              </w:rPr>
            </w:pPr>
            <w:r w:rsidRPr="005D44FE">
              <w:rPr>
                <w:rFonts w:ascii="Verdana" w:hAnsi="Verdana"/>
                <w:sz w:val="18"/>
                <w:szCs w:val="18"/>
              </w:rPr>
              <w:t>Methodology: The index for each Member State should be calculated based on the national species list. An index is first calculated for each species independently. The indices for the set of species are then combined on a geometric scale to create a multi-species aggregate index. National indices are compiled by each Member State using common software and methodology.</w:t>
            </w:r>
          </w:p>
          <w:p w14:paraId="54052404" w14:textId="77777777" w:rsidR="002F6287" w:rsidRPr="005D44FE" w:rsidRDefault="002F6287" w:rsidP="002F6287">
            <w:pPr>
              <w:spacing w:after="60"/>
              <w:jc w:val="both"/>
              <w:rPr>
                <w:rFonts w:ascii="Verdana" w:hAnsi="Verdana"/>
                <w:sz w:val="18"/>
                <w:szCs w:val="18"/>
              </w:rPr>
            </w:pPr>
            <w:r w:rsidRPr="005D44FE">
              <w:rPr>
                <w:rFonts w:ascii="Verdana" w:hAnsi="Verdana"/>
                <w:sz w:val="18"/>
                <w:szCs w:val="18"/>
              </w:rPr>
              <w:t>A software modelling tool carries out the modelling work for estimating the index.</w:t>
            </w:r>
          </w:p>
          <w:p w14:paraId="644390E2" w14:textId="77777777" w:rsidR="002F6287" w:rsidRPr="005D44FE" w:rsidRDefault="002F6287" w:rsidP="002F6287">
            <w:pPr>
              <w:spacing w:after="60"/>
              <w:rPr>
                <w:rStyle w:val="Hyperlink"/>
                <w:rFonts w:ascii="Verdana" w:hAnsi="Verdana"/>
                <w:sz w:val="18"/>
                <w:szCs w:val="18"/>
              </w:rPr>
            </w:pPr>
            <w:r w:rsidRPr="005D44FE">
              <w:rPr>
                <w:rFonts w:ascii="Verdana" w:hAnsi="Verdana"/>
                <w:sz w:val="18"/>
                <w:szCs w:val="18"/>
              </w:rPr>
              <w:t>For more detailed information on the methodology:</w:t>
            </w:r>
            <w:r w:rsidR="008D6791" w:rsidRPr="005D44FE">
              <w:rPr>
                <w:rFonts w:ascii="Verdana" w:hAnsi="Verdana"/>
                <w:sz w:val="18"/>
                <w:szCs w:val="18"/>
              </w:rPr>
              <w:t xml:space="preserve"> </w:t>
            </w:r>
            <w:hyperlink r:id="rId165" w:history="1">
              <w:r w:rsidRPr="005D44FE">
                <w:rPr>
                  <w:rStyle w:val="Hyperlink"/>
                  <w:rFonts w:ascii="Verdana" w:hAnsi="Verdana"/>
                  <w:sz w:val="18"/>
                  <w:szCs w:val="18"/>
                </w:rPr>
                <w:t>https://pecbms.info/methods/</w:t>
              </w:r>
            </w:hyperlink>
            <w:r w:rsidRPr="005D44FE">
              <w:rPr>
                <w:rStyle w:val="Hyperlink"/>
                <w:rFonts w:ascii="Verdana" w:hAnsi="Verdana"/>
                <w:sz w:val="18"/>
                <w:szCs w:val="18"/>
              </w:rPr>
              <w:t>,</w:t>
            </w:r>
          </w:p>
          <w:p w14:paraId="0F1A095E" w14:textId="77777777" w:rsidR="002F6287" w:rsidRPr="005D44FE" w:rsidRDefault="002F6287" w:rsidP="002F6287">
            <w:pPr>
              <w:spacing w:after="60"/>
              <w:jc w:val="both"/>
              <w:rPr>
                <w:rFonts w:ascii="Verdana" w:hAnsi="Verdana"/>
                <w:sz w:val="18"/>
                <w:szCs w:val="18"/>
              </w:rPr>
            </w:pPr>
            <w:r w:rsidRPr="005D44FE">
              <w:rPr>
                <w:rFonts w:ascii="Verdana" w:hAnsi="Verdana"/>
                <w:sz w:val="18"/>
                <w:szCs w:val="18"/>
              </w:rPr>
              <w:t>and the Eurostat indicator metadata</w:t>
            </w:r>
            <w:r w:rsidR="008D6791" w:rsidRPr="005D44FE">
              <w:rPr>
                <w:rFonts w:ascii="Verdana" w:hAnsi="Verdana"/>
                <w:sz w:val="18"/>
                <w:szCs w:val="18"/>
              </w:rPr>
              <w:t>:</w:t>
            </w:r>
          </w:p>
          <w:p w14:paraId="74E617C3" w14:textId="77777777" w:rsidR="00161B7C" w:rsidRPr="00C34DE9" w:rsidRDefault="00161B7C" w:rsidP="002F6287">
            <w:pPr>
              <w:spacing w:after="60"/>
              <w:jc w:val="both"/>
              <w:rPr>
                <w:rFonts w:ascii="Verdana" w:hAnsi="Verdana"/>
                <w:sz w:val="18"/>
                <w:szCs w:val="18"/>
                <w:lang w:val="en-US"/>
              </w:rPr>
            </w:pPr>
            <w:r w:rsidRPr="005D44FE">
              <w:rPr>
                <w:rFonts w:ascii="Verdana" w:hAnsi="Verdana"/>
                <w:sz w:val="18"/>
                <w:szCs w:val="18"/>
              </w:rPr>
              <w:t>(</w:t>
            </w:r>
            <w:hyperlink r:id="rId166" w:history="1">
              <w:r w:rsidRPr="005D44FE">
                <w:rPr>
                  <w:rStyle w:val="Hyperlink"/>
                  <w:rFonts w:ascii="Verdana" w:hAnsi="Verdana"/>
                  <w:sz w:val="18"/>
                  <w:szCs w:val="18"/>
                </w:rPr>
                <w:t>https://ec.europa.eu/eurostat/cache/metadata/EN/t2020_rn130_esmsip2.htm</w:t>
              </w:r>
            </w:hyperlink>
            <w:r>
              <w:t>)</w:t>
            </w:r>
          </w:p>
        </w:tc>
      </w:tr>
      <w:tr w:rsidR="00234B7A" w:rsidRPr="00C34DE9" w14:paraId="6CAF4257"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0E309F2A"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7A56BD76" w14:textId="77777777" w:rsidR="00234B7A" w:rsidRPr="00C34DE9" w:rsidRDefault="00234B7A" w:rsidP="00161B7C">
            <w:pPr>
              <w:spacing w:after="60"/>
              <w:rPr>
                <w:rFonts w:ascii="Verdana" w:hAnsi="Verdana"/>
                <w:sz w:val="18"/>
                <w:szCs w:val="18"/>
              </w:rPr>
            </w:pPr>
            <w:r w:rsidRPr="00C34DE9">
              <w:rPr>
                <w:rFonts w:ascii="Verdana" w:hAnsi="Verdana"/>
                <w:sz w:val="18"/>
                <w:szCs w:val="18"/>
              </w:rPr>
              <w:t>The index is calculated with reference to a base year, set at 100. Trend values express the overall population change over a period of years.</w:t>
            </w:r>
          </w:p>
        </w:tc>
      </w:tr>
      <w:tr w:rsidR="00234B7A" w:rsidRPr="00C34DE9" w14:paraId="3B60AF7D" w14:textId="77777777" w:rsidTr="1D555990">
        <w:trPr>
          <w:trHeight w:val="316"/>
        </w:trPr>
        <w:tc>
          <w:tcPr>
            <w:tcW w:w="2518" w:type="dxa"/>
            <w:tcBorders>
              <w:top w:val="single" w:sz="4" w:space="0" w:color="auto"/>
              <w:left w:val="single" w:sz="4" w:space="0" w:color="auto"/>
              <w:bottom w:val="single" w:sz="4" w:space="0" w:color="auto"/>
              <w:right w:val="single" w:sz="4" w:space="0" w:color="auto"/>
            </w:tcBorders>
            <w:vAlign w:val="center"/>
          </w:tcPr>
          <w:p w14:paraId="1A90E1CB" w14:textId="77777777" w:rsidR="00234B7A" w:rsidRPr="00C34DE9" w:rsidRDefault="00234B7A" w:rsidP="790C88FB">
            <w:pPr>
              <w:spacing w:after="60"/>
              <w:rPr>
                <w:rFonts w:ascii="Verdana" w:hAnsi="Verdana"/>
                <w:i/>
                <w:iCs/>
                <w:sz w:val="18"/>
                <w:szCs w:val="18"/>
              </w:rPr>
            </w:pPr>
            <w:r w:rsidRPr="5CB4B133">
              <w:rPr>
                <w:rFonts w:ascii="Verdana" w:hAnsi="Verdana"/>
                <w:b/>
                <w:bCs/>
                <w:sz w:val="18"/>
                <w:szCs w:val="18"/>
              </w:rPr>
              <w:t>Data source</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4332E8A9" w14:textId="77777777" w:rsidR="00234B7A" w:rsidRPr="005D44FE" w:rsidRDefault="00234B7A" w:rsidP="00A85A9D">
            <w:pPr>
              <w:numPr>
                <w:ilvl w:val="0"/>
                <w:numId w:val="35"/>
              </w:numPr>
              <w:spacing w:after="60"/>
              <w:ind w:left="322" w:hanging="322"/>
              <w:rPr>
                <w:rFonts w:ascii="Verdana" w:hAnsi="Verdana"/>
                <w:sz w:val="18"/>
                <w:szCs w:val="18"/>
              </w:rPr>
            </w:pPr>
            <w:r w:rsidRPr="005D44FE">
              <w:rPr>
                <w:rFonts w:ascii="Verdana" w:hAnsi="Verdana"/>
                <w:sz w:val="18"/>
                <w:szCs w:val="18"/>
              </w:rPr>
              <w:t xml:space="preserve">EBCC/RSPB/BirdLife/Statistics Netherlands: the European Bird Census Council (EBCC) and its Pan-European Common Bird Monitoring Scheme (PECBMS), </w:t>
            </w:r>
            <w:hyperlink r:id="rId167" w:history="1">
              <w:r w:rsidR="003D760E" w:rsidRPr="005D44FE">
                <w:rPr>
                  <w:rStyle w:val="Hyperlink"/>
                  <w:rFonts w:ascii="Verdana" w:hAnsi="Verdana"/>
                  <w:sz w:val="18"/>
                  <w:szCs w:val="18"/>
                </w:rPr>
                <w:t>https://pecbms.info/</w:t>
              </w:r>
            </w:hyperlink>
            <w:r w:rsidR="003D760E" w:rsidRPr="005D44FE">
              <w:rPr>
                <w:rFonts w:ascii="Verdana" w:hAnsi="Verdana"/>
                <w:sz w:val="18"/>
                <w:szCs w:val="18"/>
              </w:rPr>
              <w:t xml:space="preserve"> </w:t>
            </w:r>
          </w:p>
          <w:p w14:paraId="131472EA" w14:textId="77777777" w:rsidR="00234B7A" w:rsidRPr="005D44FE" w:rsidRDefault="00234B7A" w:rsidP="00234B7A">
            <w:pPr>
              <w:spacing w:after="60"/>
              <w:rPr>
                <w:rFonts w:ascii="Verdana" w:hAnsi="Verdana"/>
                <w:sz w:val="18"/>
                <w:szCs w:val="18"/>
                <w:lang w:val="x-none"/>
              </w:rPr>
            </w:pPr>
            <w:r w:rsidRPr="005D44FE">
              <w:rPr>
                <w:rFonts w:ascii="Verdana" w:hAnsi="Verdana"/>
                <w:sz w:val="18"/>
                <w:szCs w:val="18"/>
              </w:rPr>
              <w:lastRenderedPageBreak/>
              <w:t>Eurostat does not receive any of these data directly from the Member States:</w:t>
            </w:r>
          </w:p>
          <w:p w14:paraId="1289347B" w14:textId="77777777" w:rsidR="00234B7A" w:rsidRPr="005D44FE" w:rsidRDefault="00234B7A" w:rsidP="00A85A9D">
            <w:pPr>
              <w:numPr>
                <w:ilvl w:val="0"/>
                <w:numId w:val="35"/>
              </w:numPr>
              <w:ind w:left="360"/>
              <w:rPr>
                <w:rFonts w:ascii="Verdana" w:hAnsi="Verdana"/>
                <w:sz w:val="18"/>
                <w:szCs w:val="18"/>
              </w:rPr>
            </w:pPr>
            <w:r w:rsidRPr="005D44FE">
              <w:rPr>
                <w:rFonts w:ascii="Verdana" w:hAnsi="Verdana"/>
                <w:sz w:val="18"/>
                <w:szCs w:val="18"/>
              </w:rPr>
              <w:t>National index: Eurostat, as of 2018, receives data from the OECD, which receives data from national offices who are part of the PECBMS network.</w:t>
            </w:r>
          </w:p>
          <w:p w14:paraId="34AF1260" w14:textId="77777777" w:rsidR="00234B7A" w:rsidRPr="00C34DE9" w:rsidRDefault="00234B7A" w:rsidP="00A85A9D">
            <w:pPr>
              <w:numPr>
                <w:ilvl w:val="0"/>
                <w:numId w:val="35"/>
              </w:numPr>
              <w:spacing w:after="60"/>
              <w:ind w:left="360"/>
              <w:rPr>
                <w:rFonts w:ascii="Verdana" w:hAnsi="Verdana"/>
                <w:sz w:val="18"/>
                <w:szCs w:val="18"/>
              </w:rPr>
            </w:pPr>
            <w:r w:rsidRPr="005D44FE">
              <w:rPr>
                <w:rFonts w:ascii="Verdana" w:hAnsi="Verdana"/>
                <w:sz w:val="18"/>
                <w:szCs w:val="18"/>
              </w:rPr>
              <w:t>European index: data are transmitted to Eurostat and published in the statistics database: Environment/Biodiversity.</w:t>
            </w:r>
            <w:r w:rsidRPr="00C34DE9">
              <w:rPr>
                <w:rFonts w:ascii="Verdana" w:hAnsi="Verdana"/>
                <w:sz w:val="18"/>
                <w:szCs w:val="18"/>
              </w:rPr>
              <w:t xml:space="preserve"> </w:t>
            </w:r>
          </w:p>
        </w:tc>
      </w:tr>
      <w:tr w:rsidR="00234B7A" w:rsidRPr="00C34DE9" w14:paraId="0EF04007"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0739143F"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lastRenderedPageBreak/>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33CA7374" w14:textId="77777777" w:rsidR="00234B7A" w:rsidRPr="005D44FE" w:rsidRDefault="00234B7A" w:rsidP="00234B7A">
            <w:pPr>
              <w:spacing w:after="60"/>
              <w:rPr>
                <w:rFonts w:ascii="Verdana" w:hAnsi="Verdana"/>
                <w:sz w:val="18"/>
                <w:szCs w:val="18"/>
                <w:u w:val="single"/>
              </w:rPr>
            </w:pPr>
            <w:r w:rsidRPr="005D44FE">
              <w:rPr>
                <w:rFonts w:ascii="Verdana" w:hAnsi="Verdana"/>
                <w:sz w:val="18"/>
                <w:szCs w:val="18"/>
                <w:u w:val="single"/>
              </w:rPr>
              <w:t>Location of the data:</w:t>
            </w:r>
          </w:p>
          <w:p w14:paraId="78BBF650" w14:textId="77777777" w:rsidR="00234B7A" w:rsidRPr="005D44FE" w:rsidRDefault="00234B7A" w:rsidP="00234B7A">
            <w:pPr>
              <w:spacing w:after="60"/>
              <w:rPr>
                <w:rFonts w:ascii="Verdana" w:hAnsi="Verdana"/>
                <w:sz w:val="18"/>
                <w:szCs w:val="18"/>
              </w:rPr>
            </w:pPr>
            <w:r w:rsidRPr="005D44FE">
              <w:rPr>
                <w:rFonts w:ascii="Verdana" w:hAnsi="Verdana"/>
                <w:sz w:val="18"/>
                <w:szCs w:val="18"/>
              </w:rPr>
              <w:t xml:space="preserve">Eurostat, Environment statistics, Biodiversity: </w:t>
            </w:r>
          </w:p>
          <w:p w14:paraId="5DE55EB6" w14:textId="77777777" w:rsidR="00234B7A" w:rsidRPr="005D44FE" w:rsidRDefault="00234B7A" w:rsidP="00A85A9D">
            <w:pPr>
              <w:numPr>
                <w:ilvl w:val="0"/>
                <w:numId w:val="35"/>
              </w:numPr>
              <w:spacing w:after="60"/>
              <w:ind w:left="360"/>
              <w:rPr>
                <w:rFonts w:ascii="Verdana" w:hAnsi="Verdana"/>
                <w:sz w:val="18"/>
                <w:szCs w:val="18"/>
              </w:rPr>
            </w:pPr>
            <w:r w:rsidRPr="005D44FE">
              <w:rPr>
                <w:rFonts w:ascii="Verdana" w:hAnsi="Verdana"/>
                <w:sz w:val="18"/>
                <w:szCs w:val="18"/>
              </w:rPr>
              <w:t xml:space="preserve">Table </w:t>
            </w:r>
            <w:r w:rsidR="008D6791" w:rsidRPr="005D44FE">
              <w:rPr>
                <w:rFonts w:ascii="Verdana" w:hAnsi="Verdana"/>
                <w:sz w:val="18"/>
                <w:szCs w:val="18"/>
              </w:rPr>
              <w:t>[</w:t>
            </w:r>
            <w:hyperlink r:id="rId168" w:history="1">
              <w:r w:rsidRPr="005D44FE">
                <w:rPr>
                  <w:rStyle w:val="Hyperlink"/>
                  <w:rFonts w:ascii="Verdana" w:hAnsi="Verdana"/>
                  <w:sz w:val="18"/>
                  <w:szCs w:val="18"/>
                </w:rPr>
                <w:t>env_bio2</w:t>
              </w:r>
            </w:hyperlink>
            <w:r w:rsidR="008D6791" w:rsidRPr="005D44FE">
              <w:rPr>
                <w:rFonts w:ascii="Verdana" w:hAnsi="Verdana"/>
                <w:sz w:val="18"/>
                <w:szCs w:val="18"/>
              </w:rPr>
              <w:t>]</w:t>
            </w:r>
            <w:r w:rsidRPr="005D44FE">
              <w:rPr>
                <w:rFonts w:ascii="Verdana" w:hAnsi="Verdana"/>
                <w:sz w:val="18"/>
                <w:szCs w:val="18"/>
              </w:rPr>
              <w:t>: national farmland bird index.</w:t>
            </w:r>
          </w:p>
          <w:p w14:paraId="436F4B80" w14:textId="53EACB1A" w:rsidR="00234B7A" w:rsidRPr="005D44FE" w:rsidRDefault="00234B7A" w:rsidP="00A85A9D">
            <w:pPr>
              <w:numPr>
                <w:ilvl w:val="0"/>
                <w:numId w:val="35"/>
              </w:numPr>
              <w:spacing w:after="60"/>
              <w:ind w:left="360"/>
              <w:rPr>
                <w:rFonts w:ascii="Verdana" w:hAnsi="Verdana"/>
                <w:sz w:val="18"/>
                <w:szCs w:val="18"/>
              </w:rPr>
            </w:pPr>
            <w:r w:rsidRPr="1D555990">
              <w:rPr>
                <w:rFonts w:ascii="Verdana" w:hAnsi="Verdana"/>
                <w:sz w:val="18"/>
                <w:szCs w:val="18"/>
              </w:rPr>
              <w:t xml:space="preserve">Table </w:t>
            </w:r>
            <w:r w:rsidR="008D6791" w:rsidRPr="1D555990">
              <w:rPr>
                <w:rFonts w:ascii="Verdana" w:hAnsi="Verdana"/>
                <w:sz w:val="18"/>
                <w:szCs w:val="18"/>
              </w:rPr>
              <w:t>[</w:t>
            </w:r>
            <w:hyperlink r:id="rId169" w:history="1">
              <w:r w:rsidRPr="00E50484">
                <w:rPr>
                  <w:rStyle w:val="Hyperlink"/>
                  <w:rFonts w:ascii="Verdana" w:hAnsi="Verdana"/>
                  <w:sz w:val="18"/>
                  <w:szCs w:val="18"/>
                </w:rPr>
                <w:t>env_bio3</w:t>
              </w:r>
            </w:hyperlink>
            <w:r w:rsidR="008D6791" w:rsidRPr="1D555990">
              <w:rPr>
                <w:rFonts w:ascii="Verdana" w:hAnsi="Verdana"/>
                <w:sz w:val="18"/>
                <w:szCs w:val="18"/>
              </w:rPr>
              <w:t>]</w:t>
            </w:r>
            <w:r w:rsidRPr="1D555990">
              <w:rPr>
                <w:rFonts w:ascii="Verdana" w:hAnsi="Verdana"/>
                <w:sz w:val="18"/>
                <w:szCs w:val="18"/>
              </w:rPr>
              <w:t>: EU farmland bird index.</w:t>
            </w:r>
          </w:p>
          <w:p w14:paraId="1FB0501C" w14:textId="77777777" w:rsidR="00234B7A" w:rsidRPr="00E50484" w:rsidRDefault="00234B7A" w:rsidP="00234B7A">
            <w:pPr>
              <w:spacing w:after="60"/>
              <w:rPr>
                <w:rFonts w:ascii="Verdana" w:hAnsi="Verdana"/>
                <w:sz w:val="18"/>
                <w:szCs w:val="18"/>
                <w:u w:val="single"/>
                <w:lang w:val="fr-BE"/>
              </w:rPr>
            </w:pPr>
            <w:r w:rsidRPr="00E50484">
              <w:rPr>
                <w:rFonts w:ascii="Verdana" w:hAnsi="Verdana"/>
                <w:sz w:val="18"/>
                <w:szCs w:val="18"/>
                <w:u w:val="single"/>
                <w:lang w:val="fr-BE"/>
              </w:rPr>
              <w:t xml:space="preserve">References: </w:t>
            </w:r>
          </w:p>
          <w:p w14:paraId="1B34A99E" w14:textId="6F7F4699" w:rsidR="00E50484" w:rsidRPr="00E50484" w:rsidRDefault="70B2F8DB" w:rsidP="00E50484">
            <w:pPr>
              <w:pStyle w:val="ListParagraph"/>
              <w:numPr>
                <w:ilvl w:val="0"/>
                <w:numId w:val="118"/>
              </w:numPr>
              <w:spacing w:after="60"/>
              <w:rPr>
                <w:color w:val="0000FF"/>
                <w:sz w:val="18"/>
                <w:szCs w:val="18"/>
                <w:u w:val="single"/>
                <w:lang w:val="fr-BE"/>
              </w:rPr>
            </w:pPr>
            <w:r w:rsidRPr="00E50484">
              <w:rPr>
                <w:rFonts w:ascii="Verdana" w:hAnsi="Verdana"/>
                <w:sz w:val="18"/>
                <w:szCs w:val="18"/>
                <w:lang w:val="fr-BE"/>
              </w:rPr>
              <w:t>Agri-environmental indicator 25</w:t>
            </w:r>
            <w:r w:rsidR="4CEE8044" w:rsidRPr="00E50484">
              <w:rPr>
                <w:rFonts w:ascii="Verdana" w:hAnsi="Verdana"/>
                <w:sz w:val="18"/>
                <w:szCs w:val="18"/>
                <w:lang w:val="fr-BE"/>
              </w:rPr>
              <w:t xml:space="preserve">: </w:t>
            </w:r>
            <w:hyperlink r:id="rId170" w:history="1">
              <w:r w:rsidR="00E50484" w:rsidRPr="00E50484">
                <w:rPr>
                  <w:rFonts w:ascii="Verdana" w:eastAsia="Verdana" w:hAnsi="Verdana" w:cs="Verdana"/>
                  <w:color w:val="0000FF"/>
                  <w:sz w:val="18"/>
                  <w:szCs w:val="18"/>
                  <w:u w:val="single"/>
                  <w:lang w:val="fr-BE"/>
                </w:rPr>
                <w:t>Agri-environmental indicators (AEIs) - Agriculture - Eurostat (europa.eu)</w:t>
              </w:r>
            </w:hyperlink>
          </w:p>
          <w:p w14:paraId="2EFF3064" w14:textId="6254D017" w:rsidR="00234B7A" w:rsidRPr="00E50484" w:rsidRDefault="00234B7A" w:rsidP="00E50484">
            <w:pPr>
              <w:pStyle w:val="ListParagraph"/>
              <w:numPr>
                <w:ilvl w:val="0"/>
                <w:numId w:val="118"/>
              </w:numPr>
              <w:spacing w:after="60"/>
              <w:rPr>
                <w:rFonts w:ascii="Verdana" w:hAnsi="Verdana"/>
                <w:sz w:val="18"/>
                <w:szCs w:val="18"/>
              </w:rPr>
            </w:pPr>
            <w:r w:rsidRPr="00E50484">
              <w:rPr>
                <w:rFonts w:ascii="Verdana" w:hAnsi="Verdana"/>
                <w:sz w:val="18"/>
                <w:szCs w:val="18"/>
              </w:rPr>
              <w:t xml:space="preserve">EBCC/PECBMS : European Birds Census Council/ Pan-European Common </w:t>
            </w:r>
            <w:r w:rsidR="00E50484" w:rsidRPr="00E50484">
              <w:rPr>
                <w:rFonts w:ascii="Verdana" w:hAnsi="Verdana"/>
                <w:sz w:val="18"/>
                <w:szCs w:val="18"/>
              </w:rPr>
              <w:t xml:space="preserve">    </w:t>
            </w:r>
            <w:r w:rsidRPr="00E50484">
              <w:rPr>
                <w:rFonts w:ascii="Verdana" w:hAnsi="Verdana"/>
                <w:sz w:val="18"/>
                <w:szCs w:val="18"/>
              </w:rPr>
              <w:t>Bird Monitoring Scheme</w:t>
            </w:r>
            <w:r w:rsidR="003D760E" w:rsidRPr="00E50484">
              <w:rPr>
                <w:rFonts w:ascii="Verdana" w:hAnsi="Verdana"/>
                <w:sz w:val="18"/>
                <w:szCs w:val="18"/>
              </w:rPr>
              <w:t xml:space="preserve"> </w:t>
            </w:r>
            <w:hyperlink r:id="rId171" w:history="1">
              <w:r w:rsidR="003D760E" w:rsidRPr="00E50484">
                <w:rPr>
                  <w:rStyle w:val="Hyperlink"/>
                  <w:rFonts w:ascii="Verdana" w:hAnsi="Verdana"/>
                  <w:sz w:val="18"/>
                  <w:szCs w:val="18"/>
                </w:rPr>
                <w:t>https://pecbms.info/</w:t>
              </w:r>
            </w:hyperlink>
          </w:p>
        </w:tc>
      </w:tr>
      <w:tr w:rsidR="00234B7A" w:rsidRPr="00C34DE9" w14:paraId="4213E88C"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31D4FBE6"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Data collection</w:t>
            </w:r>
            <w:r w:rsidR="008D6791"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2AF81D1" w14:textId="7C762A38" w:rsidR="00234B7A" w:rsidRPr="00C34DE9" w:rsidDel="00F9611E" w:rsidRDefault="00234B7A" w:rsidP="00C74AC0">
            <w:pPr>
              <w:spacing w:after="60"/>
              <w:jc w:val="both"/>
              <w:rPr>
                <w:rFonts w:ascii="Verdana" w:hAnsi="Verdana"/>
                <w:sz w:val="18"/>
                <w:szCs w:val="18"/>
              </w:rPr>
            </w:pPr>
            <w:r w:rsidRPr="00C34DE9">
              <w:rPr>
                <w:rFonts w:ascii="Verdana" w:hAnsi="Verdana"/>
                <w:sz w:val="18"/>
                <w:szCs w:val="18"/>
              </w:rPr>
              <w:t>EU (on the basis of the number of Member States which delivered data every year. E.g.: in 2008 only 15 Member States delivered data; for the 2014 EBCC/PECBMS updates data is available for 25 EU Member States, from 1990 to 2012)</w:t>
            </w:r>
            <w:r w:rsidR="00C74AC0">
              <w:rPr>
                <w:rFonts w:ascii="Verdana" w:hAnsi="Verdana"/>
                <w:sz w:val="18"/>
                <w:szCs w:val="18"/>
              </w:rPr>
              <w:t xml:space="preserve">, </w:t>
            </w:r>
            <w:r w:rsidR="00C74AC0" w:rsidRPr="00C34DE9">
              <w:rPr>
                <w:rFonts w:ascii="Verdana" w:hAnsi="Verdana"/>
                <w:sz w:val="18"/>
                <w:szCs w:val="18"/>
              </w:rPr>
              <w:t>National</w:t>
            </w:r>
            <w:r w:rsidR="00C74AC0">
              <w:rPr>
                <w:rFonts w:ascii="Verdana" w:hAnsi="Verdana"/>
                <w:sz w:val="18"/>
                <w:szCs w:val="18"/>
              </w:rPr>
              <w:t xml:space="preserve"> (NUTS 0)</w:t>
            </w:r>
            <w:r w:rsidR="00C74AC0" w:rsidRPr="00C34DE9">
              <w:rPr>
                <w:rFonts w:ascii="Verdana" w:hAnsi="Verdana"/>
                <w:sz w:val="18"/>
                <w:szCs w:val="18"/>
              </w:rPr>
              <w:t xml:space="preserve"> </w:t>
            </w:r>
            <w:r w:rsidR="00C74AC0">
              <w:rPr>
                <w:rFonts w:ascii="Verdana" w:hAnsi="Verdana"/>
                <w:sz w:val="18"/>
                <w:szCs w:val="18"/>
              </w:rPr>
              <w:t>(</w:t>
            </w:r>
            <w:r w:rsidR="00C74AC0" w:rsidRPr="00C34DE9">
              <w:rPr>
                <w:rFonts w:ascii="Verdana" w:hAnsi="Verdana"/>
                <w:sz w:val="18"/>
                <w:szCs w:val="18"/>
              </w:rPr>
              <w:t>some Member States are not covered. See caveats section</w:t>
            </w:r>
            <w:r w:rsidR="00C74AC0">
              <w:rPr>
                <w:rFonts w:ascii="Verdana" w:hAnsi="Verdana"/>
                <w:sz w:val="18"/>
                <w:szCs w:val="18"/>
              </w:rPr>
              <w:t>)</w:t>
            </w:r>
            <w:r w:rsidRPr="00C34DE9">
              <w:rPr>
                <w:rFonts w:ascii="Verdana" w:hAnsi="Verdana"/>
                <w:sz w:val="18"/>
                <w:szCs w:val="18"/>
              </w:rPr>
              <w:t xml:space="preserve">. </w:t>
            </w:r>
          </w:p>
        </w:tc>
      </w:tr>
      <w:tr w:rsidR="00234B7A" w:rsidRPr="00C34DE9" w14:paraId="5DCBA0B0" w14:textId="77777777" w:rsidTr="1D555990">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10CD107D"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Frequency</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5FE45C8" w14:textId="77777777" w:rsidR="00234B7A" w:rsidRPr="00C34DE9" w:rsidRDefault="00234B7A" w:rsidP="00234B7A">
            <w:pPr>
              <w:spacing w:after="60" w:line="240" w:lineRule="auto"/>
              <w:jc w:val="both"/>
              <w:rPr>
                <w:rFonts w:ascii="Verdana" w:hAnsi="Verdana"/>
                <w:sz w:val="18"/>
                <w:szCs w:val="18"/>
              </w:rPr>
            </w:pPr>
            <w:r w:rsidRPr="00C34DE9">
              <w:rPr>
                <w:rFonts w:ascii="Verdana" w:hAnsi="Verdana"/>
                <w:sz w:val="18"/>
                <w:szCs w:val="18"/>
              </w:rPr>
              <w:t>Annual (In principle, these data are updated on a yearly basis at national and EU level. Ability to provide updates of indicators at national level depends on the capacity of the national data providers).</w:t>
            </w:r>
          </w:p>
          <w:p w14:paraId="26C7D03E" w14:textId="77777777" w:rsidR="00234B7A" w:rsidRPr="00C34DE9" w:rsidRDefault="00234B7A" w:rsidP="00234B7A">
            <w:pPr>
              <w:spacing w:after="60" w:line="240" w:lineRule="auto"/>
              <w:jc w:val="both"/>
              <w:rPr>
                <w:rFonts w:ascii="Verdana" w:hAnsi="Verdana"/>
                <w:sz w:val="18"/>
                <w:szCs w:val="18"/>
              </w:rPr>
            </w:pPr>
            <w:r w:rsidRPr="00C34DE9">
              <w:rPr>
                <w:rFonts w:ascii="Verdana" w:hAnsi="Verdana"/>
                <w:sz w:val="18"/>
                <w:szCs w:val="18"/>
              </w:rPr>
              <w:t>Data availability</w:t>
            </w:r>
            <w:r w:rsidR="008D6791">
              <w:rPr>
                <w:rFonts w:ascii="Verdana" w:hAnsi="Verdana"/>
                <w:sz w:val="18"/>
                <w:szCs w:val="18"/>
              </w:rPr>
              <w:t xml:space="preserve"> </w:t>
            </w:r>
            <w:r w:rsidR="00C36490">
              <w:rPr>
                <w:rFonts w:ascii="Verdana" w:hAnsi="Verdana"/>
                <w:sz w:val="18"/>
                <w:szCs w:val="18"/>
              </w:rPr>
              <w:t>2019</w:t>
            </w:r>
            <w:r w:rsidRPr="00C34DE9">
              <w:rPr>
                <w:rFonts w:ascii="Verdana" w:hAnsi="Verdana"/>
                <w:sz w:val="18"/>
                <w:szCs w:val="18"/>
              </w:rPr>
              <w:t>: 20</w:t>
            </w:r>
            <w:r w:rsidR="00C36490">
              <w:rPr>
                <w:rFonts w:ascii="Verdana" w:hAnsi="Verdana"/>
                <w:sz w:val="18"/>
                <w:szCs w:val="18"/>
              </w:rPr>
              <w:t>17</w:t>
            </w:r>
            <w:r w:rsidRPr="00C34DE9">
              <w:rPr>
                <w:rFonts w:ascii="Verdana" w:hAnsi="Verdana"/>
                <w:sz w:val="18"/>
                <w:szCs w:val="18"/>
              </w:rPr>
              <w:t xml:space="preserve"> national data</w:t>
            </w:r>
            <w:r w:rsidR="00C36490">
              <w:rPr>
                <w:rFonts w:ascii="Verdana" w:hAnsi="Verdana"/>
                <w:sz w:val="18"/>
                <w:szCs w:val="18"/>
              </w:rPr>
              <w:t xml:space="preserve"> Common farmland bird index</w:t>
            </w:r>
            <w:r w:rsidRPr="00C34DE9">
              <w:rPr>
                <w:rFonts w:ascii="Verdana" w:hAnsi="Verdana"/>
                <w:sz w:val="18"/>
                <w:szCs w:val="18"/>
              </w:rPr>
              <w:t xml:space="preserve">, EU aggregates </w:t>
            </w:r>
            <w:r w:rsidR="00C36490">
              <w:rPr>
                <w:rFonts w:ascii="Verdana" w:hAnsi="Verdana"/>
                <w:sz w:val="18"/>
                <w:szCs w:val="18"/>
              </w:rPr>
              <w:t xml:space="preserve">Common farmland species </w:t>
            </w:r>
            <w:r w:rsidRPr="00C34DE9">
              <w:rPr>
                <w:rFonts w:ascii="Verdana" w:hAnsi="Verdana"/>
                <w:sz w:val="18"/>
                <w:szCs w:val="18"/>
              </w:rPr>
              <w:t>201</w:t>
            </w:r>
            <w:r w:rsidR="00C36490">
              <w:rPr>
                <w:rFonts w:ascii="Verdana" w:hAnsi="Verdana"/>
                <w:sz w:val="18"/>
                <w:szCs w:val="18"/>
              </w:rPr>
              <w:t>6</w:t>
            </w:r>
            <w:r w:rsidRPr="00C34DE9">
              <w:rPr>
                <w:rFonts w:ascii="Verdana" w:hAnsi="Verdana"/>
                <w:sz w:val="18"/>
                <w:szCs w:val="18"/>
              </w:rPr>
              <w:t>.</w:t>
            </w:r>
          </w:p>
          <w:p w14:paraId="5A8C920B" w14:textId="77777777" w:rsidR="00234B7A" w:rsidRPr="00C34DE9" w:rsidRDefault="00234B7A" w:rsidP="00234B7A">
            <w:pPr>
              <w:spacing w:after="60"/>
              <w:jc w:val="both"/>
              <w:rPr>
                <w:rFonts w:ascii="Verdana" w:eastAsia="Times New Roman" w:hAnsi="Verdana"/>
                <w:sz w:val="18"/>
                <w:szCs w:val="18"/>
              </w:rPr>
            </w:pPr>
            <w:r w:rsidRPr="00C34DE9">
              <w:rPr>
                <w:rFonts w:ascii="Verdana" w:hAnsi="Verdana"/>
                <w:sz w:val="18"/>
                <w:szCs w:val="18"/>
              </w:rPr>
              <w:t xml:space="preserve">For a small number of Member States data are available from 1980 and cover different periods depending on data availability in each Member State. </w:t>
            </w:r>
          </w:p>
        </w:tc>
      </w:tr>
      <w:tr w:rsidR="00234B7A" w:rsidRPr="00C34DE9" w14:paraId="4023AAA0" w14:textId="77777777" w:rsidTr="1D555990">
        <w:trPr>
          <w:trHeight w:val="383"/>
        </w:trPr>
        <w:tc>
          <w:tcPr>
            <w:tcW w:w="2518" w:type="dxa"/>
            <w:tcBorders>
              <w:top w:val="single" w:sz="4" w:space="0" w:color="auto"/>
              <w:left w:val="single" w:sz="4" w:space="0" w:color="auto"/>
              <w:bottom w:val="single" w:sz="4" w:space="0" w:color="auto"/>
              <w:right w:val="single" w:sz="4" w:space="0" w:color="auto"/>
            </w:tcBorders>
            <w:vAlign w:val="center"/>
          </w:tcPr>
          <w:p w14:paraId="67E060F8"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Timeliness</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25F4EC8D" w14:textId="77777777" w:rsidR="00234B7A" w:rsidRPr="00C34DE9" w:rsidRDefault="00B413B8" w:rsidP="00234B7A">
            <w:pPr>
              <w:spacing w:after="60"/>
              <w:jc w:val="both"/>
              <w:rPr>
                <w:rFonts w:ascii="Verdana" w:hAnsi="Verdana"/>
                <w:sz w:val="18"/>
                <w:szCs w:val="18"/>
                <w:lang w:val="en-US"/>
              </w:rPr>
            </w:pPr>
            <w:r>
              <w:rPr>
                <w:rFonts w:ascii="Verdana" w:hAnsi="Verdana"/>
                <w:sz w:val="18"/>
                <w:szCs w:val="18"/>
                <w:lang w:val="en-US"/>
              </w:rPr>
              <w:t>1-3 years</w:t>
            </w:r>
          </w:p>
        </w:tc>
      </w:tr>
      <w:tr w:rsidR="00234B7A" w:rsidRPr="00C34DE9" w14:paraId="039B5FDD" w14:textId="77777777" w:rsidTr="1D555990">
        <w:tc>
          <w:tcPr>
            <w:tcW w:w="2518" w:type="dxa"/>
            <w:tcBorders>
              <w:top w:val="single" w:sz="4" w:space="0" w:color="auto"/>
              <w:left w:val="single" w:sz="4" w:space="0" w:color="auto"/>
              <w:bottom w:val="single" w:sz="4" w:space="0" w:color="auto"/>
              <w:right w:val="single" w:sz="4" w:space="0" w:color="auto"/>
            </w:tcBorders>
            <w:vAlign w:val="center"/>
          </w:tcPr>
          <w:p w14:paraId="335587F4"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Comments/caveats</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734D6E95"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[Indication capacity]: </w:t>
            </w:r>
            <w:r w:rsidR="00885EBC">
              <w:rPr>
                <w:rFonts w:ascii="Verdana" w:hAnsi="Verdana"/>
                <w:sz w:val="18"/>
                <w:szCs w:val="18"/>
              </w:rPr>
              <w:t xml:space="preserve">The relation between agricultural activities and farmland bird populations should be interpreted very cautiously. </w:t>
            </w:r>
            <w:r w:rsidRPr="00C34DE9">
              <w:rPr>
                <w:rFonts w:ascii="Verdana" w:hAnsi="Verdana" w:cs="Calibri"/>
                <w:sz w:val="18"/>
                <w:szCs w:val="18"/>
              </w:rPr>
              <w:t xml:space="preserve">There is abundant literature on the impact of agricultural activities on farmland birds, but </w:t>
            </w:r>
            <w:r w:rsidRPr="00C34DE9">
              <w:rPr>
                <w:rFonts w:ascii="Verdana" w:hAnsi="Verdana"/>
                <w:sz w:val="18"/>
                <w:szCs w:val="18"/>
              </w:rPr>
              <w:t>there are many other factors affecting the status of their populations, and the relative importance of these factors</w:t>
            </w:r>
            <w:r w:rsidR="008F2A95">
              <w:rPr>
                <w:rFonts w:ascii="Verdana" w:hAnsi="Verdana"/>
                <w:sz w:val="18"/>
                <w:szCs w:val="18"/>
              </w:rPr>
              <w:t xml:space="preserve"> </w:t>
            </w:r>
            <w:r w:rsidRPr="00C34DE9">
              <w:rPr>
                <w:rFonts w:ascii="Verdana" w:hAnsi="Verdana"/>
                <w:sz w:val="18"/>
                <w:szCs w:val="18"/>
              </w:rPr>
              <w:t>along time is not well understood.</w:t>
            </w:r>
          </w:p>
          <w:p w14:paraId="7C984D40"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There is also a number of methodological caveats that need to be addressed to properly use and interpret this indicator, concerning the </w:t>
            </w:r>
            <w:r w:rsidR="00161B7C">
              <w:rPr>
                <w:rFonts w:ascii="Verdana" w:hAnsi="Verdana"/>
                <w:sz w:val="18"/>
                <w:szCs w:val="18"/>
              </w:rPr>
              <w:t>design of the national monitoring schemes</w:t>
            </w:r>
            <w:r w:rsidRPr="00C34DE9">
              <w:rPr>
                <w:rFonts w:ascii="Verdana" w:hAnsi="Verdana"/>
                <w:sz w:val="18"/>
                <w:szCs w:val="18"/>
              </w:rPr>
              <w:t>.</w:t>
            </w:r>
          </w:p>
          <w:p w14:paraId="79D88BA7"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The fluctuations between model runs show that small rises or falls in the indicator should be regarded as art</w:t>
            </w:r>
            <w:r w:rsidR="00161B7C">
              <w:rPr>
                <w:rFonts w:ascii="Verdana" w:hAnsi="Verdana"/>
                <w:sz w:val="18"/>
                <w:szCs w:val="18"/>
              </w:rPr>
              <w:t>e</w:t>
            </w:r>
            <w:r w:rsidRPr="00C34DE9">
              <w:rPr>
                <w:rFonts w:ascii="Verdana" w:hAnsi="Verdana"/>
                <w:sz w:val="18"/>
                <w:szCs w:val="18"/>
              </w:rPr>
              <w:t>facts. It is best to look only at the trends from the defined baseline.</w:t>
            </w:r>
          </w:p>
          <w:p w14:paraId="03728C2B"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[Readily available?]: 25 EU countries are currently covered. The quantity and quality of data at national level, and the support of national authorities toward these monitoring schemes, are other challenges under analysis. Ability to provide updates of indicators at national level depends on the capacity of the national data providers.</w:t>
            </w:r>
          </w:p>
          <w:p w14:paraId="5C7802E5"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[Downscaling] </w:t>
            </w:r>
            <w:r w:rsidR="00161B7C">
              <w:rPr>
                <w:rFonts w:ascii="Verdana" w:hAnsi="Verdana"/>
                <w:sz w:val="18"/>
                <w:szCs w:val="18"/>
              </w:rPr>
              <w:t>T</w:t>
            </w:r>
            <w:r w:rsidRPr="00C34DE9">
              <w:rPr>
                <w:rFonts w:ascii="Verdana" w:hAnsi="Verdana"/>
                <w:sz w:val="18"/>
                <w:szCs w:val="18"/>
              </w:rPr>
              <w:t>he index can be estimated at national and EU level.</w:t>
            </w:r>
            <w:r w:rsidR="00161B7C">
              <w:rPr>
                <w:rFonts w:ascii="Verdana" w:hAnsi="Verdana"/>
                <w:sz w:val="18"/>
                <w:szCs w:val="18"/>
              </w:rPr>
              <w:t xml:space="preserve"> Downscaling at regional (NUTS</w:t>
            </w:r>
            <w:r w:rsidR="008D6791">
              <w:rPr>
                <w:rFonts w:ascii="Verdana" w:hAnsi="Verdana"/>
                <w:sz w:val="18"/>
                <w:szCs w:val="18"/>
              </w:rPr>
              <w:t xml:space="preserve"> </w:t>
            </w:r>
            <w:r w:rsidR="00161B7C">
              <w:rPr>
                <w:rFonts w:ascii="Verdana" w:hAnsi="Verdana"/>
                <w:sz w:val="18"/>
                <w:szCs w:val="18"/>
              </w:rPr>
              <w:t>2) level is currently not possible. The main limiting factor is the insufficient number and spatial heterogeneity of sampling units.</w:t>
            </w:r>
          </w:p>
          <w:p w14:paraId="0313EAA7" w14:textId="5C3E8E91" w:rsidR="00234B7A" w:rsidRPr="00C34DE9" w:rsidRDefault="00234B7A" w:rsidP="00234B7A">
            <w:pPr>
              <w:spacing w:after="60"/>
              <w:jc w:val="both"/>
              <w:rPr>
                <w:rFonts w:ascii="Verdana" w:hAnsi="Verdana"/>
                <w:sz w:val="18"/>
                <w:szCs w:val="18"/>
                <w:lang w:val="x-none"/>
              </w:rPr>
            </w:pPr>
            <w:r w:rsidRPr="00C34DE9">
              <w:rPr>
                <w:rFonts w:ascii="Verdana" w:hAnsi="Verdana"/>
                <w:sz w:val="18"/>
                <w:szCs w:val="18"/>
              </w:rPr>
              <w:t xml:space="preserve">[Quality:] </w:t>
            </w:r>
            <w:r w:rsidR="005274D1">
              <w:rPr>
                <w:rFonts w:ascii="Verdana" w:hAnsi="Verdana"/>
                <w:sz w:val="18"/>
                <w:szCs w:val="18"/>
              </w:rPr>
              <w:t>T</w:t>
            </w:r>
            <w:r w:rsidRPr="00C34DE9">
              <w:rPr>
                <w:rFonts w:ascii="Verdana" w:hAnsi="Verdana"/>
                <w:sz w:val="18"/>
                <w:szCs w:val="18"/>
              </w:rPr>
              <w:t>he amount of sampling plots/transects and the statistical representativity of birdwatchers widely varies at regional, national and EU levels</w:t>
            </w:r>
            <w:r w:rsidR="00161B7C">
              <w:rPr>
                <w:rFonts w:ascii="Verdana" w:hAnsi="Verdana"/>
                <w:sz w:val="18"/>
                <w:szCs w:val="18"/>
              </w:rPr>
              <w:t>.</w:t>
            </w:r>
            <w:r w:rsidRPr="00C34DE9">
              <w:rPr>
                <w:rFonts w:ascii="Verdana" w:hAnsi="Verdana"/>
                <w:sz w:val="18"/>
                <w:szCs w:val="18"/>
              </w:rPr>
              <w:t xml:space="preserve"> </w:t>
            </w:r>
            <w:r w:rsidR="00161B7C">
              <w:rPr>
                <w:rFonts w:ascii="Verdana" w:hAnsi="Verdana"/>
                <w:sz w:val="18"/>
                <w:szCs w:val="18"/>
              </w:rPr>
              <w:lastRenderedPageBreak/>
              <w:t xml:space="preserve">This </w:t>
            </w:r>
            <w:r w:rsidR="3F4AE0BD">
              <w:rPr>
                <w:rFonts w:ascii="Verdana" w:hAnsi="Verdana"/>
                <w:sz w:val="18"/>
                <w:szCs w:val="18"/>
              </w:rPr>
              <w:t>is</w:t>
            </w:r>
            <w:r w:rsidR="00161B7C">
              <w:rPr>
                <w:rFonts w:ascii="Verdana" w:hAnsi="Verdana"/>
                <w:sz w:val="18"/>
                <w:szCs w:val="18"/>
              </w:rPr>
              <w:t xml:space="preserve"> taken into account in the statistical analysis to calculate the indicators</w:t>
            </w:r>
            <w:r w:rsidRPr="00C34DE9">
              <w:rPr>
                <w:rFonts w:ascii="Verdana" w:hAnsi="Verdana"/>
                <w:sz w:val="18"/>
                <w:szCs w:val="18"/>
              </w:rPr>
              <w:t>.</w:t>
            </w:r>
          </w:p>
          <w:p w14:paraId="2E1DCBE1"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As for the time series, the number and type of species chosen from the selected common list by each country </w:t>
            </w:r>
            <w:r w:rsidR="00161B7C">
              <w:rPr>
                <w:rFonts w:ascii="Verdana" w:hAnsi="Verdana"/>
                <w:sz w:val="18"/>
                <w:szCs w:val="18"/>
              </w:rPr>
              <w:t>is</w:t>
            </w:r>
            <w:r w:rsidR="00161B7C" w:rsidRPr="00C34DE9">
              <w:rPr>
                <w:rFonts w:ascii="Verdana" w:hAnsi="Verdana"/>
                <w:sz w:val="18"/>
                <w:szCs w:val="18"/>
              </w:rPr>
              <w:t xml:space="preserve"> </w:t>
            </w:r>
            <w:r w:rsidRPr="00C34DE9">
              <w:rPr>
                <w:rFonts w:ascii="Verdana" w:hAnsi="Verdana"/>
                <w:sz w:val="18"/>
                <w:szCs w:val="18"/>
              </w:rPr>
              <w:t>remain</w:t>
            </w:r>
            <w:r w:rsidR="00161B7C">
              <w:rPr>
                <w:rFonts w:ascii="Verdana" w:hAnsi="Verdana"/>
                <w:sz w:val="18"/>
                <w:szCs w:val="18"/>
              </w:rPr>
              <w:t>ing</w:t>
            </w:r>
            <w:r w:rsidRPr="00C34DE9">
              <w:rPr>
                <w:rFonts w:ascii="Verdana" w:hAnsi="Verdana"/>
                <w:sz w:val="18"/>
                <w:szCs w:val="18"/>
              </w:rPr>
              <w:t xml:space="preserve"> stable over time unless solid justification is provided. </w:t>
            </w:r>
          </w:p>
          <w:p w14:paraId="48234DF5"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[Baseline:] The baseline year needs to be defined.</w:t>
            </w:r>
          </w:p>
          <w:p w14:paraId="0D728AF8" w14:textId="77777777" w:rsidR="00234B7A" w:rsidRDefault="00234B7A" w:rsidP="00234B7A">
            <w:pPr>
              <w:spacing w:after="60"/>
              <w:jc w:val="both"/>
              <w:rPr>
                <w:rFonts w:ascii="Verdana" w:hAnsi="Verdana"/>
                <w:sz w:val="18"/>
                <w:szCs w:val="18"/>
              </w:rPr>
            </w:pPr>
            <w:r w:rsidRPr="00C34DE9">
              <w:rPr>
                <w:rFonts w:ascii="Verdana" w:hAnsi="Verdana"/>
                <w:sz w:val="18"/>
                <w:szCs w:val="18"/>
              </w:rPr>
              <w:t>In Eurostat</w:t>
            </w:r>
            <w:r w:rsidR="002F6287">
              <w:rPr>
                <w:rFonts w:ascii="Verdana" w:hAnsi="Verdana"/>
                <w:sz w:val="18"/>
                <w:szCs w:val="18"/>
              </w:rPr>
              <w:t>’</w:t>
            </w:r>
            <w:r w:rsidRPr="00C34DE9">
              <w:rPr>
                <w:rFonts w:ascii="Verdana" w:hAnsi="Verdana"/>
                <w:sz w:val="18"/>
                <w:szCs w:val="18"/>
              </w:rPr>
              <w:t xml:space="preserve">s database, data are presented with four different bases: 1990, 2000, the latest year available and the national base year. </w:t>
            </w:r>
          </w:p>
          <w:p w14:paraId="7ACF73D3" w14:textId="2554235D" w:rsidR="00D34F97" w:rsidRPr="00C34DE9" w:rsidRDefault="00D34F97" w:rsidP="00D34F97">
            <w:pPr>
              <w:spacing w:after="60"/>
              <w:jc w:val="both"/>
              <w:rPr>
                <w:rFonts w:ascii="Verdana" w:hAnsi="Verdana"/>
                <w:sz w:val="18"/>
                <w:szCs w:val="18"/>
              </w:rPr>
            </w:pPr>
            <w:r w:rsidRPr="5CB4B133">
              <w:rPr>
                <w:rFonts w:ascii="Verdana" w:hAnsi="Verdana"/>
                <w:b/>
                <w:bCs/>
                <w:sz w:val="18"/>
                <w:szCs w:val="18"/>
              </w:rPr>
              <w:t xml:space="preserve">This indicator is also used for the EU reporting on UN Sustainable Development Goals (SDGs). </w:t>
            </w:r>
            <w:r>
              <w:rPr>
                <w:rFonts w:ascii="Verdana" w:hAnsi="Verdana"/>
                <w:sz w:val="18"/>
                <w:szCs w:val="18"/>
              </w:rPr>
              <w:t>F</w:t>
            </w:r>
            <w:r w:rsidR="00234B7A" w:rsidRPr="00C34DE9">
              <w:rPr>
                <w:rFonts w:ascii="Verdana" w:hAnsi="Verdana"/>
                <w:sz w:val="18"/>
                <w:szCs w:val="18"/>
              </w:rPr>
              <w:t>or SDGs the first year in the time series with sufficient points has been established to be year 2000</w:t>
            </w:r>
            <w:r w:rsidR="002F6287">
              <w:rPr>
                <w:rFonts w:ascii="Verdana" w:hAnsi="Verdana"/>
                <w:sz w:val="18"/>
                <w:szCs w:val="18"/>
              </w:rPr>
              <w:t xml:space="preserve"> (table </w:t>
            </w:r>
            <w:hyperlink r:id="rId172" w:history="1">
              <w:r w:rsidR="002F6287" w:rsidRPr="008D6791">
                <w:rPr>
                  <w:rStyle w:val="Hyperlink"/>
                  <w:rFonts w:ascii="Verdana" w:hAnsi="Verdana"/>
                  <w:sz w:val="18"/>
                  <w:szCs w:val="18"/>
                </w:rPr>
                <w:t>sdg_15_60</w:t>
              </w:r>
            </w:hyperlink>
            <w:r w:rsidR="002F6287">
              <w:rPr>
                <w:rFonts w:ascii="Verdana" w:hAnsi="Verdana"/>
                <w:sz w:val="18"/>
                <w:szCs w:val="18"/>
              </w:rPr>
              <w:t>)</w:t>
            </w:r>
            <w:r w:rsidR="00234B7A" w:rsidRPr="00C34DE9">
              <w:rPr>
                <w:rFonts w:ascii="Verdana" w:hAnsi="Verdana"/>
                <w:sz w:val="18"/>
                <w:szCs w:val="18"/>
              </w:rPr>
              <w:t>.</w:t>
            </w:r>
          </w:p>
        </w:tc>
      </w:tr>
    </w:tbl>
    <w:p w14:paraId="6CC87498" w14:textId="77777777" w:rsidR="000F479B" w:rsidRPr="00C34DE9" w:rsidRDefault="000F479B" w:rsidP="000F479B">
      <w:pPr>
        <w:rPr>
          <w:rFonts w:ascii="Verdana" w:hAnsi="Verdana"/>
          <w:sz w:val="18"/>
          <w:szCs w:val="18"/>
        </w:rPr>
      </w:pPr>
      <w:r w:rsidRPr="00C34DE9">
        <w:rPr>
          <w:rFonts w:ascii="Verdana" w:hAnsi="Verdana"/>
          <w:sz w:val="18"/>
          <w:szCs w:val="18"/>
        </w:rPr>
        <w:lastRenderedPageBreak/>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682"/>
      </w:tblGrid>
      <w:tr w:rsidR="00234B7A" w:rsidRPr="00C34DE9" w14:paraId="0A9B565A" w14:textId="77777777" w:rsidTr="240ABBB4">
        <w:tc>
          <w:tcPr>
            <w:tcW w:w="2491" w:type="dxa"/>
            <w:tcBorders>
              <w:top w:val="single" w:sz="4" w:space="0" w:color="auto"/>
              <w:left w:val="single" w:sz="4" w:space="0" w:color="auto"/>
              <w:bottom w:val="single" w:sz="4" w:space="0" w:color="auto"/>
              <w:right w:val="single" w:sz="4" w:space="0" w:color="auto"/>
            </w:tcBorders>
            <w:shd w:val="clear" w:color="auto" w:fill="00B0F0"/>
            <w:vAlign w:val="center"/>
          </w:tcPr>
          <w:p w14:paraId="3A1C55EA" w14:textId="51F385E7" w:rsidR="00234B7A" w:rsidRPr="00C34DE9" w:rsidRDefault="00234B7A" w:rsidP="00340D8D">
            <w:pPr>
              <w:spacing w:after="60"/>
              <w:rPr>
                <w:rFonts w:ascii="Verdana" w:hAnsi="Verdana"/>
                <w:b/>
                <w:bCs/>
                <w:sz w:val="18"/>
                <w:szCs w:val="18"/>
              </w:rPr>
            </w:pPr>
            <w:bookmarkStart w:id="51" w:name="C36"/>
            <w:r w:rsidRPr="5CB4B133">
              <w:rPr>
                <w:rFonts w:ascii="Verdana" w:hAnsi="Verdana"/>
                <w:b/>
                <w:bCs/>
                <w:smallCaps/>
                <w:sz w:val="18"/>
                <w:szCs w:val="18"/>
              </w:rPr>
              <w:lastRenderedPageBreak/>
              <w:t>Indicator C.3</w:t>
            </w:r>
            <w:r w:rsidR="00340D8D">
              <w:rPr>
                <w:rFonts w:ascii="Verdana" w:hAnsi="Verdana"/>
                <w:b/>
                <w:bCs/>
                <w:smallCaps/>
                <w:sz w:val="18"/>
                <w:szCs w:val="18"/>
              </w:rPr>
              <w:t>7</w:t>
            </w:r>
            <w:bookmarkEnd w:id="51"/>
          </w:p>
        </w:tc>
        <w:tc>
          <w:tcPr>
            <w:tcW w:w="7682" w:type="dxa"/>
            <w:tcBorders>
              <w:top w:val="single" w:sz="4" w:space="0" w:color="auto"/>
              <w:left w:val="single" w:sz="4" w:space="0" w:color="auto"/>
              <w:bottom w:val="single" w:sz="4" w:space="0" w:color="auto"/>
              <w:right w:val="single" w:sz="4" w:space="0" w:color="auto"/>
            </w:tcBorders>
            <w:shd w:val="clear" w:color="auto" w:fill="00B0F0"/>
          </w:tcPr>
          <w:p w14:paraId="6C18D789" w14:textId="5D1FDA35" w:rsidR="005274D1" w:rsidRPr="005274D1" w:rsidRDefault="005274D1" w:rsidP="005274D1">
            <w:pPr>
              <w:spacing w:after="60"/>
              <w:rPr>
                <w:rFonts w:ascii="Verdana" w:hAnsi="Verdana" w:cs="Calibri"/>
                <w:sz w:val="18"/>
                <w:szCs w:val="18"/>
              </w:rPr>
            </w:pPr>
            <w:bookmarkStart w:id="52" w:name="I19"/>
            <w:r w:rsidRPr="5CB4B133">
              <w:rPr>
                <w:rFonts w:ascii="Verdana" w:hAnsi="Verdana" w:cs="Calibri"/>
                <w:b/>
                <w:bCs/>
                <w:sz w:val="18"/>
                <w:szCs w:val="18"/>
              </w:rPr>
              <w:t>Indicator I.</w:t>
            </w:r>
            <w:r w:rsidR="00340D8D">
              <w:rPr>
                <w:rFonts w:ascii="Verdana" w:hAnsi="Verdana" w:cs="Calibri"/>
                <w:b/>
                <w:bCs/>
                <w:sz w:val="18"/>
                <w:szCs w:val="18"/>
              </w:rPr>
              <w:t>20</w:t>
            </w:r>
            <w:bookmarkEnd w:id="52"/>
            <w:r w:rsidRPr="5CB4B133">
              <w:rPr>
                <w:rFonts w:ascii="Verdana" w:hAnsi="Verdana" w:cs="Calibri"/>
                <w:b/>
                <w:bCs/>
                <w:sz w:val="18"/>
                <w:szCs w:val="18"/>
              </w:rPr>
              <w:t xml:space="preserve"> Enhanc</w:t>
            </w:r>
            <w:r w:rsidR="00340D8D">
              <w:rPr>
                <w:rFonts w:ascii="Verdana" w:hAnsi="Verdana" w:cs="Calibri"/>
                <w:b/>
                <w:bCs/>
                <w:sz w:val="18"/>
                <w:szCs w:val="18"/>
              </w:rPr>
              <w:t>ing</w:t>
            </w:r>
            <w:r w:rsidRPr="5CB4B133">
              <w:rPr>
                <w:rFonts w:ascii="Verdana" w:hAnsi="Verdana" w:cs="Calibri"/>
                <w:b/>
                <w:bCs/>
                <w:sz w:val="18"/>
                <w:szCs w:val="18"/>
              </w:rPr>
              <w:t xml:space="preserve"> biodiversity protection</w:t>
            </w:r>
            <w:r w:rsidRPr="005274D1">
              <w:rPr>
                <w:rFonts w:ascii="Verdana" w:hAnsi="Verdana" w:cs="Calibri"/>
                <w:sz w:val="18"/>
                <w:szCs w:val="18"/>
              </w:rPr>
              <w:t>:</w:t>
            </w:r>
          </w:p>
          <w:p w14:paraId="10118155" w14:textId="30E5B071" w:rsidR="00234B7A" w:rsidRPr="00C34DE9" w:rsidRDefault="005274D1" w:rsidP="005274D1">
            <w:pPr>
              <w:autoSpaceDE w:val="0"/>
              <w:autoSpaceDN w:val="0"/>
              <w:adjustRightInd w:val="0"/>
              <w:spacing w:after="60"/>
              <w:jc w:val="both"/>
              <w:rPr>
                <w:rFonts w:ascii="Verdana" w:hAnsi="Verdana"/>
                <w:caps/>
                <w:sz w:val="18"/>
                <w:szCs w:val="18"/>
              </w:rPr>
            </w:pPr>
            <w:r w:rsidRPr="0060145A">
              <w:rPr>
                <w:rFonts w:ascii="Verdana" w:hAnsi="Verdana" w:cs="Calibri"/>
                <w:sz w:val="18"/>
                <w:szCs w:val="18"/>
              </w:rPr>
              <w:t>Percentage of</w:t>
            </w:r>
            <w:r w:rsidRPr="005274D1">
              <w:rPr>
                <w:rFonts w:ascii="Verdana" w:hAnsi="Verdana" w:cs="Calibri"/>
                <w:sz w:val="18"/>
                <w:szCs w:val="18"/>
              </w:rPr>
              <w:t xml:space="preserve"> species and habitats of Community interest related to agriculture with stable or increasing trends</w:t>
            </w:r>
            <w:r w:rsidR="00E26267">
              <w:rPr>
                <w:rFonts w:ascii="Verdana" w:hAnsi="Verdana" w:cs="Calibri"/>
                <w:sz w:val="18"/>
                <w:szCs w:val="18"/>
              </w:rPr>
              <w:t>, with breakdown of the percentage for wild pollinators species</w:t>
            </w:r>
            <w:r w:rsidR="00E26267">
              <w:rPr>
                <w:rStyle w:val="FootnoteReference"/>
                <w:rFonts w:ascii="Verdana" w:hAnsi="Verdana" w:cs="Calibri"/>
                <w:sz w:val="18"/>
                <w:szCs w:val="18"/>
              </w:rPr>
              <w:footnoteReference w:id="13"/>
            </w:r>
          </w:p>
        </w:tc>
      </w:tr>
      <w:tr w:rsidR="00234B7A" w:rsidRPr="00C34DE9" w14:paraId="5A07C6B2" w14:textId="77777777" w:rsidTr="240ABBB4">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14:paraId="5ABACEA3"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Indicator Name</w:t>
            </w:r>
          </w:p>
        </w:tc>
        <w:tc>
          <w:tcPr>
            <w:tcW w:w="7682" w:type="dxa"/>
            <w:tcBorders>
              <w:top w:val="single" w:sz="4" w:space="0" w:color="auto"/>
              <w:left w:val="single" w:sz="4" w:space="0" w:color="auto"/>
              <w:bottom w:val="single" w:sz="4" w:space="0" w:color="auto"/>
              <w:right w:val="single" w:sz="4" w:space="0" w:color="auto"/>
            </w:tcBorders>
            <w:shd w:val="clear" w:color="auto" w:fill="auto"/>
            <w:vAlign w:val="center"/>
          </w:tcPr>
          <w:p w14:paraId="4B96249F" w14:textId="3672A12C" w:rsidR="00234B7A" w:rsidRPr="00C34DE9" w:rsidRDefault="00FA7243" w:rsidP="5CB4B133">
            <w:pPr>
              <w:spacing w:after="60"/>
              <w:jc w:val="center"/>
              <w:rPr>
                <w:rFonts w:ascii="Verdana" w:hAnsi="Verdana"/>
                <w:b/>
                <w:bCs/>
                <w:sz w:val="18"/>
                <w:szCs w:val="18"/>
              </w:rPr>
            </w:pPr>
            <w:r w:rsidRPr="5CB4B133">
              <w:rPr>
                <w:rFonts w:ascii="Verdana" w:hAnsi="Verdana"/>
                <w:b/>
                <w:bCs/>
                <w:sz w:val="18"/>
                <w:szCs w:val="18"/>
              </w:rPr>
              <w:t>Percentage of s</w:t>
            </w:r>
            <w:r w:rsidR="0060145A" w:rsidRPr="5CB4B133">
              <w:rPr>
                <w:rFonts w:ascii="Verdana" w:hAnsi="Verdana"/>
                <w:b/>
                <w:bCs/>
                <w:sz w:val="18"/>
                <w:szCs w:val="18"/>
              </w:rPr>
              <w:t xml:space="preserve">pecies and habitats of Community interest related to agriculture with stable or increasing trends </w:t>
            </w:r>
          </w:p>
        </w:tc>
      </w:tr>
      <w:tr w:rsidR="00234B7A" w:rsidRPr="00C34DE9" w14:paraId="40DD2CCB" w14:textId="77777777" w:rsidTr="240ABBB4">
        <w:trPr>
          <w:trHeight w:val="894"/>
        </w:trPr>
        <w:tc>
          <w:tcPr>
            <w:tcW w:w="2491" w:type="dxa"/>
            <w:tcBorders>
              <w:top w:val="single" w:sz="4" w:space="0" w:color="auto"/>
              <w:left w:val="single" w:sz="4" w:space="0" w:color="auto"/>
              <w:bottom w:val="single" w:sz="4" w:space="0" w:color="auto"/>
              <w:right w:val="single" w:sz="4" w:space="0" w:color="auto"/>
            </w:tcBorders>
            <w:vAlign w:val="center"/>
          </w:tcPr>
          <w:p w14:paraId="775E79D2"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 xml:space="preserve">Definition </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E746159" w14:textId="505D2BF9" w:rsidR="00234B7A" w:rsidRDefault="00234B7A" w:rsidP="00234B7A">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 xml:space="preserve">This indicator assesses the conservation status trends of those habitats and species of Community interest, i.e. listed in the relevant Habitats Directive </w:t>
            </w:r>
            <w:r w:rsidR="00006DA8" w:rsidRPr="00C34DE9">
              <w:rPr>
                <w:rFonts w:ascii="Verdana" w:hAnsi="Verdana" w:cs="Calibri"/>
                <w:sz w:val="18"/>
                <w:szCs w:val="18"/>
              </w:rPr>
              <w:t>annexes</w:t>
            </w:r>
            <w:r w:rsidR="00006DA8" w:rsidRPr="003D760E">
              <w:rPr>
                <w:rFonts w:ascii="Verdana" w:hAnsi="Verdana" w:cs="Calibri"/>
                <w:sz w:val="18"/>
                <w:szCs w:val="18"/>
              </w:rPr>
              <w:t xml:space="preserve"> that</w:t>
            </w:r>
            <w:r w:rsidRPr="003D760E">
              <w:rPr>
                <w:rFonts w:ascii="Verdana" w:hAnsi="Verdana" w:cs="Calibri"/>
                <w:sz w:val="18"/>
                <w:szCs w:val="18"/>
              </w:rPr>
              <w:t xml:space="preserve"> are considered to be strongly linked to agro-ecosystems.</w:t>
            </w:r>
            <w:r w:rsidR="00993042">
              <w:rPr>
                <w:rFonts w:ascii="Verdana" w:hAnsi="Verdana" w:cs="Calibri"/>
                <w:sz w:val="18"/>
                <w:szCs w:val="18"/>
              </w:rPr>
              <w:t xml:space="preserve"> In addition, it provides the conservation status trends specifically for pollinators.</w:t>
            </w:r>
          </w:p>
          <w:p w14:paraId="658459E4" w14:textId="4FE49664" w:rsidR="006765FD" w:rsidRDefault="006765FD" w:rsidP="00730BAE">
            <w:pPr>
              <w:pStyle w:val="ListParagraph"/>
              <w:numPr>
                <w:ilvl w:val="0"/>
                <w:numId w:val="107"/>
              </w:numPr>
              <w:shd w:val="clear" w:color="auto" w:fill="00B0F0"/>
              <w:autoSpaceDE w:val="0"/>
              <w:autoSpaceDN w:val="0"/>
              <w:adjustRightInd w:val="0"/>
              <w:spacing w:after="60"/>
              <w:jc w:val="both"/>
              <w:rPr>
                <w:rFonts w:ascii="Verdana" w:hAnsi="Verdana" w:cs="Calibri"/>
                <w:sz w:val="18"/>
                <w:szCs w:val="18"/>
              </w:rPr>
            </w:pPr>
            <w:r w:rsidRPr="0060145A">
              <w:rPr>
                <w:rFonts w:ascii="Verdana" w:hAnsi="Verdana" w:cs="Calibri"/>
                <w:sz w:val="18"/>
                <w:szCs w:val="18"/>
              </w:rPr>
              <w:t>Percentage of</w:t>
            </w:r>
            <w:r w:rsidRPr="005274D1">
              <w:rPr>
                <w:rFonts w:ascii="Verdana" w:hAnsi="Verdana" w:cs="Calibri"/>
                <w:sz w:val="18"/>
                <w:szCs w:val="18"/>
              </w:rPr>
              <w:t xml:space="preserve"> species and habitats of Community interest related to agriculture with stable or increasing trends</w:t>
            </w:r>
          </w:p>
          <w:p w14:paraId="0F6A5FEF" w14:textId="750BD71A" w:rsidR="006765FD" w:rsidRPr="006765FD" w:rsidRDefault="006765FD" w:rsidP="00730BAE">
            <w:pPr>
              <w:pStyle w:val="ListParagraph"/>
              <w:numPr>
                <w:ilvl w:val="0"/>
                <w:numId w:val="107"/>
              </w:numPr>
              <w:shd w:val="clear" w:color="auto" w:fill="00B0F0"/>
              <w:autoSpaceDE w:val="0"/>
              <w:autoSpaceDN w:val="0"/>
              <w:adjustRightInd w:val="0"/>
              <w:spacing w:after="60"/>
              <w:jc w:val="both"/>
              <w:rPr>
                <w:rFonts w:ascii="Verdana" w:hAnsi="Verdana" w:cs="Calibri"/>
                <w:sz w:val="18"/>
                <w:szCs w:val="18"/>
              </w:rPr>
            </w:pPr>
            <w:r w:rsidRPr="0060145A">
              <w:rPr>
                <w:rFonts w:ascii="Verdana" w:hAnsi="Verdana" w:cs="Calibri"/>
                <w:sz w:val="18"/>
                <w:szCs w:val="18"/>
              </w:rPr>
              <w:t>Percentage of</w:t>
            </w:r>
            <w:r w:rsidRPr="005274D1">
              <w:rPr>
                <w:rFonts w:ascii="Verdana" w:hAnsi="Verdana" w:cs="Calibri"/>
                <w:sz w:val="18"/>
                <w:szCs w:val="18"/>
              </w:rPr>
              <w:t xml:space="preserve"> </w:t>
            </w:r>
            <w:r>
              <w:rPr>
                <w:rFonts w:ascii="Verdana" w:hAnsi="Verdana" w:cs="Calibri"/>
                <w:sz w:val="18"/>
                <w:szCs w:val="18"/>
              </w:rPr>
              <w:t xml:space="preserve">pollinators </w:t>
            </w:r>
            <w:r w:rsidRPr="005274D1">
              <w:rPr>
                <w:rFonts w:ascii="Verdana" w:hAnsi="Verdana" w:cs="Calibri"/>
                <w:sz w:val="18"/>
                <w:szCs w:val="18"/>
              </w:rPr>
              <w:t>species of Community interest related to agriculture with stable or increasing trends</w:t>
            </w:r>
          </w:p>
          <w:p w14:paraId="51C7A178" w14:textId="77777777" w:rsidR="00234B7A" w:rsidRPr="003D760E" w:rsidRDefault="00234B7A" w:rsidP="00234B7A">
            <w:pPr>
              <w:autoSpaceDE w:val="0"/>
              <w:autoSpaceDN w:val="0"/>
              <w:adjustRightInd w:val="0"/>
              <w:spacing w:after="60"/>
              <w:jc w:val="both"/>
              <w:rPr>
                <w:rFonts w:ascii="Verdana" w:hAnsi="Verdana" w:cs="Calibri"/>
                <w:sz w:val="18"/>
                <w:szCs w:val="18"/>
              </w:rPr>
            </w:pPr>
            <w:r w:rsidRPr="003D760E">
              <w:rPr>
                <w:rFonts w:ascii="Verdana" w:hAnsi="Verdana" w:cs="Calibri"/>
                <w:sz w:val="18"/>
                <w:szCs w:val="18"/>
              </w:rPr>
              <w:t>Species and habitats of Community interest are those in danger of disappearance in their natural range, rare or endemic, or characteristic of one or more of the EU biogeographical regions; these species and habitats are listed in the annexes of the Habitats Directive.</w:t>
            </w:r>
          </w:p>
          <w:p w14:paraId="728A6875" w14:textId="77777777" w:rsidR="00234B7A" w:rsidRPr="003D760E" w:rsidRDefault="00234B7A" w:rsidP="00234B7A">
            <w:pPr>
              <w:autoSpaceDE w:val="0"/>
              <w:autoSpaceDN w:val="0"/>
              <w:adjustRightInd w:val="0"/>
              <w:spacing w:after="60"/>
              <w:jc w:val="both"/>
              <w:rPr>
                <w:rFonts w:ascii="Verdana" w:hAnsi="Verdana" w:cs="Calibri"/>
                <w:sz w:val="18"/>
                <w:szCs w:val="18"/>
              </w:rPr>
            </w:pPr>
            <w:r w:rsidRPr="003D760E">
              <w:rPr>
                <w:rFonts w:ascii="Verdana" w:hAnsi="Verdana" w:cs="Calibri"/>
                <w:sz w:val="18"/>
                <w:szCs w:val="18"/>
              </w:rPr>
              <w:t xml:space="preserve">The existence and long-term survival of some of these habitats and species is strongly linked to the presence </w:t>
            </w:r>
            <w:r w:rsidR="004807F1" w:rsidRPr="003D760E">
              <w:rPr>
                <w:rFonts w:ascii="Verdana" w:hAnsi="Verdana" w:cs="Calibri"/>
                <w:sz w:val="18"/>
                <w:szCs w:val="18"/>
              </w:rPr>
              <w:t xml:space="preserve">and good conditions </w:t>
            </w:r>
            <w:r w:rsidRPr="003D760E">
              <w:rPr>
                <w:rFonts w:ascii="Verdana" w:hAnsi="Verdana" w:cs="Calibri"/>
                <w:sz w:val="18"/>
                <w:szCs w:val="18"/>
              </w:rPr>
              <w:t>of certain agricultural ecosystems; their conservation status is influenced by the management of agricultural systems, the practices implemented, land abandonment, intensification and conversion into other land uses.</w:t>
            </w:r>
          </w:p>
          <w:p w14:paraId="33F9D4E2" w14:textId="39A2186C" w:rsidR="00234B7A" w:rsidRPr="00C34DE9" w:rsidRDefault="00234B7A" w:rsidP="00915B8E">
            <w:pPr>
              <w:spacing w:after="120" w:line="240" w:lineRule="auto"/>
              <w:rPr>
                <w:rFonts w:ascii="Verdana" w:hAnsi="Verdana" w:cs="Calibri"/>
                <w:sz w:val="18"/>
                <w:szCs w:val="18"/>
              </w:rPr>
            </w:pPr>
            <w:r w:rsidRPr="003D760E">
              <w:rPr>
                <w:rFonts w:ascii="Verdana" w:hAnsi="Verdana" w:cs="Calibri"/>
                <w:sz w:val="18"/>
                <w:szCs w:val="18"/>
              </w:rPr>
              <w:t>The Habitats Directive does not explicitly identify species and habitats dependent on agro-ecosystems</w:t>
            </w:r>
            <w:r w:rsidR="00915B8E">
              <w:rPr>
                <w:rFonts w:ascii="Verdana" w:hAnsi="Verdana" w:cs="Calibri"/>
                <w:sz w:val="18"/>
                <w:szCs w:val="18"/>
              </w:rPr>
              <w:t xml:space="preserve">. </w:t>
            </w:r>
            <w:r w:rsidRPr="003D760E">
              <w:rPr>
                <w:rFonts w:ascii="Verdana" w:hAnsi="Verdana" w:cs="Calibri"/>
                <w:sz w:val="18"/>
                <w:szCs w:val="18"/>
              </w:rPr>
              <w:t>The lists of species and habitats (</w:t>
            </w:r>
            <w:r w:rsidRPr="00C34DE9">
              <w:rPr>
                <w:rFonts w:ascii="Verdana" w:hAnsi="Verdana" w:cs="Calibri"/>
                <w:sz w:val="18"/>
                <w:szCs w:val="18"/>
              </w:rPr>
              <w:t xml:space="preserve">one </w:t>
            </w:r>
            <w:r w:rsidR="00135AFD">
              <w:rPr>
                <w:rFonts w:ascii="Verdana" w:hAnsi="Verdana" w:cs="Calibri"/>
                <w:sz w:val="18"/>
                <w:szCs w:val="18"/>
              </w:rPr>
              <w:t>list</w:t>
            </w:r>
            <w:r w:rsidRPr="00C34DE9">
              <w:rPr>
                <w:rFonts w:ascii="Verdana" w:hAnsi="Verdana" w:cs="Calibri"/>
                <w:sz w:val="18"/>
                <w:szCs w:val="18"/>
              </w:rPr>
              <w:t xml:space="preserve"> per Member State with indication of the relevant biogeographical regions) </w:t>
            </w:r>
            <w:r w:rsidR="00135AFD">
              <w:rPr>
                <w:rFonts w:ascii="Verdana" w:hAnsi="Verdana" w:cs="Calibri"/>
                <w:sz w:val="18"/>
                <w:szCs w:val="18"/>
              </w:rPr>
              <w:t>are</w:t>
            </w:r>
            <w:r w:rsidRPr="00C34DE9">
              <w:rPr>
                <w:rFonts w:ascii="Verdana" w:hAnsi="Verdana" w:cs="Calibri"/>
                <w:sz w:val="18"/>
                <w:szCs w:val="18"/>
              </w:rPr>
              <w:t xml:space="preserve"> elaborated taking into account the works of inter alia Halada et al. (2011), Roscher et al. (2015) and </w:t>
            </w:r>
            <w:r w:rsidR="00915B8E" w:rsidRPr="00915B8E">
              <w:rPr>
                <w:rFonts w:ascii="Verdana" w:hAnsi="Verdana" w:cs="Calibri"/>
                <w:sz w:val="18"/>
                <w:szCs w:val="18"/>
              </w:rPr>
              <w:t xml:space="preserve">the guidance “farming and Natura 2000” </w:t>
            </w:r>
            <w:r w:rsidR="00915B8E">
              <w:rPr>
                <w:rFonts w:ascii="Verdana" w:hAnsi="Verdana" w:cs="Calibri"/>
                <w:sz w:val="18"/>
                <w:szCs w:val="18"/>
              </w:rPr>
              <w:t>(</w:t>
            </w:r>
            <w:r w:rsidRPr="00C34DE9">
              <w:rPr>
                <w:rFonts w:ascii="Verdana" w:hAnsi="Verdana" w:cs="Calibri"/>
                <w:sz w:val="18"/>
                <w:szCs w:val="18"/>
              </w:rPr>
              <w:t>European Commission (2014)</w:t>
            </w:r>
            <w:r w:rsidR="00915B8E" w:rsidRPr="003D760E">
              <w:rPr>
                <w:rStyle w:val="FootnoteReference"/>
                <w:rFonts w:ascii="Verdana" w:hAnsi="Verdana" w:cs="Calibri"/>
                <w:sz w:val="18"/>
                <w:szCs w:val="18"/>
              </w:rPr>
              <w:t xml:space="preserve"> </w:t>
            </w:r>
            <w:r w:rsidR="00915B8E" w:rsidRPr="003D760E">
              <w:rPr>
                <w:rStyle w:val="FootnoteReference"/>
                <w:rFonts w:ascii="Verdana" w:hAnsi="Verdana" w:cs="Calibri"/>
                <w:sz w:val="18"/>
                <w:szCs w:val="18"/>
              </w:rPr>
              <w:footnoteReference w:id="14"/>
            </w:r>
            <w:r w:rsidR="00915B8E">
              <w:t>. These have been updated to reflect updated knowledge,</w:t>
            </w:r>
            <w:r w:rsidRPr="00C34DE9">
              <w:rPr>
                <w:rFonts w:ascii="Verdana" w:hAnsi="Verdana" w:cs="Calibri"/>
                <w:sz w:val="18"/>
                <w:szCs w:val="18"/>
              </w:rPr>
              <w:t xml:space="preserve"> </w:t>
            </w:r>
            <w:r w:rsidR="00135AFD">
              <w:rPr>
                <w:rFonts w:ascii="Verdana" w:hAnsi="Verdana" w:cs="Calibri"/>
                <w:sz w:val="18"/>
                <w:szCs w:val="18"/>
              </w:rPr>
              <w:t>and</w:t>
            </w:r>
            <w:r w:rsidRPr="00C34DE9">
              <w:rPr>
                <w:rFonts w:ascii="Verdana" w:hAnsi="Verdana" w:cs="Calibri"/>
                <w:sz w:val="18"/>
                <w:szCs w:val="18"/>
              </w:rPr>
              <w:t xml:space="preserve"> validated by the Member States. </w:t>
            </w:r>
            <w:r w:rsidR="00915B8E" w:rsidRPr="003D760E">
              <w:rPr>
                <w:rFonts w:ascii="Verdana" w:hAnsi="Verdana" w:cs="Calibri"/>
                <w:sz w:val="18"/>
                <w:szCs w:val="18"/>
              </w:rPr>
              <w:t>The species and habitat</w:t>
            </w:r>
            <w:r w:rsidR="00DA289D">
              <w:rPr>
                <w:rFonts w:ascii="Verdana" w:hAnsi="Verdana" w:cs="Calibri"/>
                <w:sz w:val="18"/>
                <w:szCs w:val="18"/>
              </w:rPr>
              <w:t>s</w:t>
            </w:r>
            <w:r w:rsidR="00915B8E" w:rsidRPr="003D760E">
              <w:rPr>
                <w:rFonts w:ascii="Verdana" w:hAnsi="Verdana" w:cs="Calibri"/>
                <w:sz w:val="18"/>
                <w:szCs w:val="18"/>
              </w:rPr>
              <w:t xml:space="preserve"> composition will vary between biogeographical regions and between Member States. </w:t>
            </w:r>
            <w:r w:rsidR="00915B8E">
              <w:rPr>
                <w:rFonts w:ascii="Verdana" w:hAnsi="Verdana" w:cs="Calibri"/>
                <w:sz w:val="18"/>
                <w:szCs w:val="18"/>
              </w:rPr>
              <w:t>For calculating the</w:t>
            </w:r>
            <w:r w:rsidR="00915B8E" w:rsidRPr="00915B8E">
              <w:rPr>
                <w:rFonts w:ascii="Verdana" w:hAnsi="Verdana" w:cs="Calibri"/>
                <w:sz w:val="18"/>
                <w:szCs w:val="18"/>
              </w:rPr>
              <w:t xml:space="preserve"> indic</w:t>
            </w:r>
            <w:r w:rsidR="00915B8E">
              <w:rPr>
                <w:rFonts w:ascii="Verdana" w:hAnsi="Verdana" w:cs="Calibri"/>
                <w:sz w:val="18"/>
                <w:szCs w:val="18"/>
              </w:rPr>
              <w:t>a</w:t>
            </w:r>
            <w:r w:rsidR="00915B8E" w:rsidRPr="00915B8E">
              <w:rPr>
                <w:rFonts w:ascii="Verdana" w:hAnsi="Verdana" w:cs="Calibri"/>
                <w:sz w:val="18"/>
                <w:szCs w:val="18"/>
              </w:rPr>
              <w:t>tor</w:t>
            </w:r>
            <w:r w:rsidR="00915B8E">
              <w:rPr>
                <w:rFonts w:ascii="Verdana" w:hAnsi="Verdana" w:cs="Calibri"/>
                <w:sz w:val="18"/>
                <w:szCs w:val="18"/>
              </w:rPr>
              <w:t>, only</w:t>
            </w:r>
            <w:r w:rsidR="00915B8E" w:rsidRPr="00915B8E">
              <w:rPr>
                <w:rFonts w:ascii="Verdana" w:hAnsi="Verdana" w:cs="Calibri"/>
                <w:sz w:val="18"/>
                <w:szCs w:val="18"/>
              </w:rPr>
              <w:t xml:space="preserve"> species and habitats most dependent on farming and related management</w:t>
            </w:r>
            <w:r w:rsidR="00915B8E">
              <w:rPr>
                <w:rFonts w:ascii="Verdana" w:hAnsi="Verdana" w:cs="Calibri"/>
                <w:sz w:val="18"/>
                <w:szCs w:val="18"/>
              </w:rPr>
              <w:t xml:space="preserve"> will be considered.</w:t>
            </w:r>
            <w:r w:rsidRPr="00C34DE9">
              <w:rPr>
                <w:rFonts w:ascii="Verdana" w:hAnsi="Verdana" w:cs="Calibri"/>
                <w:sz w:val="18"/>
                <w:szCs w:val="18"/>
              </w:rPr>
              <w:t xml:space="preserve"> </w:t>
            </w:r>
          </w:p>
          <w:p w14:paraId="0A1EDF7F" w14:textId="1A8FB8FC" w:rsidR="00135AFD" w:rsidRPr="006765FD" w:rsidRDefault="00135AFD" w:rsidP="00135AFD">
            <w:pPr>
              <w:spacing w:after="120" w:line="240" w:lineRule="auto"/>
              <w:jc w:val="both"/>
              <w:rPr>
                <w:rFonts w:ascii="Times New Roman" w:hAnsi="Times New Roman"/>
                <w:sz w:val="24"/>
                <w:szCs w:val="24"/>
              </w:rPr>
            </w:pPr>
            <w:r>
              <w:rPr>
                <w:rFonts w:ascii="Verdana" w:hAnsi="Verdana" w:cs="Calibri"/>
                <w:sz w:val="18"/>
                <w:szCs w:val="18"/>
              </w:rPr>
              <w:t>For pollinators, the indicator will b</w:t>
            </w:r>
            <w:r w:rsidR="00915B8E">
              <w:rPr>
                <w:rFonts w:ascii="Verdana" w:hAnsi="Verdana" w:cs="Calibri"/>
                <w:sz w:val="18"/>
                <w:szCs w:val="18"/>
              </w:rPr>
              <w:t xml:space="preserve">uild on a subset of the same species lists, i.e. the relevant species among the 38 butterflies listed in the Habitats Directive under Annex II and Annex IV, but needs to be </w:t>
            </w:r>
            <w:r>
              <w:rPr>
                <w:rFonts w:ascii="Verdana" w:hAnsi="Verdana" w:cs="Calibri"/>
                <w:sz w:val="18"/>
                <w:szCs w:val="18"/>
              </w:rPr>
              <w:t>tested.</w:t>
            </w:r>
            <w:r>
              <w:rPr>
                <w:rFonts w:ascii="Calibri" w:hAnsi="Calibri"/>
                <w:b/>
                <w:bCs/>
                <w:color w:val="1F497D"/>
                <w:u w:val="single"/>
                <w:lang w:eastAsia="en-US"/>
              </w:rPr>
              <w:t xml:space="preserve"> </w:t>
            </w:r>
          </w:p>
          <w:p w14:paraId="1268AB62" w14:textId="7103CB2F" w:rsidR="00234B7A" w:rsidRPr="00C34DE9" w:rsidRDefault="00234B7A" w:rsidP="00234B7A">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 xml:space="preserve">For both, species and habitats, </w:t>
            </w:r>
            <w:r w:rsidR="00915B8E">
              <w:rPr>
                <w:rFonts w:ascii="Verdana" w:hAnsi="Verdana" w:cs="Calibri"/>
                <w:sz w:val="18"/>
                <w:szCs w:val="18"/>
              </w:rPr>
              <w:t xml:space="preserve">and for pollinators, </w:t>
            </w:r>
            <w:r w:rsidRPr="00C34DE9">
              <w:rPr>
                <w:rFonts w:ascii="Verdana" w:hAnsi="Verdana" w:cs="Calibri"/>
                <w:sz w:val="18"/>
                <w:szCs w:val="18"/>
              </w:rPr>
              <w:t xml:space="preserve">the overall assessment of conservation trend is as follows: ‘improving +’, ‘deteriorating </w:t>
            </w:r>
            <w:r w:rsidR="00161B7C">
              <w:rPr>
                <w:rFonts w:ascii="Verdana" w:hAnsi="Verdana" w:cs="Calibri"/>
                <w:sz w:val="18"/>
                <w:szCs w:val="18"/>
              </w:rPr>
              <w:t>-</w:t>
            </w:r>
            <w:r w:rsidRPr="00C34DE9">
              <w:rPr>
                <w:rFonts w:ascii="Verdana" w:hAnsi="Verdana" w:cs="Calibri"/>
                <w:sz w:val="18"/>
                <w:szCs w:val="18"/>
              </w:rPr>
              <w:t>’, ‘stable =’, ‘unknown x’.</w:t>
            </w:r>
          </w:p>
          <w:p w14:paraId="54839ACD" w14:textId="77777777" w:rsidR="00234B7A" w:rsidRDefault="002F6287" w:rsidP="00234B7A">
            <w:pPr>
              <w:autoSpaceDE w:val="0"/>
              <w:autoSpaceDN w:val="0"/>
              <w:adjustRightInd w:val="0"/>
              <w:spacing w:after="60"/>
              <w:jc w:val="both"/>
              <w:rPr>
                <w:rFonts w:ascii="Verdana" w:hAnsi="Verdana" w:cs="Calibri"/>
                <w:sz w:val="18"/>
                <w:szCs w:val="18"/>
              </w:rPr>
            </w:pPr>
            <w:r>
              <w:rPr>
                <w:rFonts w:ascii="Verdana" w:hAnsi="Verdana" w:cs="Calibri"/>
                <w:sz w:val="18"/>
                <w:szCs w:val="18"/>
              </w:rPr>
              <w:t>Methodology:</w:t>
            </w:r>
          </w:p>
          <w:p w14:paraId="57D6A042" w14:textId="717E9090" w:rsidR="002F6287" w:rsidRPr="00C34DE9" w:rsidRDefault="002F6287" w:rsidP="790C88FB">
            <w:pPr>
              <w:autoSpaceDE w:val="0"/>
              <w:autoSpaceDN w:val="0"/>
              <w:adjustRightInd w:val="0"/>
              <w:spacing w:after="60"/>
              <w:jc w:val="center"/>
              <w:rPr>
                <w:rFonts w:ascii="Verdana" w:hAnsi="Verdana" w:cs="Calibri"/>
                <w:i/>
                <w:iCs/>
                <w:sz w:val="18"/>
                <w:szCs w:val="18"/>
              </w:rPr>
            </w:pPr>
            <w:r w:rsidRPr="790C88FB">
              <w:rPr>
                <w:rFonts w:ascii="Verdana" w:hAnsi="Verdana" w:cs="Calibri"/>
                <w:i/>
                <w:iCs/>
                <w:sz w:val="18"/>
                <w:szCs w:val="18"/>
              </w:rPr>
              <w:lastRenderedPageBreak/>
              <w:t>I.</w:t>
            </w:r>
            <w:r w:rsidR="00E4791B">
              <w:rPr>
                <w:rFonts w:ascii="Verdana" w:hAnsi="Verdana" w:cs="Calibri"/>
                <w:i/>
                <w:iCs/>
                <w:sz w:val="18"/>
                <w:szCs w:val="18"/>
              </w:rPr>
              <w:t>20</w:t>
            </w:r>
            <w:r w:rsidRPr="790C88FB">
              <w:rPr>
                <w:rFonts w:ascii="Verdana" w:hAnsi="Verdana" w:cs="Calibri"/>
                <w:i/>
                <w:iCs/>
                <w:sz w:val="18"/>
                <w:szCs w:val="18"/>
              </w:rPr>
              <w:t xml:space="preserve"> = </w:t>
            </w:r>
            <w:r w:rsidRPr="790C88FB">
              <w:rPr>
                <w:rFonts w:ascii="Verdana" w:hAnsi="Verdana" w:cs="Calibri"/>
                <w:i/>
                <w:iCs/>
                <w:sz w:val="18"/>
                <w:szCs w:val="18"/>
                <w:u w:val="single"/>
              </w:rPr>
              <w:t>Number of assessments that indicate an improving or stable trend</w:t>
            </w:r>
          </w:p>
          <w:p w14:paraId="5FCEF27F" w14:textId="77777777" w:rsidR="002F6287" w:rsidRPr="00C34DE9" w:rsidRDefault="002F6287" w:rsidP="790C88FB">
            <w:pPr>
              <w:autoSpaceDE w:val="0"/>
              <w:autoSpaceDN w:val="0"/>
              <w:adjustRightInd w:val="0"/>
              <w:spacing w:after="60"/>
              <w:jc w:val="center"/>
              <w:rPr>
                <w:rFonts w:ascii="Verdana" w:hAnsi="Verdana" w:cs="Calibri"/>
                <w:i/>
                <w:iCs/>
                <w:sz w:val="18"/>
                <w:szCs w:val="18"/>
              </w:rPr>
            </w:pPr>
            <w:r w:rsidRPr="790C88FB">
              <w:rPr>
                <w:rFonts w:ascii="Verdana" w:hAnsi="Verdana" w:cs="Calibri"/>
                <w:i/>
                <w:iCs/>
                <w:sz w:val="18"/>
                <w:szCs w:val="18"/>
              </w:rPr>
              <w:t>Total number of assessments</w:t>
            </w:r>
          </w:p>
          <w:p w14:paraId="2139C8E8" w14:textId="77777777" w:rsidR="002F6287" w:rsidRPr="00C34DE9" w:rsidRDefault="002F6287" w:rsidP="002F6287">
            <w:pPr>
              <w:autoSpaceDE w:val="0"/>
              <w:autoSpaceDN w:val="0"/>
              <w:adjustRightInd w:val="0"/>
              <w:spacing w:after="60"/>
              <w:jc w:val="both"/>
              <w:rPr>
                <w:rFonts w:ascii="Verdana" w:hAnsi="Verdana" w:cs="Calibri"/>
                <w:sz w:val="18"/>
                <w:szCs w:val="18"/>
              </w:rPr>
            </w:pPr>
            <w:r w:rsidRPr="00C34DE9">
              <w:rPr>
                <w:rFonts w:ascii="Verdana" w:hAnsi="Verdana" w:cs="Calibri"/>
                <w:sz w:val="18"/>
                <w:szCs w:val="18"/>
              </w:rPr>
              <w:t>Number of assessments: depends on total number of species and habitats, and on the number of biogeographical regions where they are represented (e.g. a species present in 2 biogeographic regions will have two assessments).</w:t>
            </w:r>
          </w:p>
        </w:tc>
      </w:tr>
      <w:tr w:rsidR="00234B7A" w:rsidRPr="00C34DE9" w14:paraId="5E12EDAC"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000C50A6"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lastRenderedPageBreak/>
              <w:t>Unit of measurement</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37EAF2B" w14:textId="77777777" w:rsidR="00234B7A" w:rsidRPr="00C34DE9" w:rsidRDefault="00234B7A" w:rsidP="00234B7A">
            <w:pPr>
              <w:spacing w:after="60"/>
              <w:rPr>
                <w:rFonts w:ascii="Verdana" w:hAnsi="Verdana"/>
                <w:sz w:val="18"/>
                <w:szCs w:val="18"/>
              </w:rPr>
            </w:pPr>
            <w:r w:rsidRPr="00C34DE9">
              <w:rPr>
                <w:rFonts w:ascii="Verdana" w:hAnsi="Verdana"/>
                <w:sz w:val="18"/>
                <w:szCs w:val="18"/>
              </w:rPr>
              <w:t xml:space="preserve">Percentage of assessments with a stable or improving conservation status trend. </w:t>
            </w:r>
          </w:p>
        </w:tc>
      </w:tr>
      <w:tr w:rsidR="00234B7A" w:rsidRPr="00C34DE9" w14:paraId="2DB978F3" w14:textId="77777777" w:rsidTr="240ABBB4">
        <w:trPr>
          <w:trHeight w:val="675"/>
        </w:trPr>
        <w:tc>
          <w:tcPr>
            <w:tcW w:w="2491" w:type="dxa"/>
            <w:tcBorders>
              <w:top w:val="single" w:sz="4" w:space="0" w:color="auto"/>
              <w:left w:val="single" w:sz="4" w:space="0" w:color="auto"/>
              <w:bottom w:val="single" w:sz="4" w:space="0" w:color="auto"/>
              <w:right w:val="single" w:sz="4" w:space="0" w:color="auto"/>
            </w:tcBorders>
            <w:vAlign w:val="center"/>
          </w:tcPr>
          <w:p w14:paraId="1734BA13" w14:textId="77777777" w:rsidR="00234B7A" w:rsidRPr="00C34DE9" w:rsidRDefault="00234B7A" w:rsidP="790C88FB">
            <w:pPr>
              <w:spacing w:after="60"/>
              <w:rPr>
                <w:rFonts w:ascii="Verdana" w:hAnsi="Verdana"/>
                <w:i/>
                <w:iCs/>
                <w:sz w:val="18"/>
                <w:szCs w:val="18"/>
              </w:rPr>
            </w:pPr>
            <w:r w:rsidRPr="5CB4B133">
              <w:rPr>
                <w:rFonts w:ascii="Verdana" w:hAnsi="Verdana"/>
                <w:b/>
                <w:bCs/>
                <w:sz w:val="18"/>
                <w:szCs w:val="18"/>
              </w:rPr>
              <w:t>Data source</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5CD33588" w14:textId="77777777"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Member States regularly report in accordance with Article 17 of the Habitats Directive on the status and trends of habitats and species of Community interest.</w:t>
            </w:r>
          </w:p>
        </w:tc>
      </w:tr>
      <w:tr w:rsidR="00234B7A" w:rsidRPr="00C34DE9" w14:paraId="017B12E6"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3F61D440"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27186A27" w14:textId="77777777" w:rsidR="00234B7A" w:rsidRPr="00C34DE9" w:rsidRDefault="00935FDB" w:rsidP="00234B7A">
            <w:pPr>
              <w:spacing w:after="60"/>
              <w:rPr>
                <w:rFonts w:ascii="Verdana" w:eastAsia="Times New Roman" w:hAnsi="Verdana"/>
                <w:sz w:val="18"/>
                <w:szCs w:val="18"/>
              </w:rPr>
            </w:pPr>
            <w:r>
              <w:rPr>
                <w:rFonts w:ascii="Verdana" w:eastAsia="Times New Roman" w:hAnsi="Verdana"/>
                <w:sz w:val="18"/>
                <w:szCs w:val="18"/>
              </w:rPr>
              <w:t>Data are</w:t>
            </w:r>
            <w:r w:rsidR="00234B7A" w:rsidRPr="00C34DE9">
              <w:rPr>
                <w:rFonts w:ascii="Verdana" w:eastAsia="Times New Roman" w:hAnsi="Verdana"/>
                <w:sz w:val="18"/>
                <w:szCs w:val="18"/>
              </w:rPr>
              <w:t xml:space="preserve"> reported to the European Environment Agency (EEA) by MS. </w:t>
            </w:r>
          </w:p>
          <w:p w14:paraId="6EAD17E8" w14:textId="77777777"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The EEA would carry out the necessary calculations.</w:t>
            </w:r>
          </w:p>
        </w:tc>
      </w:tr>
      <w:tr w:rsidR="00234B7A" w:rsidRPr="00C34DE9" w14:paraId="15938C51"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6990BF85"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Data collection</w:t>
            </w:r>
            <w:r w:rsidR="008D6791"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1103379" w14:textId="39CA0557" w:rsidR="00234B7A" w:rsidRPr="00C34DE9" w:rsidDel="00F9611E" w:rsidRDefault="00C576F9" w:rsidP="00C576F9">
            <w:pPr>
              <w:spacing w:after="60"/>
              <w:rPr>
                <w:rFonts w:ascii="Verdana" w:hAnsi="Verdana"/>
                <w:sz w:val="18"/>
                <w:szCs w:val="18"/>
              </w:rPr>
            </w:pPr>
            <w:r>
              <w:rPr>
                <w:rFonts w:ascii="Verdana" w:hAnsi="Verdana"/>
                <w:sz w:val="18"/>
                <w:szCs w:val="18"/>
              </w:rPr>
              <w:t>National</w:t>
            </w:r>
            <w:r w:rsidR="00234B7A" w:rsidRPr="00C34DE9">
              <w:rPr>
                <w:rFonts w:ascii="Verdana" w:hAnsi="Verdana"/>
                <w:sz w:val="18"/>
                <w:szCs w:val="18"/>
              </w:rPr>
              <w:t xml:space="preserve"> (NUTS 0).</w:t>
            </w:r>
            <w:r w:rsidR="00234B7A" w:rsidRPr="3F4AE0BD">
              <w:rPr>
                <w:rFonts w:ascii="Verdana" w:hAnsi="Verdana"/>
                <w:b/>
                <w:bCs/>
                <w:sz w:val="18"/>
                <w:szCs w:val="18"/>
              </w:rPr>
              <w:t xml:space="preserve"> </w:t>
            </w:r>
            <w:r w:rsidR="00234B7A" w:rsidRPr="00C34DE9">
              <w:rPr>
                <w:rFonts w:ascii="Verdana" w:hAnsi="Verdana"/>
                <w:sz w:val="18"/>
                <w:szCs w:val="18"/>
              </w:rPr>
              <w:t>Values are assessed at the biogeographical level of each Member State, in such a way that results can be aggregated at the level of the Member States.</w:t>
            </w:r>
          </w:p>
        </w:tc>
      </w:tr>
      <w:tr w:rsidR="00234B7A" w:rsidRPr="00C34DE9" w14:paraId="4745A396" w14:textId="77777777" w:rsidTr="240ABBB4">
        <w:trPr>
          <w:trHeight w:val="592"/>
        </w:trPr>
        <w:tc>
          <w:tcPr>
            <w:tcW w:w="2491" w:type="dxa"/>
            <w:tcBorders>
              <w:top w:val="single" w:sz="4" w:space="0" w:color="auto"/>
              <w:left w:val="single" w:sz="4" w:space="0" w:color="auto"/>
              <w:bottom w:val="single" w:sz="4" w:space="0" w:color="auto"/>
              <w:right w:val="single" w:sz="4" w:space="0" w:color="auto"/>
            </w:tcBorders>
            <w:vAlign w:val="center"/>
          </w:tcPr>
          <w:p w14:paraId="587AAD81"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Frequency</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755F22E6" w14:textId="77777777"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Member States report every six years taking the developments over the six-year period into consideration.</w:t>
            </w:r>
          </w:p>
          <w:p w14:paraId="5DCAC71E" w14:textId="3A3886B4" w:rsidR="00234B7A" w:rsidRPr="00C34DE9" w:rsidRDefault="00234B7A" w:rsidP="00234B7A">
            <w:pPr>
              <w:spacing w:after="60"/>
              <w:rPr>
                <w:rFonts w:ascii="Verdana" w:eastAsia="Times New Roman" w:hAnsi="Verdana"/>
                <w:sz w:val="18"/>
                <w:szCs w:val="18"/>
              </w:rPr>
            </w:pPr>
            <w:r w:rsidRPr="00C34DE9">
              <w:rPr>
                <w:rFonts w:ascii="Verdana" w:eastAsia="Times New Roman" w:hAnsi="Verdana"/>
                <w:sz w:val="18"/>
                <w:szCs w:val="18"/>
              </w:rPr>
              <w:t>Next reports due in 2019 (for 2013-2018), 2025 (2019-2024) and 2031 (2025-2030).</w:t>
            </w:r>
            <w:r w:rsidR="00A51D1A" w:rsidRPr="5CB4B133">
              <w:t xml:space="preserve"> Information relating to State of Nature (2019) report is available at </w:t>
            </w:r>
            <w:hyperlink r:id="rId173" w:history="1">
              <w:r w:rsidR="00A51D1A" w:rsidRPr="5CB4B133">
                <w:rPr>
                  <w:rStyle w:val="Hyperlink"/>
                </w:rPr>
                <w:t>https://www.eea.europa.eu/themes/biodiversity/state-of-nature-in-the-eu/state-of-nature-2020</w:t>
              </w:r>
            </w:hyperlink>
          </w:p>
        </w:tc>
      </w:tr>
      <w:tr w:rsidR="00234B7A" w:rsidRPr="00C34DE9" w14:paraId="55EE5842" w14:textId="77777777" w:rsidTr="240ABBB4">
        <w:trPr>
          <w:trHeight w:val="518"/>
        </w:trPr>
        <w:tc>
          <w:tcPr>
            <w:tcW w:w="2491" w:type="dxa"/>
            <w:tcBorders>
              <w:top w:val="single" w:sz="4" w:space="0" w:color="auto"/>
              <w:left w:val="single" w:sz="4" w:space="0" w:color="auto"/>
              <w:bottom w:val="single" w:sz="4" w:space="0" w:color="auto"/>
              <w:right w:val="single" w:sz="4" w:space="0" w:color="auto"/>
            </w:tcBorders>
            <w:vAlign w:val="center"/>
          </w:tcPr>
          <w:p w14:paraId="55A19B97" w14:textId="77777777" w:rsidR="00234B7A" w:rsidRPr="00C34DE9" w:rsidRDefault="00161B7C" w:rsidP="5CB4B133">
            <w:pPr>
              <w:spacing w:after="60"/>
              <w:rPr>
                <w:rFonts w:ascii="Verdana" w:hAnsi="Verdana"/>
                <w:b/>
                <w:bCs/>
                <w:sz w:val="18"/>
                <w:szCs w:val="18"/>
              </w:rPr>
            </w:pPr>
            <w:r w:rsidRPr="5CB4B133">
              <w:rPr>
                <w:rFonts w:ascii="Verdana" w:hAnsi="Verdana"/>
                <w:b/>
                <w:bCs/>
                <w:sz w:val="18"/>
                <w:szCs w:val="18"/>
              </w:rPr>
              <w:t>Timeliness</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33DAD17D" w14:textId="77777777" w:rsidR="00234B7A" w:rsidRPr="00C34DE9" w:rsidRDefault="00234B7A" w:rsidP="00234B7A">
            <w:pPr>
              <w:spacing w:after="60"/>
              <w:rPr>
                <w:rFonts w:ascii="Verdana" w:hAnsi="Verdana"/>
                <w:sz w:val="18"/>
                <w:szCs w:val="18"/>
                <w:lang w:val="en-US"/>
              </w:rPr>
            </w:pPr>
            <w:r w:rsidRPr="00C34DE9">
              <w:rPr>
                <w:rFonts w:ascii="Verdana" w:hAnsi="Verdana"/>
                <w:sz w:val="18"/>
                <w:szCs w:val="18"/>
                <w:lang w:val="en-US"/>
              </w:rPr>
              <w:t>Producing the indicator is estimated to take 6-12 months from reporting time.</w:t>
            </w:r>
          </w:p>
          <w:p w14:paraId="6CA375E2" w14:textId="1A751D66" w:rsidR="00234B7A" w:rsidRPr="00C34DE9" w:rsidRDefault="00234B7A" w:rsidP="008C669F">
            <w:pPr>
              <w:spacing w:after="60"/>
              <w:rPr>
                <w:rFonts w:ascii="Verdana" w:hAnsi="Verdana"/>
                <w:sz w:val="18"/>
                <w:szCs w:val="18"/>
                <w:lang w:val="en-US"/>
              </w:rPr>
            </w:pPr>
            <w:r w:rsidRPr="00C34DE9">
              <w:rPr>
                <w:rFonts w:ascii="Verdana" w:hAnsi="Verdana"/>
                <w:sz w:val="18"/>
                <w:szCs w:val="18"/>
                <w:lang w:val="en-US"/>
              </w:rPr>
              <w:t>Delivery time will depend on the reporting timeliness by Member States.</w:t>
            </w:r>
            <w:r w:rsidR="009739F0">
              <w:rPr>
                <w:rFonts w:ascii="Verdana" w:hAnsi="Verdana"/>
                <w:sz w:val="18"/>
                <w:szCs w:val="18"/>
                <w:lang w:val="en-US"/>
              </w:rPr>
              <w:t xml:space="preserve"> </w:t>
            </w:r>
          </w:p>
        </w:tc>
      </w:tr>
      <w:tr w:rsidR="00234B7A" w:rsidRPr="00C34DE9" w14:paraId="45015096" w14:textId="77777777" w:rsidTr="240ABBB4">
        <w:tc>
          <w:tcPr>
            <w:tcW w:w="2491" w:type="dxa"/>
            <w:tcBorders>
              <w:top w:val="single" w:sz="4" w:space="0" w:color="auto"/>
              <w:left w:val="single" w:sz="4" w:space="0" w:color="auto"/>
              <w:bottom w:val="single" w:sz="4" w:space="0" w:color="auto"/>
              <w:right w:val="single" w:sz="4" w:space="0" w:color="auto"/>
            </w:tcBorders>
            <w:vAlign w:val="center"/>
          </w:tcPr>
          <w:p w14:paraId="33BCD13E"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Comments/caveats</w:t>
            </w:r>
          </w:p>
        </w:tc>
        <w:tc>
          <w:tcPr>
            <w:tcW w:w="7682" w:type="dxa"/>
            <w:tcBorders>
              <w:top w:val="single" w:sz="4" w:space="0" w:color="auto"/>
              <w:left w:val="single" w:sz="4" w:space="0" w:color="auto"/>
              <w:bottom w:val="single" w:sz="4" w:space="0" w:color="auto"/>
              <w:right w:val="single" w:sz="4" w:space="0" w:color="auto"/>
            </w:tcBorders>
            <w:shd w:val="clear" w:color="auto" w:fill="auto"/>
          </w:tcPr>
          <w:p w14:paraId="2BD4FEF5" w14:textId="77777777" w:rsidR="00234B7A" w:rsidRPr="003D760E" w:rsidRDefault="00234B7A" w:rsidP="00234B7A">
            <w:pPr>
              <w:spacing w:after="60"/>
              <w:jc w:val="both"/>
              <w:rPr>
                <w:rFonts w:ascii="Verdana" w:hAnsi="Verdana"/>
                <w:sz w:val="18"/>
                <w:szCs w:val="18"/>
              </w:rPr>
            </w:pPr>
            <w:r w:rsidRPr="00C34DE9">
              <w:rPr>
                <w:rFonts w:ascii="Verdana" w:hAnsi="Verdana"/>
                <w:sz w:val="18"/>
                <w:szCs w:val="18"/>
              </w:rPr>
              <w:t xml:space="preserve">Assessing the conservation status and its trend of species and habitats of Community interest dependent on agriculture will contribute to reflect on the impact </w:t>
            </w:r>
            <w:r w:rsidRPr="003D760E">
              <w:rPr>
                <w:rFonts w:ascii="Verdana" w:hAnsi="Verdana"/>
                <w:sz w:val="18"/>
                <w:szCs w:val="18"/>
              </w:rPr>
              <w:t>of agriculture in maintaining and restoring important components of the EU biodiversity. However:</w:t>
            </w:r>
          </w:p>
          <w:p w14:paraId="2545BAF9" w14:textId="77777777" w:rsidR="00234B7A" w:rsidRPr="003D760E" w:rsidRDefault="00234B7A" w:rsidP="00234B7A">
            <w:pPr>
              <w:spacing w:after="60"/>
              <w:jc w:val="both"/>
              <w:rPr>
                <w:rFonts w:ascii="Verdana" w:hAnsi="Verdana"/>
                <w:sz w:val="18"/>
                <w:szCs w:val="18"/>
              </w:rPr>
            </w:pPr>
            <w:r w:rsidRPr="003D760E">
              <w:rPr>
                <w:rFonts w:ascii="Verdana" w:hAnsi="Verdana"/>
                <w:sz w:val="18"/>
                <w:szCs w:val="18"/>
              </w:rPr>
              <w:t xml:space="preserve">a) there </w:t>
            </w:r>
            <w:r w:rsidR="004807F1" w:rsidRPr="003D760E">
              <w:rPr>
                <w:rFonts w:ascii="Verdana" w:hAnsi="Verdana"/>
                <w:sz w:val="18"/>
                <w:szCs w:val="18"/>
              </w:rPr>
              <w:t xml:space="preserve">can be </w:t>
            </w:r>
            <w:r w:rsidRPr="003D760E">
              <w:rPr>
                <w:rFonts w:ascii="Verdana" w:hAnsi="Verdana"/>
                <w:sz w:val="18"/>
                <w:szCs w:val="18"/>
              </w:rPr>
              <w:t xml:space="preserve">a variable time lag between changes in agricultural </w:t>
            </w:r>
            <w:r w:rsidR="00161B7C" w:rsidRPr="003D760E">
              <w:rPr>
                <w:rFonts w:ascii="Verdana" w:hAnsi="Verdana"/>
                <w:sz w:val="18"/>
                <w:szCs w:val="18"/>
              </w:rPr>
              <w:t xml:space="preserve">practices </w:t>
            </w:r>
            <w:r w:rsidRPr="003D760E">
              <w:rPr>
                <w:rFonts w:ascii="Verdana" w:hAnsi="Verdana"/>
                <w:sz w:val="18"/>
                <w:szCs w:val="18"/>
              </w:rPr>
              <w:t>pattern and the impact on habitats and species, which depend on agro-ecosystems;</w:t>
            </w:r>
          </w:p>
          <w:p w14:paraId="7F229E3F" w14:textId="1D06CE10" w:rsidR="00234B7A" w:rsidRPr="003D760E" w:rsidRDefault="00234B7A" w:rsidP="00234B7A">
            <w:pPr>
              <w:spacing w:after="60"/>
              <w:jc w:val="both"/>
              <w:rPr>
                <w:rFonts w:ascii="Verdana" w:hAnsi="Verdana"/>
                <w:sz w:val="18"/>
                <w:szCs w:val="18"/>
              </w:rPr>
            </w:pPr>
            <w:r w:rsidRPr="003D760E">
              <w:rPr>
                <w:rFonts w:ascii="Verdana" w:hAnsi="Verdana"/>
                <w:sz w:val="18"/>
                <w:szCs w:val="18"/>
              </w:rPr>
              <w:t xml:space="preserve">b) Other factors, such as climate change and invasive species and other </w:t>
            </w:r>
            <w:r w:rsidR="00B413B8" w:rsidRPr="003D760E">
              <w:rPr>
                <w:rFonts w:ascii="Verdana" w:hAnsi="Verdana"/>
                <w:sz w:val="18"/>
                <w:szCs w:val="18"/>
              </w:rPr>
              <w:t>human</w:t>
            </w:r>
            <w:r w:rsidRPr="003D760E">
              <w:rPr>
                <w:rFonts w:ascii="Verdana" w:hAnsi="Verdana"/>
                <w:sz w:val="18"/>
                <w:szCs w:val="18"/>
              </w:rPr>
              <w:t xml:space="preserve"> pressures, influence the </w:t>
            </w:r>
            <w:r w:rsidR="004807F1" w:rsidRPr="003D760E">
              <w:rPr>
                <w:rFonts w:ascii="Verdana" w:hAnsi="Verdana"/>
                <w:sz w:val="18"/>
                <w:szCs w:val="18"/>
              </w:rPr>
              <w:t xml:space="preserve">status and trends </w:t>
            </w:r>
            <w:r w:rsidRPr="003D760E">
              <w:rPr>
                <w:rFonts w:ascii="Verdana" w:hAnsi="Verdana"/>
                <w:sz w:val="18"/>
                <w:szCs w:val="18"/>
              </w:rPr>
              <w:t>of those species and habitats</w:t>
            </w:r>
            <w:r w:rsidR="004807F1" w:rsidRPr="003D760E">
              <w:rPr>
                <w:rFonts w:ascii="Verdana" w:hAnsi="Verdana"/>
                <w:sz w:val="18"/>
                <w:szCs w:val="18"/>
              </w:rPr>
              <w:t>. The indication of the high-ranked pressures and threats for species and habitats associated with agriculture is available in the State of Nature report</w:t>
            </w:r>
            <w:r w:rsidR="004807F1" w:rsidRPr="003D760E">
              <w:rPr>
                <w:rStyle w:val="FootnoteReference"/>
                <w:rFonts w:ascii="Verdana" w:hAnsi="Verdana"/>
                <w:sz w:val="18"/>
                <w:szCs w:val="18"/>
              </w:rPr>
              <w:footnoteReference w:id="15"/>
            </w:r>
            <w:r w:rsidR="004807F1" w:rsidRPr="003D760E">
              <w:rPr>
                <w:rFonts w:ascii="Verdana" w:hAnsi="Verdana"/>
                <w:sz w:val="18"/>
                <w:szCs w:val="18"/>
              </w:rPr>
              <w:t>.</w:t>
            </w:r>
          </w:p>
          <w:p w14:paraId="0D1387B9"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Possibilities for some weighting factors in the formula (e.g. to reflect representativeness of habitats/species) are being considered. </w:t>
            </w:r>
          </w:p>
          <w:p w14:paraId="63D803F9"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The indicator could be scalable by biogeographic regions. Options for downscaling at NUTS</w:t>
            </w:r>
            <w:r w:rsidR="00BD60CB">
              <w:rPr>
                <w:rFonts w:ascii="Verdana" w:hAnsi="Verdana"/>
                <w:sz w:val="18"/>
                <w:szCs w:val="18"/>
              </w:rPr>
              <w:t xml:space="preserve"> </w:t>
            </w:r>
            <w:r w:rsidRPr="00C34DE9">
              <w:rPr>
                <w:rFonts w:ascii="Verdana" w:hAnsi="Verdana"/>
                <w:sz w:val="18"/>
                <w:szCs w:val="18"/>
              </w:rPr>
              <w:t>2 level have to be analysed.</w:t>
            </w:r>
          </w:p>
          <w:p w14:paraId="0D5E4FC1"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t>The simplicity of this indicator is a strong asset and the focus on trends make it robust.</w:t>
            </w:r>
          </w:p>
          <w:p w14:paraId="76265E6D" w14:textId="5683B3D2" w:rsidR="00234B7A" w:rsidRPr="00C34DE9" w:rsidRDefault="00234B7A" w:rsidP="00234B7A">
            <w:pPr>
              <w:spacing w:after="60"/>
              <w:jc w:val="both"/>
              <w:rPr>
                <w:rFonts w:ascii="Verdana" w:hAnsi="Verdana"/>
                <w:sz w:val="18"/>
                <w:szCs w:val="18"/>
              </w:rPr>
            </w:pPr>
            <w:r w:rsidRPr="00C34DE9">
              <w:rPr>
                <w:rFonts w:ascii="Verdana" w:hAnsi="Verdana"/>
                <w:sz w:val="18"/>
                <w:szCs w:val="18"/>
              </w:rPr>
              <w:t xml:space="preserve">Due to the fact that Member States apply different approaches to collect the data (complete inventories, sampling, expert opinion), the level of accuracy of the data set provided by Member States will vary. </w:t>
            </w:r>
            <w:r w:rsidR="00915B8E">
              <w:rPr>
                <w:rFonts w:ascii="Verdana" w:hAnsi="Verdana"/>
                <w:sz w:val="18"/>
                <w:szCs w:val="18"/>
              </w:rPr>
              <w:t>A</w:t>
            </w:r>
            <w:r w:rsidR="00875BA9">
              <w:rPr>
                <w:rFonts w:ascii="Verdana" w:hAnsi="Verdana"/>
                <w:sz w:val="18"/>
                <w:szCs w:val="18"/>
              </w:rPr>
              <w:t>n</w:t>
            </w:r>
            <w:r w:rsidRPr="00C34DE9">
              <w:rPr>
                <w:rFonts w:ascii="Verdana" w:hAnsi="Verdana"/>
                <w:sz w:val="18"/>
                <w:szCs w:val="18"/>
              </w:rPr>
              <w:t xml:space="preserve"> index</w:t>
            </w:r>
            <w:r w:rsidR="00875BA9">
              <w:rPr>
                <w:rFonts w:ascii="Verdana" w:hAnsi="Verdana"/>
                <w:sz w:val="18"/>
                <w:szCs w:val="18"/>
              </w:rPr>
              <w:t>,</w:t>
            </w:r>
            <w:r w:rsidRPr="00C34DE9">
              <w:rPr>
                <w:rFonts w:ascii="Verdana" w:hAnsi="Verdana"/>
                <w:sz w:val="18"/>
                <w:szCs w:val="18"/>
              </w:rPr>
              <w:t xml:space="preserve"> based on the ‘Method used’ as reported by Member States for most of the data</w:t>
            </w:r>
            <w:r w:rsidR="00875BA9">
              <w:rPr>
                <w:rFonts w:ascii="Verdana" w:hAnsi="Verdana"/>
                <w:sz w:val="18"/>
                <w:szCs w:val="18"/>
              </w:rPr>
              <w:t xml:space="preserve">, </w:t>
            </w:r>
            <w:r w:rsidR="00915B8E">
              <w:rPr>
                <w:rFonts w:ascii="Verdana" w:hAnsi="Verdana"/>
                <w:sz w:val="18"/>
                <w:szCs w:val="18"/>
              </w:rPr>
              <w:t>will</w:t>
            </w:r>
            <w:r w:rsidRPr="00C34DE9">
              <w:rPr>
                <w:rFonts w:ascii="Verdana" w:hAnsi="Verdana"/>
                <w:sz w:val="18"/>
                <w:szCs w:val="18"/>
              </w:rPr>
              <w:t xml:space="preserve"> provide contextual information on the robustness and relevance of the impact indicator.</w:t>
            </w:r>
          </w:p>
          <w:p w14:paraId="06033B29" w14:textId="77777777" w:rsidR="00234B7A" w:rsidRPr="00C34DE9" w:rsidRDefault="00234B7A" w:rsidP="00234B7A">
            <w:pPr>
              <w:spacing w:after="60"/>
              <w:jc w:val="both"/>
              <w:rPr>
                <w:rFonts w:ascii="Verdana" w:hAnsi="Verdana"/>
                <w:sz w:val="18"/>
                <w:szCs w:val="18"/>
              </w:rPr>
            </w:pPr>
            <w:r w:rsidRPr="00C34DE9">
              <w:rPr>
                <w:rFonts w:ascii="Verdana" w:hAnsi="Verdana"/>
                <w:sz w:val="18"/>
                <w:szCs w:val="18"/>
              </w:rPr>
              <w:lastRenderedPageBreak/>
              <w:t>Reporting by Member States does not fit with the CAP timing; the baseline would be set at the beginning of the funding period, and then using the reporting dates (2019-2025-2031). There would persist a gap between the period reported and the CAP implementation period. The mid-term evaluation of the indicator can be problematic due to the legal 6-year frequency of reporting obligations by MS.</w:t>
            </w:r>
          </w:p>
        </w:tc>
      </w:tr>
    </w:tbl>
    <w:p w14:paraId="5E7D6946" w14:textId="77777777" w:rsidR="00274B25" w:rsidRDefault="00274B25" w:rsidP="00544872">
      <w:pPr>
        <w:spacing w:after="60"/>
        <w:rPr>
          <w:rFonts w:ascii="Verdana" w:hAnsi="Verdana"/>
          <w:sz w:val="18"/>
          <w:szCs w:val="18"/>
        </w:rPr>
      </w:pPr>
    </w:p>
    <w:p w14:paraId="0C3C9A05" w14:textId="77777777" w:rsidR="00A85A9D" w:rsidRDefault="00A85A9D">
      <w:pPr>
        <w:rPr>
          <w:rFonts w:ascii="Verdana" w:hAnsi="Verdana"/>
          <w:sz w:val="18"/>
          <w:szCs w:val="18"/>
        </w:rPr>
      </w:pPr>
      <w:r>
        <w:rPr>
          <w:rFonts w:ascii="Verdana" w:hAnsi="Verdana"/>
          <w:sz w:val="18"/>
          <w:szCs w:val="18"/>
        </w:rPr>
        <w:br w:type="page"/>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7655"/>
      </w:tblGrid>
      <w:tr w:rsidR="00234B7A" w:rsidRPr="00C34DE9" w14:paraId="5F196EBD"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shd w:val="clear" w:color="auto" w:fill="00B0F0"/>
            <w:vAlign w:val="center"/>
          </w:tcPr>
          <w:p w14:paraId="2CBE46A5" w14:textId="2A0301F7" w:rsidR="00234B7A" w:rsidRPr="00C34DE9" w:rsidRDefault="00234B7A" w:rsidP="00340D8D">
            <w:pPr>
              <w:spacing w:after="60"/>
              <w:rPr>
                <w:rFonts w:ascii="Verdana" w:hAnsi="Verdana"/>
                <w:b/>
                <w:bCs/>
                <w:sz w:val="18"/>
                <w:szCs w:val="18"/>
              </w:rPr>
            </w:pPr>
            <w:bookmarkStart w:id="53" w:name="C37"/>
            <w:r w:rsidRPr="5CB4B133">
              <w:rPr>
                <w:rFonts w:ascii="Verdana" w:hAnsi="Verdana"/>
                <w:b/>
                <w:bCs/>
                <w:smallCaps/>
                <w:sz w:val="18"/>
                <w:szCs w:val="18"/>
              </w:rPr>
              <w:lastRenderedPageBreak/>
              <w:t>Indicator C.3</w:t>
            </w:r>
            <w:r w:rsidR="00340D8D">
              <w:rPr>
                <w:rFonts w:ascii="Verdana" w:hAnsi="Verdana"/>
                <w:b/>
                <w:bCs/>
                <w:smallCaps/>
                <w:sz w:val="18"/>
                <w:szCs w:val="18"/>
              </w:rPr>
              <w:t>8</w:t>
            </w:r>
            <w:bookmarkEnd w:id="53"/>
          </w:p>
        </w:tc>
        <w:tc>
          <w:tcPr>
            <w:tcW w:w="7655" w:type="dxa"/>
            <w:tcBorders>
              <w:top w:val="single" w:sz="4" w:space="0" w:color="auto"/>
              <w:left w:val="single" w:sz="4" w:space="0" w:color="auto"/>
              <w:bottom w:val="single" w:sz="4" w:space="0" w:color="auto"/>
              <w:right w:val="single" w:sz="4" w:space="0" w:color="auto"/>
            </w:tcBorders>
            <w:shd w:val="clear" w:color="auto" w:fill="00B0F0"/>
          </w:tcPr>
          <w:p w14:paraId="1AA8F173" w14:textId="77777777" w:rsidR="005274D1" w:rsidRPr="005274D1" w:rsidRDefault="005274D1" w:rsidP="5CB4B133">
            <w:pPr>
              <w:spacing w:after="60"/>
              <w:rPr>
                <w:rFonts w:ascii="Verdana" w:hAnsi="Verdana"/>
                <w:b/>
                <w:bCs/>
                <w:caps/>
                <w:sz w:val="18"/>
                <w:szCs w:val="18"/>
              </w:rPr>
            </w:pPr>
            <w:bookmarkStart w:id="54" w:name="I17"/>
            <w:r w:rsidRPr="5CB4B133">
              <w:rPr>
                <w:rFonts w:ascii="Verdana" w:hAnsi="Verdana"/>
                <w:b/>
                <w:bCs/>
                <w:sz w:val="18"/>
                <w:szCs w:val="18"/>
              </w:rPr>
              <w:t>Indicator I.17</w:t>
            </w:r>
            <w:bookmarkEnd w:id="54"/>
            <w:r w:rsidRPr="5CB4B133">
              <w:rPr>
                <w:rFonts w:ascii="Verdana" w:hAnsi="Verdana"/>
                <w:b/>
                <w:bCs/>
                <w:sz w:val="18"/>
                <w:szCs w:val="18"/>
              </w:rPr>
              <w:t xml:space="preserve"> Reducing pressure on water resource</w:t>
            </w:r>
            <w:r w:rsidRPr="005274D1">
              <w:rPr>
                <w:rFonts w:ascii="Verdana" w:hAnsi="Verdana"/>
                <w:sz w:val="18"/>
                <w:szCs w:val="18"/>
              </w:rPr>
              <w:t>:</w:t>
            </w:r>
          </w:p>
          <w:p w14:paraId="5E438385" w14:textId="0F11AE9D" w:rsidR="00234B7A" w:rsidRPr="005274D1" w:rsidRDefault="005274D1" w:rsidP="005274D1">
            <w:pPr>
              <w:spacing w:after="60"/>
              <w:rPr>
                <w:rFonts w:ascii="Verdana" w:hAnsi="Verdana"/>
                <w:caps/>
                <w:sz w:val="18"/>
                <w:szCs w:val="18"/>
              </w:rPr>
            </w:pPr>
            <w:r w:rsidRPr="005274D1">
              <w:rPr>
                <w:rFonts w:ascii="Verdana" w:hAnsi="Verdana"/>
                <w:sz w:val="18"/>
                <w:szCs w:val="18"/>
              </w:rPr>
              <w:t xml:space="preserve">Water </w:t>
            </w:r>
            <w:r w:rsidR="0037595B">
              <w:rPr>
                <w:rFonts w:ascii="Verdana" w:hAnsi="Verdana"/>
                <w:sz w:val="18"/>
                <w:szCs w:val="18"/>
              </w:rPr>
              <w:t>E</w:t>
            </w:r>
            <w:r w:rsidRPr="005274D1">
              <w:rPr>
                <w:rFonts w:ascii="Verdana" w:hAnsi="Verdana"/>
                <w:sz w:val="18"/>
                <w:szCs w:val="18"/>
              </w:rPr>
              <w:t xml:space="preserve">xploitation </w:t>
            </w:r>
            <w:r w:rsidR="0037595B">
              <w:rPr>
                <w:rFonts w:ascii="Verdana" w:hAnsi="Verdana"/>
                <w:sz w:val="18"/>
                <w:szCs w:val="18"/>
              </w:rPr>
              <w:t>I</w:t>
            </w:r>
            <w:r w:rsidRPr="005274D1">
              <w:rPr>
                <w:rFonts w:ascii="Verdana" w:hAnsi="Verdana"/>
                <w:sz w:val="18"/>
                <w:szCs w:val="18"/>
              </w:rPr>
              <w:t xml:space="preserve">ndex </w:t>
            </w:r>
            <w:r w:rsidR="0037595B">
              <w:rPr>
                <w:rFonts w:ascii="Verdana" w:hAnsi="Verdana"/>
                <w:sz w:val="18"/>
                <w:szCs w:val="18"/>
              </w:rPr>
              <w:t>P</w:t>
            </w:r>
            <w:r w:rsidRPr="005274D1">
              <w:rPr>
                <w:rFonts w:ascii="Verdana" w:hAnsi="Verdana"/>
                <w:sz w:val="18"/>
                <w:szCs w:val="18"/>
              </w:rPr>
              <w:t>lus (WEI+)</w:t>
            </w:r>
          </w:p>
        </w:tc>
      </w:tr>
      <w:tr w:rsidR="00234B7A" w:rsidRPr="00C34DE9" w14:paraId="7ABFAB0F"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0473378"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Indicator Name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68E437B" w14:textId="77777777" w:rsidR="00234B7A" w:rsidRPr="005274D1" w:rsidRDefault="00234B7A" w:rsidP="5CB4B133">
            <w:pPr>
              <w:spacing w:after="60"/>
              <w:jc w:val="center"/>
              <w:rPr>
                <w:rFonts w:ascii="Verdana" w:hAnsi="Verdana"/>
                <w:b/>
                <w:bCs/>
                <w:sz w:val="18"/>
                <w:szCs w:val="18"/>
              </w:rPr>
            </w:pPr>
            <w:r w:rsidRPr="5CB4B133">
              <w:rPr>
                <w:rFonts w:ascii="Verdana" w:hAnsi="Verdana"/>
                <w:b/>
                <w:bCs/>
                <w:sz w:val="18"/>
                <w:szCs w:val="18"/>
              </w:rPr>
              <w:t>Water use in agriculture</w:t>
            </w:r>
          </w:p>
        </w:tc>
      </w:tr>
      <w:tr w:rsidR="00234B7A" w:rsidRPr="00C34DE9" w14:paraId="57CF1EEA"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6125570"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Definition</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8646E40" w14:textId="77777777" w:rsidR="00234B7A" w:rsidRPr="00B87B0C" w:rsidRDefault="00161B7C" w:rsidP="00665997">
            <w:pPr>
              <w:pStyle w:val="ListParagraph"/>
              <w:numPr>
                <w:ilvl w:val="0"/>
                <w:numId w:val="101"/>
              </w:numPr>
              <w:spacing w:after="120"/>
              <w:jc w:val="both"/>
              <w:rPr>
                <w:rFonts w:ascii="Verdana" w:hAnsi="Verdana"/>
                <w:sz w:val="18"/>
                <w:szCs w:val="18"/>
              </w:rPr>
            </w:pPr>
            <w:r w:rsidRPr="00B87B0C">
              <w:rPr>
                <w:rFonts w:ascii="Verdana" w:hAnsi="Verdana"/>
                <w:sz w:val="18"/>
                <w:szCs w:val="18"/>
                <w:shd w:val="clear" w:color="auto" w:fill="00B0F0"/>
              </w:rPr>
              <w:t>Water use in agriculture is assessed with t</w:t>
            </w:r>
            <w:r w:rsidR="00234B7A" w:rsidRPr="00B87B0C">
              <w:rPr>
                <w:rFonts w:ascii="Verdana" w:hAnsi="Verdana"/>
                <w:sz w:val="18"/>
                <w:szCs w:val="18"/>
                <w:shd w:val="clear" w:color="auto" w:fill="00B0F0"/>
              </w:rPr>
              <w:t xml:space="preserve">he </w:t>
            </w:r>
            <w:r w:rsidR="00FA07EB" w:rsidRPr="00B87B0C">
              <w:rPr>
                <w:rFonts w:ascii="Verdana" w:hAnsi="Verdana"/>
                <w:sz w:val="18"/>
                <w:szCs w:val="18"/>
                <w:shd w:val="clear" w:color="auto" w:fill="00B0F0"/>
              </w:rPr>
              <w:t>WATER EXPLOITATION INDEX PLUS (WEI+)</w:t>
            </w:r>
            <w:r w:rsidRPr="00B87B0C">
              <w:rPr>
                <w:rFonts w:ascii="Verdana" w:hAnsi="Verdana"/>
                <w:sz w:val="18"/>
                <w:szCs w:val="18"/>
                <w:shd w:val="clear" w:color="auto" w:fill="00B0F0"/>
              </w:rPr>
              <w:t>,</w:t>
            </w:r>
            <w:r w:rsidRPr="00B87B0C">
              <w:rPr>
                <w:rFonts w:ascii="Verdana" w:hAnsi="Verdana"/>
                <w:sz w:val="18"/>
                <w:szCs w:val="18"/>
              </w:rPr>
              <w:t xml:space="preserve"> which</w:t>
            </w:r>
            <w:r w:rsidR="00234B7A" w:rsidRPr="00B87B0C">
              <w:rPr>
                <w:rFonts w:ascii="Verdana" w:hAnsi="Verdana"/>
                <w:sz w:val="18"/>
                <w:szCs w:val="18"/>
              </w:rPr>
              <w:t xml:space="preserve"> provides an estimated measure of the total water use as a percentage of the renewable freshwater resources (groundwater and surface water) for a given territory and time period.</w:t>
            </w:r>
          </w:p>
          <w:p w14:paraId="2FE64872" w14:textId="4A03CA76" w:rsidR="00234B7A" w:rsidRDefault="00234B7A" w:rsidP="00234B7A">
            <w:pPr>
              <w:spacing w:after="120"/>
              <w:jc w:val="both"/>
              <w:rPr>
                <w:rFonts w:ascii="Verdana" w:hAnsi="Verdana"/>
                <w:sz w:val="18"/>
                <w:szCs w:val="18"/>
              </w:rPr>
            </w:pPr>
            <w:r w:rsidRPr="00C34DE9">
              <w:rPr>
                <w:rFonts w:ascii="Verdana" w:hAnsi="Verdana"/>
                <w:sz w:val="18"/>
                <w:szCs w:val="18"/>
              </w:rPr>
              <w:t>It is an advanced version of the WEI. The WEI+ addresses regional and seasonal aspects of water scarcity. In addition, it also takes water use (water abstraction minus water returned) into account. It identifies areas  prone to water stress due to exceeding water abstraction and use on a seasonal scale in relation to the resources available.</w:t>
            </w:r>
          </w:p>
          <w:p w14:paraId="307603EC" w14:textId="77777777" w:rsidR="002F6287" w:rsidRDefault="002F6287" w:rsidP="00234B7A">
            <w:pPr>
              <w:spacing w:after="120"/>
              <w:jc w:val="both"/>
              <w:rPr>
                <w:rFonts w:ascii="Verdana" w:hAnsi="Verdana"/>
                <w:sz w:val="18"/>
                <w:szCs w:val="18"/>
              </w:rPr>
            </w:pPr>
            <w:r>
              <w:rPr>
                <w:rFonts w:ascii="Verdana" w:hAnsi="Verdana"/>
                <w:sz w:val="18"/>
                <w:szCs w:val="18"/>
              </w:rPr>
              <w:t>Methodology:</w:t>
            </w:r>
          </w:p>
          <w:p w14:paraId="3A814BA7" w14:textId="77777777" w:rsidR="002F6287" w:rsidRPr="004D12F5" w:rsidRDefault="002F6287" w:rsidP="5CB4B133">
            <w:pPr>
              <w:spacing w:after="120"/>
              <w:rPr>
                <w:rFonts w:ascii="Verdana" w:hAnsi="Verdana"/>
                <w:b/>
                <w:bCs/>
                <w:sz w:val="18"/>
                <w:szCs w:val="18"/>
              </w:rPr>
            </w:pPr>
            <w:r w:rsidRPr="5CB4B133">
              <w:rPr>
                <w:rFonts w:ascii="Verdana" w:hAnsi="Verdana"/>
                <w:b/>
                <w:bCs/>
                <w:sz w:val="18"/>
                <w:szCs w:val="18"/>
              </w:rPr>
              <w:t>WEI+ =</w:t>
            </w:r>
            <m:oMath>
              <m:f>
                <m:fPr>
                  <m:ctrlPr>
                    <w:rPr>
                      <w:rFonts w:ascii="Cambria Math" w:hAnsi="Cambria Math"/>
                      <w:b/>
                      <w:sz w:val="24"/>
                      <w:szCs w:val="24"/>
                    </w:rPr>
                  </m:ctrlPr>
                </m:fPr>
                <m:num>
                  <m:r>
                    <m:rPr>
                      <m:sty m:val="b"/>
                    </m:rPr>
                    <w:rPr>
                      <w:rFonts w:ascii="Cambria Math" w:hAnsi="Cambria Math"/>
                      <w:sz w:val="24"/>
                      <w:szCs w:val="24"/>
                      <w:lang w:val="de-DE"/>
                    </w:rPr>
                    <m:t>Water</m:t>
                  </m:r>
                  <m:r>
                    <m:rPr>
                      <m:sty m:val="b"/>
                    </m:rPr>
                    <w:rPr>
                      <w:rFonts w:ascii="Cambria Math" w:hAnsi="Cambria Math"/>
                      <w:sz w:val="24"/>
                      <w:szCs w:val="24"/>
                    </w:rPr>
                    <m:t xml:space="preserve"> </m:t>
                  </m:r>
                  <m:r>
                    <m:rPr>
                      <m:sty m:val="b"/>
                    </m:rPr>
                    <w:rPr>
                      <w:rFonts w:ascii="Cambria Math" w:hAnsi="Cambria Math"/>
                      <w:sz w:val="24"/>
                      <w:szCs w:val="24"/>
                      <w:lang w:val="de-DE"/>
                    </w:rPr>
                    <m:t>use</m:t>
                  </m:r>
                </m:num>
                <m:den>
                  <m:r>
                    <m:rPr>
                      <m:sty m:val="b"/>
                    </m:rPr>
                    <w:rPr>
                      <w:rFonts w:ascii="Cambria Math" w:hAnsi="Cambria Math"/>
                      <w:sz w:val="24"/>
                      <w:szCs w:val="24"/>
                      <w:lang w:val="de-DE"/>
                    </w:rPr>
                    <m:t>Renewable</m:t>
                  </m:r>
                  <m:r>
                    <m:rPr>
                      <m:sty m:val="b"/>
                    </m:rPr>
                    <w:rPr>
                      <w:rFonts w:ascii="Cambria Math" w:hAnsi="Cambria Math"/>
                      <w:sz w:val="24"/>
                      <w:szCs w:val="24"/>
                    </w:rPr>
                    <m:t xml:space="preserve"> </m:t>
                  </m:r>
                  <m:r>
                    <m:rPr>
                      <m:sty m:val="b"/>
                    </m:rPr>
                    <w:rPr>
                      <w:rFonts w:ascii="Cambria Math" w:hAnsi="Cambria Math"/>
                      <w:sz w:val="24"/>
                      <w:szCs w:val="24"/>
                      <w:lang w:val="de-DE"/>
                    </w:rPr>
                    <m:t>water</m:t>
                  </m:r>
                  <m:r>
                    <m:rPr>
                      <m:sty m:val="b"/>
                    </m:rPr>
                    <w:rPr>
                      <w:rFonts w:ascii="Cambria Math" w:hAnsi="Cambria Math"/>
                      <w:sz w:val="24"/>
                      <w:szCs w:val="24"/>
                    </w:rPr>
                    <m:t xml:space="preserve"> </m:t>
                  </m:r>
                  <m:r>
                    <m:rPr>
                      <m:sty m:val="b"/>
                    </m:rPr>
                    <w:rPr>
                      <w:rFonts w:ascii="Cambria Math" w:hAnsi="Cambria Math"/>
                      <w:sz w:val="24"/>
                      <w:szCs w:val="24"/>
                      <w:lang w:val="de-DE"/>
                    </w:rPr>
                    <m:t>resources</m:t>
                  </m:r>
                  <m:r>
                    <m:rPr>
                      <m:sty m:val="b"/>
                    </m:rPr>
                    <w:rPr>
                      <w:rFonts w:ascii="Cambria Math" w:hAnsi="Cambria Math"/>
                      <w:sz w:val="24"/>
                      <w:szCs w:val="24"/>
                    </w:rPr>
                    <m:t xml:space="preserve"> (</m:t>
                  </m:r>
                  <m:r>
                    <m:rPr>
                      <m:sty m:val="b"/>
                    </m:rPr>
                    <w:rPr>
                      <w:rFonts w:ascii="Cambria Math" w:hAnsi="Cambria Math"/>
                      <w:sz w:val="24"/>
                      <w:szCs w:val="24"/>
                      <w:lang w:val="de-DE"/>
                    </w:rPr>
                    <m:t>RWR</m:t>
                  </m:r>
                  <m:r>
                    <m:rPr>
                      <m:sty m:val="b"/>
                    </m:rPr>
                    <w:rPr>
                      <w:rFonts w:ascii="Cambria Math" w:hAnsi="Cambria Math"/>
                      <w:sz w:val="24"/>
                      <w:szCs w:val="24"/>
                    </w:rPr>
                    <m:t>)</m:t>
                  </m:r>
                </m:den>
              </m:f>
            </m:oMath>
            <w:r w:rsidRPr="5CB4B133">
              <w:rPr>
                <w:rFonts w:ascii="Verdana" w:hAnsi="Verdana"/>
                <w:b/>
                <w:bCs/>
                <w:sz w:val="18"/>
                <w:szCs w:val="18"/>
              </w:rPr>
              <w:t xml:space="preserve"> </w:t>
            </w:r>
          </w:p>
          <w:p w14:paraId="0D40141F" w14:textId="77777777" w:rsidR="002F6287" w:rsidRPr="00C34DE9" w:rsidRDefault="002F6287" w:rsidP="002F6287">
            <w:pPr>
              <w:spacing w:after="120"/>
              <w:rPr>
                <w:rFonts w:ascii="Verdana" w:hAnsi="Verdana"/>
                <w:sz w:val="18"/>
                <w:szCs w:val="18"/>
              </w:rPr>
            </w:pPr>
            <w:r w:rsidRPr="00C34DE9">
              <w:rPr>
                <w:rFonts w:ascii="Verdana" w:hAnsi="Verdana"/>
                <w:sz w:val="18"/>
                <w:szCs w:val="18"/>
              </w:rPr>
              <w:t>RWR= Outflow + (Abstraction – Return) + Change in storage</w:t>
            </w:r>
          </w:p>
          <w:p w14:paraId="6E50A38E" w14:textId="77777777" w:rsidR="002F6287" w:rsidRPr="00C34DE9" w:rsidRDefault="002F6287" w:rsidP="002F6287">
            <w:pPr>
              <w:spacing w:after="120"/>
              <w:rPr>
                <w:rFonts w:ascii="Verdana" w:hAnsi="Verdana"/>
                <w:sz w:val="18"/>
                <w:szCs w:val="18"/>
              </w:rPr>
            </w:pPr>
            <w:r w:rsidRPr="00C34DE9">
              <w:rPr>
                <w:rFonts w:ascii="Verdana" w:hAnsi="Verdana"/>
                <w:sz w:val="18"/>
                <w:szCs w:val="18"/>
              </w:rPr>
              <w:t>Change in storage= Water in (Lakes + Reservoirs) – Water out (Lakes + Reservoirs)</w:t>
            </w:r>
          </w:p>
          <w:p w14:paraId="269F6491" w14:textId="77777777" w:rsidR="002F6287" w:rsidRPr="00C34DE9" w:rsidRDefault="002F6287" w:rsidP="002F6287">
            <w:pPr>
              <w:spacing w:after="120"/>
              <w:rPr>
                <w:rFonts w:ascii="Verdana" w:hAnsi="Verdana"/>
                <w:sz w:val="18"/>
                <w:szCs w:val="18"/>
              </w:rPr>
            </w:pPr>
            <w:r w:rsidRPr="00C34DE9">
              <w:rPr>
                <w:rFonts w:ascii="Verdana" w:hAnsi="Verdana"/>
                <w:sz w:val="18"/>
                <w:szCs w:val="18"/>
              </w:rPr>
              <w:t>Water use= Abstraction – Return (all economic sectors covered)</w:t>
            </w:r>
          </w:p>
          <w:p w14:paraId="4BE1CA65" w14:textId="77777777" w:rsidR="002F6287" w:rsidRPr="00C34DE9" w:rsidRDefault="002F6287" w:rsidP="002F6287">
            <w:pPr>
              <w:spacing w:after="120"/>
              <w:rPr>
                <w:rFonts w:ascii="Verdana" w:hAnsi="Verdana"/>
                <w:sz w:val="18"/>
                <w:szCs w:val="18"/>
              </w:rPr>
            </w:pPr>
            <w:r w:rsidRPr="00C34DE9">
              <w:rPr>
                <w:rFonts w:ascii="Verdana" w:hAnsi="Verdana"/>
                <w:sz w:val="18"/>
                <w:szCs w:val="18"/>
              </w:rPr>
              <w:t xml:space="preserve">As an impact indicator for the CAP, two </w:t>
            </w:r>
            <w:r w:rsidR="00DD478B">
              <w:rPr>
                <w:rFonts w:ascii="Verdana" w:hAnsi="Verdana"/>
                <w:sz w:val="18"/>
                <w:szCs w:val="18"/>
              </w:rPr>
              <w:t>specific indicators</w:t>
            </w:r>
            <w:r w:rsidRPr="00C34DE9">
              <w:rPr>
                <w:rFonts w:ascii="Verdana" w:hAnsi="Verdana"/>
                <w:sz w:val="18"/>
                <w:szCs w:val="18"/>
              </w:rPr>
              <w:t xml:space="preserve"> could be derived from the WEI+: </w:t>
            </w:r>
          </w:p>
          <w:p w14:paraId="301E559E" w14:textId="4294EE70" w:rsidR="002F6287" w:rsidRPr="00C34DE9" w:rsidRDefault="002F6287" w:rsidP="00665997">
            <w:pPr>
              <w:numPr>
                <w:ilvl w:val="0"/>
                <w:numId w:val="102"/>
              </w:numPr>
              <w:spacing w:after="120"/>
              <w:rPr>
                <w:rFonts w:ascii="Verdana" w:hAnsi="Verdana"/>
                <w:sz w:val="18"/>
                <w:szCs w:val="18"/>
              </w:rPr>
            </w:pPr>
            <w:r w:rsidRPr="3F4AE0BD">
              <w:rPr>
                <w:rFonts w:ascii="Verdana" w:hAnsi="Verdana"/>
                <w:b/>
                <w:bCs/>
                <w:sz w:val="18"/>
                <w:szCs w:val="18"/>
              </w:rPr>
              <w:t>A s</w:t>
            </w:r>
            <w:r w:rsidR="00100083" w:rsidRPr="3F4AE0BD">
              <w:rPr>
                <w:rFonts w:ascii="Verdana" w:hAnsi="Verdana"/>
                <w:b/>
                <w:bCs/>
                <w:sz w:val="18"/>
                <w:szCs w:val="18"/>
              </w:rPr>
              <w:t xml:space="preserve">pecific </w:t>
            </w:r>
            <w:r w:rsidRPr="3F4AE0BD">
              <w:rPr>
                <w:rFonts w:ascii="Verdana" w:hAnsi="Verdana"/>
                <w:b/>
                <w:bCs/>
                <w:sz w:val="18"/>
                <w:szCs w:val="18"/>
              </w:rPr>
              <w:t>indicator expressing the relative pressure of agriculture compared to other economic sectors</w:t>
            </w:r>
            <w:r w:rsidRPr="00C34DE9">
              <w:rPr>
                <w:rFonts w:ascii="Verdana" w:hAnsi="Verdana"/>
                <w:sz w:val="18"/>
                <w:szCs w:val="18"/>
              </w:rPr>
              <w:t>, at national level and on an annual basis.</w:t>
            </w:r>
          </w:p>
          <w:p w14:paraId="16C74879" w14:textId="25487F3B" w:rsidR="002F6287" w:rsidRPr="00C34DE9" w:rsidRDefault="002F6287" w:rsidP="00665997">
            <w:pPr>
              <w:numPr>
                <w:ilvl w:val="0"/>
                <w:numId w:val="102"/>
              </w:numPr>
              <w:spacing w:after="120"/>
              <w:rPr>
                <w:rFonts w:ascii="Verdana" w:hAnsi="Verdana"/>
                <w:sz w:val="18"/>
                <w:szCs w:val="18"/>
              </w:rPr>
            </w:pPr>
            <w:r w:rsidRPr="3F4AE0BD">
              <w:rPr>
                <w:rFonts w:ascii="Verdana" w:hAnsi="Verdana"/>
                <w:b/>
                <w:bCs/>
                <w:sz w:val="18"/>
                <w:szCs w:val="18"/>
              </w:rPr>
              <w:t>A s</w:t>
            </w:r>
            <w:r w:rsidR="00100083" w:rsidRPr="3F4AE0BD">
              <w:rPr>
                <w:rFonts w:ascii="Verdana" w:hAnsi="Verdana"/>
                <w:b/>
                <w:bCs/>
                <w:sz w:val="18"/>
                <w:szCs w:val="18"/>
              </w:rPr>
              <w:t xml:space="preserve">pecific </w:t>
            </w:r>
            <w:r w:rsidRPr="3F4AE0BD">
              <w:rPr>
                <w:rFonts w:ascii="Verdana" w:hAnsi="Verdana"/>
                <w:b/>
                <w:bCs/>
                <w:sz w:val="18"/>
                <w:szCs w:val="18"/>
              </w:rPr>
              <w:t>indicator expressing the change over time in the volume of water used by agriculture</w:t>
            </w:r>
            <w:r w:rsidRPr="00C34DE9">
              <w:rPr>
                <w:rFonts w:ascii="Verdana" w:hAnsi="Verdana"/>
                <w:sz w:val="18"/>
                <w:szCs w:val="18"/>
              </w:rPr>
              <w:t xml:space="preserve">, at national level and on an annual basis. </w:t>
            </w:r>
          </w:p>
          <w:p w14:paraId="7633F4AA" w14:textId="77777777" w:rsidR="002F6287" w:rsidRDefault="002F6287" w:rsidP="002F6287">
            <w:pPr>
              <w:spacing w:after="120"/>
              <w:jc w:val="both"/>
              <w:rPr>
                <w:rFonts w:ascii="Verdana" w:hAnsi="Verdana"/>
                <w:sz w:val="18"/>
                <w:szCs w:val="18"/>
              </w:rPr>
            </w:pPr>
            <w:r w:rsidRPr="00C34DE9">
              <w:rPr>
                <w:rFonts w:ascii="Verdana" w:hAnsi="Verdana"/>
                <w:sz w:val="18"/>
                <w:szCs w:val="18"/>
              </w:rPr>
              <w:t>More details on the calculation and units of measurement are being developed.</w:t>
            </w:r>
          </w:p>
          <w:p w14:paraId="423E0C21" w14:textId="77777777" w:rsidR="00022F45" w:rsidRPr="00C34DE9" w:rsidRDefault="00022F45" w:rsidP="00022F45">
            <w:pPr>
              <w:spacing w:after="120"/>
              <w:rPr>
                <w:rFonts w:ascii="Verdana" w:hAnsi="Verdana"/>
                <w:sz w:val="18"/>
                <w:szCs w:val="18"/>
              </w:rPr>
            </w:pPr>
            <w:r w:rsidRPr="00C34DE9">
              <w:rPr>
                <w:rFonts w:ascii="Verdana" w:hAnsi="Verdana"/>
                <w:sz w:val="18"/>
                <w:szCs w:val="18"/>
              </w:rPr>
              <w:t xml:space="preserve">WEI+ is expressed as a percentage of water use over the renewable water resources available. </w:t>
            </w:r>
          </w:p>
          <w:p w14:paraId="616416E4" w14:textId="48F2B6FF" w:rsidR="00022F45" w:rsidRPr="00C34DE9" w:rsidRDefault="00022F45" w:rsidP="00022F45">
            <w:pPr>
              <w:spacing w:after="120"/>
              <w:jc w:val="both"/>
              <w:rPr>
                <w:rFonts w:ascii="Verdana" w:hAnsi="Verdana"/>
                <w:sz w:val="18"/>
                <w:szCs w:val="18"/>
              </w:rPr>
            </w:pPr>
          </w:p>
        </w:tc>
      </w:tr>
      <w:tr w:rsidR="00234B7A" w:rsidRPr="00C34DE9" w14:paraId="1025736B" w14:textId="77777777" w:rsidTr="240ABBB4">
        <w:trPr>
          <w:trHeight w:val="454"/>
          <w:jc w:val="center"/>
        </w:trPr>
        <w:tc>
          <w:tcPr>
            <w:tcW w:w="2501" w:type="dxa"/>
            <w:tcBorders>
              <w:top w:val="single" w:sz="4" w:space="0" w:color="auto"/>
              <w:left w:val="single" w:sz="4" w:space="0" w:color="auto"/>
              <w:bottom w:val="single" w:sz="4" w:space="0" w:color="auto"/>
              <w:right w:val="single" w:sz="4" w:space="0" w:color="auto"/>
            </w:tcBorders>
            <w:vAlign w:val="center"/>
          </w:tcPr>
          <w:p w14:paraId="3FE1DB0A"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9A0FD62" w14:textId="45F43DC4" w:rsidR="00234B7A" w:rsidRPr="00C34DE9" w:rsidRDefault="00022F45" w:rsidP="00234B7A">
            <w:pPr>
              <w:spacing w:after="120"/>
              <w:rPr>
                <w:rFonts w:ascii="Verdana" w:hAnsi="Verdana"/>
                <w:sz w:val="18"/>
                <w:szCs w:val="18"/>
              </w:rPr>
            </w:pPr>
            <w:r>
              <w:rPr>
                <w:rFonts w:ascii="Verdana" w:hAnsi="Verdana"/>
                <w:sz w:val="18"/>
                <w:szCs w:val="18"/>
              </w:rPr>
              <w:t>%</w:t>
            </w:r>
          </w:p>
        </w:tc>
      </w:tr>
      <w:tr w:rsidR="00234B7A" w:rsidRPr="00C34DE9" w14:paraId="5C9F37D3"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07C9890C" w14:textId="77777777" w:rsidR="00234B7A" w:rsidRPr="00C34DE9" w:rsidRDefault="00234B7A" w:rsidP="790C88FB">
            <w:pPr>
              <w:spacing w:after="60"/>
              <w:rPr>
                <w:rFonts w:ascii="Verdana" w:hAnsi="Verdana"/>
                <w:i/>
                <w:iCs/>
                <w:sz w:val="18"/>
                <w:szCs w:val="18"/>
              </w:rPr>
            </w:pPr>
            <w:r w:rsidRPr="5CB4B133">
              <w:rPr>
                <w:rFonts w:ascii="Verdana" w:hAnsi="Verdana"/>
                <w:b/>
                <w:bCs/>
                <w:sz w:val="18"/>
                <w:szCs w:val="18"/>
              </w:rPr>
              <w:t>Data source</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9B352D" w14:textId="77777777" w:rsidR="00234B7A" w:rsidRPr="00C34DE9" w:rsidRDefault="00234B7A" w:rsidP="009A442D">
            <w:pPr>
              <w:numPr>
                <w:ilvl w:val="0"/>
                <w:numId w:val="45"/>
              </w:numPr>
              <w:spacing w:after="120"/>
              <w:contextualSpacing/>
              <w:jc w:val="both"/>
              <w:rPr>
                <w:rFonts w:ascii="Verdana" w:hAnsi="Verdana"/>
                <w:sz w:val="18"/>
                <w:szCs w:val="18"/>
              </w:rPr>
            </w:pPr>
            <w:r w:rsidRPr="3F2573B5">
              <w:rPr>
                <w:rFonts w:ascii="Verdana" w:hAnsi="Verdana"/>
                <w:b/>
                <w:bCs/>
                <w:sz w:val="18"/>
                <w:szCs w:val="18"/>
              </w:rPr>
              <w:t>WISE SoE 3</w:t>
            </w:r>
          </w:p>
          <w:p w14:paraId="3253D272" w14:textId="77777777" w:rsidR="00234B7A" w:rsidRPr="00C34DE9" w:rsidRDefault="00234B7A" w:rsidP="5CB4B133">
            <w:pPr>
              <w:numPr>
                <w:ilvl w:val="0"/>
                <w:numId w:val="45"/>
              </w:numPr>
              <w:spacing w:after="120"/>
              <w:contextualSpacing/>
              <w:jc w:val="both"/>
              <w:rPr>
                <w:rFonts w:ascii="Verdana" w:hAnsi="Verdana"/>
                <w:b/>
                <w:bCs/>
                <w:sz w:val="18"/>
                <w:szCs w:val="18"/>
              </w:rPr>
            </w:pPr>
            <w:r w:rsidRPr="5CB4B133">
              <w:rPr>
                <w:rFonts w:ascii="Verdana" w:hAnsi="Verdana"/>
                <w:b/>
                <w:bCs/>
                <w:sz w:val="18"/>
                <w:szCs w:val="18"/>
              </w:rPr>
              <w:t>Eurostat and OECD joint Questionnaire</w:t>
            </w:r>
            <w:r w:rsidRPr="00C34DE9">
              <w:t xml:space="preserve"> </w:t>
            </w:r>
            <w:r w:rsidRPr="5CB4B133">
              <w:rPr>
                <w:rFonts w:ascii="Verdana" w:hAnsi="Verdana"/>
                <w:b/>
                <w:bCs/>
                <w:sz w:val="18"/>
                <w:szCs w:val="18"/>
              </w:rPr>
              <w:t>on Inland Waters</w:t>
            </w:r>
          </w:p>
          <w:p w14:paraId="54BD23BF" w14:textId="77777777" w:rsidR="00234B7A" w:rsidRPr="00C34DE9" w:rsidRDefault="00234B7A" w:rsidP="5CB4B133">
            <w:pPr>
              <w:numPr>
                <w:ilvl w:val="0"/>
                <w:numId w:val="45"/>
              </w:numPr>
              <w:spacing w:after="120"/>
              <w:contextualSpacing/>
              <w:jc w:val="both"/>
              <w:rPr>
                <w:rFonts w:ascii="Verdana" w:hAnsi="Verdana"/>
                <w:b/>
                <w:bCs/>
                <w:sz w:val="18"/>
                <w:szCs w:val="18"/>
              </w:rPr>
            </w:pPr>
            <w:r w:rsidRPr="5CB4B133">
              <w:rPr>
                <w:rFonts w:ascii="Verdana" w:hAnsi="Verdana"/>
                <w:b/>
                <w:bCs/>
                <w:sz w:val="18"/>
                <w:szCs w:val="18"/>
              </w:rPr>
              <w:t xml:space="preserve">National Statistical Offices </w:t>
            </w:r>
            <w:r w:rsidRPr="00C34DE9">
              <w:rPr>
                <w:rFonts w:ascii="Verdana" w:hAnsi="Verdana"/>
                <w:sz w:val="18"/>
                <w:szCs w:val="18"/>
              </w:rPr>
              <w:t xml:space="preserve">(on ad-hoc basis, not part of formal data collection by the EEA) </w:t>
            </w:r>
          </w:p>
          <w:p w14:paraId="77114966" w14:textId="77777777" w:rsidR="00234B7A" w:rsidRPr="00C34DE9" w:rsidRDefault="00234B7A" w:rsidP="5CB4B133">
            <w:pPr>
              <w:numPr>
                <w:ilvl w:val="0"/>
                <w:numId w:val="45"/>
              </w:numPr>
              <w:spacing w:after="120"/>
              <w:contextualSpacing/>
              <w:jc w:val="both"/>
              <w:rPr>
                <w:rFonts w:ascii="Verdana" w:hAnsi="Verdana"/>
                <w:b/>
                <w:bCs/>
                <w:sz w:val="18"/>
                <w:szCs w:val="18"/>
              </w:rPr>
            </w:pPr>
            <w:r w:rsidRPr="5CB4B133">
              <w:rPr>
                <w:rFonts w:ascii="Verdana" w:hAnsi="Verdana"/>
                <w:b/>
                <w:bCs/>
                <w:sz w:val="18"/>
                <w:szCs w:val="18"/>
              </w:rPr>
              <w:t xml:space="preserve">E-OBS gridded dataset </w:t>
            </w:r>
            <w:r w:rsidRPr="00C34DE9">
              <w:rPr>
                <w:rFonts w:ascii="Verdana" w:hAnsi="Verdana"/>
                <w:sz w:val="18"/>
                <w:szCs w:val="18"/>
              </w:rPr>
              <w:t xml:space="preserve">(on hydro-climatic variables) </w:t>
            </w:r>
          </w:p>
          <w:p w14:paraId="6D39C749" w14:textId="5170D633" w:rsidR="00234B7A" w:rsidRPr="00C34DE9" w:rsidRDefault="00234B7A" w:rsidP="009A442D">
            <w:pPr>
              <w:numPr>
                <w:ilvl w:val="0"/>
                <w:numId w:val="45"/>
              </w:numPr>
              <w:spacing w:after="120"/>
              <w:contextualSpacing/>
              <w:jc w:val="both"/>
              <w:rPr>
                <w:rFonts w:ascii="Verdana" w:hAnsi="Verdana"/>
                <w:sz w:val="18"/>
                <w:szCs w:val="18"/>
              </w:rPr>
            </w:pPr>
            <w:r w:rsidRPr="5CB4B133">
              <w:rPr>
                <w:rFonts w:ascii="Verdana" w:hAnsi="Verdana"/>
                <w:b/>
                <w:bCs/>
                <w:sz w:val="18"/>
                <w:szCs w:val="18"/>
              </w:rPr>
              <w:t>'Return'</w:t>
            </w:r>
            <w:r w:rsidRPr="00C34DE9">
              <w:rPr>
                <w:rFonts w:ascii="Verdana" w:hAnsi="Verdana"/>
                <w:sz w:val="18"/>
                <w:szCs w:val="18"/>
              </w:rPr>
              <w:t>: T</w:t>
            </w:r>
            <w:r w:rsidRPr="00C34DE9">
              <w:rPr>
                <w:rFonts w:ascii="Verdana" w:hAnsi="Verdana"/>
                <w:sz w:val="18"/>
                <w:szCs w:val="18"/>
                <w:lang w:val="en-US"/>
              </w:rPr>
              <w:t>he average water return rate, which is implemented in the WEI+,</w:t>
            </w:r>
            <w:r w:rsidR="00263438">
              <w:rPr>
                <w:rFonts w:ascii="Verdana" w:hAnsi="Verdana"/>
                <w:sz w:val="18"/>
                <w:szCs w:val="18"/>
                <w:lang w:val="en-US"/>
              </w:rPr>
              <w:t xml:space="preserve"> reflects differences in irrigation technology and efficiency improvements</w:t>
            </w:r>
            <w:r w:rsidR="002F2E9C" w:rsidRPr="002F2E9C">
              <w:rPr>
                <w:rFonts w:ascii="Verdana" w:hAnsi="Verdana"/>
                <w:sz w:val="18"/>
                <w:szCs w:val="18"/>
                <w:lang w:val="en-US"/>
              </w:rPr>
              <w:t>.</w:t>
            </w:r>
            <w:r w:rsidRPr="00C34DE9">
              <w:rPr>
                <w:rFonts w:ascii="Verdana" w:hAnsi="Verdana"/>
                <w:sz w:val="18"/>
                <w:szCs w:val="18"/>
                <w:lang w:val="en-US"/>
              </w:rPr>
              <w:t>.</w:t>
            </w:r>
            <w:r w:rsidRPr="00C34DE9">
              <w:rPr>
                <w:rFonts w:ascii="Verdana" w:hAnsi="Verdana"/>
                <w:sz w:val="18"/>
                <w:szCs w:val="18"/>
              </w:rPr>
              <w:t xml:space="preserve"> </w:t>
            </w:r>
          </w:p>
        </w:tc>
      </w:tr>
      <w:tr w:rsidR="00234B7A" w:rsidRPr="00C34DE9" w14:paraId="0B1B2AF4"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632D80AD"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3AE63AF" w14:textId="77777777" w:rsidR="00234B7A" w:rsidRPr="00C34DE9" w:rsidRDefault="00234B7A" w:rsidP="009A442D">
            <w:pPr>
              <w:numPr>
                <w:ilvl w:val="0"/>
                <w:numId w:val="45"/>
              </w:numPr>
              <w:spacing w:after="120"/>
              <w:contextualSpacing/>
              <w:jc w:val="both"/>
              <w:rPr>
                <w:rFonts w:ascii="Verdana" w:hAnsi="Verdana"/>
                <w:sz w:val="18"/>
                <w:szCs w:val="18"/>
                <w:lang w:val="de-DE"/>
              </w:rPr>
            </w:pPr>
            <w:r w:rsidRPr="3F2573B5">
              <w:rPr>
                <w:rFonts w:ascii="Verdana" w:hAnsi="Verdana"/>
                <w:b/>
                <w:bCs/>
                <w:sz w:val="18"/>
                <w:szCs w:val="18"/>
                <w:lang w:val="de-DE"/>
              </w:rPr>
              <w:t xml:space="preserve">WISE SoE 3: </w:t>
            </w:r>
            <w:hyperlink r:id="rId174" w:history="1">
              <w:r w:rsidRPr="00C34DE9">
                <w:rPr>
                  <w:rFonts w:ascii="Verdana" w:hAnsi="Verdana"/>
                  <w:color w:val="0000FF"/>
                  <w:sz w:val="18"/>
                  <w:szCs w:val="18"/>
                  <w:u w:val="single"/>
                  <w:lang w:val="de-DE"/>
                </w:rPr>
                <w:t>https://rod.eionet.europa.eu/obligations/184</w:t>
              </w:r>
            </w:hyperlink>
            <w:r w:rsidRPr="00C34DE9">
              <w:rPr>
                <w:rFonts w:ascii="Verdana" w:hAnsi="Verdana"/>
                <w:sz w:val="18"/>
                <w:szCs w:val="18"/>
                <w:lang w:val="de-DE"/>
              </w:rPr>
              <w:t xml:space="preserve"> </w:t>
            </w:r>
          </w:p>
          <w:p w14:paraId="54B170E0" w14:textId="40EBECA2" w:rsidR="00833759" w:rsidRPr="00833759" w:rsidRDefault="00833759" w:rsidP="240ABBB4">
            <w:pPr>
              <w:numPr>
                <w:ilvl w:val="0"/>
                <w:numId w:val="45"/>
              </w:numPr>
              <w:spacing w:after="120"/>
              <w:contextualSpacing/>
              <w:jc w:val="both"/>
              <w:rPr>
                <w:rFonts w:ascii="Verdana" w:hAnsi="Verdana"/>
                <w:i/>
                <w:iCs/>
                <w:sz w:val="18"/>
                <w:szCs w:val="18"/>
                <w:lang w:val="de-DE"/>
              </w:rPr>
            </w:pPr>
            <w:r w:rsidRPr="7D5D9235">
              <w:rPr>
                <w:rFonts w:ascii="Verdana" w:hAnsi="Verdana"/>
                <w:b/>
                <w:bCs/>
                <w:sz w:val="18"/>
                <w:szCs w:val="18"/>
                <w:lang w:val="de-DE"/>
              </w:rPr>
              <w:t xml:space="preserve">Eurostat </w:t>
            </w:r>
            <w:r>
              <w:rPr>
                <w:rFonts w:ascii="Verdana" w:hAnsi="Verdana"/>
                <w:sz w:val="18"/>
                <w:szCs w:val="18"/>
                <w:lang w:val="de-DE"/>
              </w:rPr>
              <w:t>[</w:t>
            </w:r>
            <w:hyperlink r:id="rId175" w:history="1">
              <w:r w:rsidRPr="00833759">
                <w:rPr>
                  <w:rStyle w:val="Hyperlink"/>
                  <w:rFonts w:ascii="Arial" w:hAnsi="Arial" w:cs="Arial"/>
                  <w:sz w:val="20"/>
                  <w:szCs w:val="20"/>
                  <w:shd w:val="clear" w:color="auto" w:fill="FFFFFF"/>
                </w:rPr>
                <w:t>sdg_06_60</w:t>
              </w:r>
            </w:hyperlink>
            <w:r w:rsidRPr="240ABBB4">
              <w:rPr>
                <w:rStyle w:val="Emphasis"/>
                <w:rFonts w:ascii="Arial" w:hAnsi="Arial" w:cs="Arial"/>
                <w:i w:val="0"/>
                <w:iCs w:val="0"/>
                <w:color w:val="024EA1"/>
                <w:sz w:val="20"/>
                <w:szCs w:val="20"/>
                <w:shd w:val="clear" w:color="auto" w:fill="FFFFFF"/>
              </w:rPr>
              <w:t>]</w:t>
            </w:r>
          </w:p>
          <w:p w14:paraId="34330D90" w14:textId="70D641E9" w:rsidR="00234B7A" w:rsidRPr="00614D7E" w:rsidRDefault="00234B7A" w:rsidP="00B523B7">
            <w:pPr>
              <w:numPr>
                <w:ilvl w:val="0"/>
                <w:numId w:val="45"/>
              </w:numPr>
              <w:spacing w:after="120" w:line="240" w:lineRule="auto"/>
              <w:rPr>
                <w:rFonts w:ascii="Verdana" w:hAnsi="Verdana"/>
                <w:sz w:val="18"/>
                <w:szCs w:val="18"/>
                <w:lang w:val="fr-BE"/>
              </w:rPr>
            </w:pPr>
            <w:r w:rsidRPr="00614D7E">
              <w:rPr>
                <w:rFonts w:ascii="Verdana" w:hAnsi="Verdana"/>
                <w:b/>
                <w:bCs/>
                <w:sz w:val="18"/>
                <w:szCs w:val="18"/>
                <w:lang w:val="fr-BE"/>
              </w:rPr>
              <w:t>Eurostat and OECD Joint questionnaire</w:t>
            </w:r>
          </w:p>
          <w:p w14:paraId="259C10C0" w14:textId="77777777" w:rsidR="00234B7A" w:rsidRPr="00A31E03" w:rsidRDefault="00AA07F1" w:rsidP="00234B7A">
            <w:pPr>
              <w:spacing w:after="120" w:line="240" w:lineRule="auto"/>
              <w:rPr>
                <w:rFonts w:ascii="Verdana" w:hAnsi="Verdana"/>
                <w:sz w:val="18"/>
                <w:szCs w:val="18"/>
                <w:lang w:val="fr-BE"/>
              </w:rPr>
            </w:pPr>
            <w:hyperlink r:id="rId176" w:history="1">
              <w:r w:rsidR="00234B7A" w:rsidRPr="00A31E03">
                <w:rPr>
                  <w:rFonts w:ascii="Verdana" w:hAnsi="Verdana"/>
                  <w:color w:val="0000FF"/>
                  <w:sz w:val="18"/>
                  <w:szCs w:val="18"/>
                  <w:u w:val="single"/>
                  <w:lang w:val="fr-BE"/>
                </w:rPr>
                <w:t>https://ec.europa.eu/eurostat/documents/1798247/6664269/Data+Collection+Manual+for+the+OECD_Eurostat+Joint+Questionnaire+on+Inland+Waters+%28v</w:t>
              </w:r>
              <w:r w:rsidR="00234B7A" w:rsidRPr="00A31E03">
                <w:rPr>
                  <w:rFonts w:ascii="Verdana" w:hAnsi="Verdana"/>
                  <w:color w:val="0000FF"/>
                  <w:sz w:val="18"/>
                  <w:szCs w:val="18"/>
                  <w:u w:val="single"/>
                  <w:lang w:val="fr-BE"/>
                </w:rPr>
                <w:lastRenderedPageBreak/>
                <w:t>ersion+3.0%2C+2014%29.pdf/f5f60d49-e88c-4e3c-bc23-c1ec26a01b2a</w:t>
              </w:r>
            </w:hyperlink>
            <w:r w:rsidR="00234B7A" w:rsidRPr="00A31E03">
              <w:rPr>
                <w:rFonts w:ascii="Verdana" w:hAnsi="Verdana"/>
                <w:sz w:val="18"/>
                <w:szCs w:val="18"/>
                <w:lang w:val="fr-BE"/>
              </w:rPr>
              <w:t xml:space="preserve"> </w:t>
            </w:r>
          </w:p>
          <w:p w14:paraId="6F3B5B81" w14:textId="77777777" w:rsidR="00234B7A" w:rsidRPr="00C34DE9" w:rsidRDefault="00234B7A" w:rsidP="009A442D">
            <w:pPr>
              <w:numPr>
                <w:ilvl w:val="0"/>
                <w:numId w:val="45"/>
              </w:numPr>
              <w:spacing w:after="120" w:line="240" w:lineRule="auto"/>
              <w:rPr>
                <w:rFonts w:ascii="Verdana" w:hAnsi="Verdana"/>
                <w:sz w:val="18"/>
                <w:szCs w:val="18"/>
                <w:lang w:val="en-IE"/>
              </w:rPr>
            </w:pPr>
            <w:r w:rsidRPr="5CB4B133">
              <w:rPr>
                <w:rFonts w:ascii="Verdana" w:hAnsi="Verdana"/>
                <w:b/>
                <w:bCs/>
                <w:sz w:val="18"/>
                <w:szCs w:val="18"/>
                <w:lang w:val="en-IE"/>
              </w:rPr>
              <w:t>National Statistical Offices</w:t>
            </w:r>
            <w:r w:rsidRPr="00C34DE9">
              <w:rPr>
                <w:rFonts w:ascii="Verdana" w:hAnsi="Verdana"/>
                <w:sz w:val="18"/>
                <w:szCs w:val="18"/>
                <w:lang w:val="en-IE"/>
              </w:rPr>
              <w:t xml:space="preserve">: on MS nat. stat. offices website </w:t>
            </w:r>
          </w:p>
          <w:p w14:paraId="53326830" w14:textId="77777777" w:rsidR="00234B7A" w:rsidRPr="00C34DE9" w:rsidRDefault="00234B7A" w:rsidP="009A442D">
            <w:pPr>
              <w:numPr>
                <w:ilvl w:val="0"/>
                <w:numId w:val="45"/>
              </w:numPr>
              <w:spacing w:after="120" w:line="240" w:lineRule="auto"/>
              <w:rPr>
                <w:lang w:val="en-IE"/>
              </w:rPr>
            </w:pPr>
            <w:r w:rsidRPr="5CB4B133">
              <w:rPr>
                <w:rFonts w:ascii="Verdana" w:hAnsi="Verdana"/>
                <w:b/>
                <w:bCs/>
                <w:sz w:val="18"/>
                <w:szCs w:val="18"/>
                <w:lang w:val="en-IE"/>
              </w:rPr>
              <w:t xml:space="preserve">E-OBS gridded dataset: </w:t>
            </w:r>
            <w:hyperlink r:id="rId177" w:history="1">
              <w:r w:rsidRPr="00C34DE9">
                <w:rPr>
                  <w:rFonts w:ascii="Verdana" w:hAnsi="Verdana"/>
                  <w:color w:val="0000FF"/>
                  <w:sz w:val="18"/>
                  <w:szCs w:val="18"/>
                  <w:u w:val="single"/>
                  <w:lang w:val="en-IE"/>
                </w:rPr>
                <w:t>https://www.ecad.eu/download/ensembles/download.php</w:t>
              </w:r>
            </w:hyperlink>
            <w:r w:rsidRPr="00C34DE9">
              <w:rPr>
                <w:lang w:val="en-IE"/>
              </w:rPr>
              <w:t xml:space="preserve"> </w:t>
            </w:r>
          </w:p>
          <w:p w14:paraId="4FD3CAE2" w14:textId="77777777" w:rsidR="00234B7A" w:rsidRPr="00C34DE9" w:rsidRDefault="00AA07F1" w:rsidP="00234B7A">
            <w:pPr>
              <w:spacing w:after="120" w:line="240" w:lineRule="auto"/>
              <w:ind w:left="360"/>
              <w:rPr>
                <w:lang w:val="en-IE"/>
              </w:rPr>
            </w:pPr>
            <w:hyperlink r:id="rId178" w:history="1">
              <w:r w:rsidR="00234B7A" w:rsidRPr="00C34DE9">
                <w:rPr>
                  <w:color w:val="0000FF"/>
                  <w:u w:val="single"/>
                  <w:lang w:val="en-IE"/>
                </w:rPr>
                <w:t>https://www.knmi.nl/over-het-knmi/about</w:t>
              </w:r>
            </w:hyperlink>
            <w:r w:rsidR="00234B7A" w:rsidRPr="00C34DE9">
              <w:rPr>
                <w:lang w:val="en-IE"/>
              </w:rPr>
              <w:t xml:space="preserve"> </w:t>
            </w:r>
          </w:p>
        </w:tc>
      </w:tr>
      <w:tr w:rsidR="00234B7A" w:rsidRPr="00C34DE9" w14:paraId="48236C37"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C4B86DE"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lastRenderedPageBreak/>
              <w:t xml:space="preserve">Data collection </w:t>
            </w:r>
            <w:r w:rsidR="00A31E03" w:rsidRPr="5CB4B133">
              <w:rPr>
                <w:rFonts w:ascii="Verdana" w:hAnsi="Verdana"/>
                <w:b/>
                <w:bCs/>
                <w:sz w:val="18"/>
                <w:szCs w:val="18"/>
              </w:rPr>
              <w:t xml:space="preserve">/ dissemination </w:t>
            </w:r>
            <w:r w:rsidRPr="5CB4B133">
              <w:rPr>
                <w:rFonts w:ascii="Verdana" w:hAnsi="Verdana"/>
                <w:b/>
                <w:bCs/>
                <w:sz w:val="18"/>
                <w:szCs w:val="18"/>
              </w:rPr>
              <w:t>level</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4472356" w14:textId="433C7111" w:rsidR="00234B7A" w:rsidRPr="00C34DE9" w:rsidDel="00F9611E" w:rsidRDefault="000345A1" w:rsidP="3F4AE0BD">
            <w:pPr>
              <w:spacing w:after="120"/>
              <w:contextualSpacing/>
              <w:jc w:val="both"/>
              <w:rPr>
                <w:rFonts w:ascii="Verdana" w:hAnsi="Verdana"/>
                <w:b/>
                <w:bCs/>
                <w:sz w:val="18"/>
                <w:szCs w:val="18"/>
              </w:rPr>
            </w:pPr>
            <w:r>
              <w:rPr>
                <w:rFonts w:ascii="Verdana" w:hAnsi="Verdana"/>
                <w:sz w:val="18"/>
                <w:szCs w:val="18"/>
              </w:rPr>
              <w:t xml:space="preserve">National (NUTS 0) </w:t>
            </w:r>
            <w:r w:rsidR="00263438">
              <w:rPr>
                <w:rFonts w:ascii="Verdana" w:hAnsi="Verdana"/>
                <w:sz w:val="18"/>
                <w:szCs w:val="18"/>
              </w:rPr>
              <w:t>and</w:t>
            </w:r>
            <w:r w:rsidR="00234B7A" w:rsidRPr="00C34DE9">
              <w:rPr>
                <w:rFonts w:ascii="Verdana" w:hAnsi="Verdana"/>
                <w:sz w:val="18"/>
                <w:szCs w:val="18"/>
              </w:rPr>
              <w:t xml:space="preserve"> </w:t>
            </w:r>
            <w:r w:rsidR="002F2E9C">
              <w:rPr>
                <w:rFonts w:ascii="Verdana" w:hAnsi="Verdana"/>
                <w:sz w:val="18"/>
                <w:szCs w:val="18"/>
              </w:rPr>
              <w:t xml:space="preserve">potentially applicable at </w:t>
            </w:r>
            <w:r w:rsidR="00234B7A" w:rsidRPr="00C34DE9">
              <w:rPr>
                <w:rFonts w:ascii="Verdana" w:hAnsi="Verdana"/>
                <w:sz w:val="18"/>
                <w:szCs w:val="18"/>
              </w:rPr>
              <w:t>River Basin District or Sub Unit level.</w:t>
            </w:r>
          </w:p>
        </w:tc>
      </w:tr>
      <w:tr w:rsidR="00234B7A" w:rsidRPr="00C34DE9" w14:paraId="57099168"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11FB48E2" w14:textId="77777777" w:rsidR="00234B7A" w:rsidRPr="00C34DE9" w:rsidRDefault="00234B7A" w:rsidP="790C88FB">
            <w:pPr>
              <w:spacing w:after="60"/>
              <w:rPr>
                <w:rFonts w:ascii="Verdana" w:hAnsi="Verdana"/>
                <w:b/>
                <w:bCs/>
                <w:i/>
                <w:iCs/>
                <w:sz w:val="18"/>
                <w:szCs w:val="18"/>
              </w:rPr>
            </w:pPr>
            <w:r w:rsidRPr="5CB4B133">
              <w:rPr>
                <w:rFonts w:ascii="Verdana" w:hAnsi="Verdana"/>
                <w:b/>
                <w:bCs/>
                <w:sz w:val="18"/>
                <w:szCs w:val="18"/>
              </w:rPr>
              <w:t>Frequency</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027C3D7" w14:textId="77777777" w:rsidR="00234B7A" w:rsidRPr="00C34DE9" w:rsidRDefault="00234B7A" w:rsidP="00234B7A">
            <w:pPr>
              <w:spacing w:after="120"/>
              <w:contextualSpacing/>
              <w:jc w:val="both"/>
              <w:rPr>
                <w:rFonts w:ascii="Verdana" w:hAnsi="Verdana"/>
                <w:sz w:val="18"/>
                <w:szCs w:val="18"/>
              </w:rPr>
            </w:pPr>
            <w:r w:rsidRPr="00C34DE9">
              <w:rPr>
                <w:rFonts w:ascii="Verdana" w:hAnsi="Verdana"/>
                <w:sz w:val="18"/>
                <w:szCs w:val="18"/>
              </w:rPr>
              <w:t>The updating frequency will be carried out when demanded. Result will depend on updating frequency of data sources.</w:t>
            </w:r>
          </w:p>
          <w:p w14:paraId="409102B8"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 xml:space="preserve">WISE SoE 3: annual on MS level or monthly/ seasonal/ annual River Basin District (RBD) or Sub Unit (SU) level. All on voluntary basis. </w:t>
            </w:r>
          </w:p>
          <w:p w14:paraId="1622312D"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 xml:space="preserve">Eurostat and OECD joint Questionnaire: annual at MS level </w:t>
            </w:r>
          </w:p>
          <w:p w14:paraId="38C54724"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National Statistical Offices: no formal consultation/reporting process.</w:t>
            </w:r>
          </w:p>
          <w:p w14:paraId="034707F9" w14:textId="77777777" w:rsidR="00234B7A" w:rsidRPr="00C34DE9" w:rsidRDefault="00234B7A" w:rsidP="009A442D">
            <w:pPr>
              <w:numPr>
                <w:ilvl w:val="0"/>
                <w:numId w:val="45"/>
              </w:numPr>
              <w:spacing w:after="120"/>
              <w:contextualSpacing/>
              <w:jc w:val="both"/>
              <w:rPr>
                <w:rFonts w:ascii="Verdana" w:hAnsi="Verdana"/>
                <w:sz w:val="18"/>
                <w:szCs w:val="18"/>
              </w:rPr>
            </w:pPr>
            <w:r w:rsidRPr="00C34DE9">
              <w:rPr>
                <w:rFonts w:ascii="Verdana" w:hAnsi="Verdana"/>
                <w:sz w:val="18"/>
                <w:szCs w:val="18"/>
              </w:rPr>
              <w:t>E-OBS gridded dataset: published daily, then aggregated to monthly scale.</w:t>
            </w:r>
          </w:p>
        </w:tc>
      </w:tr>
      <w:tr w:rsidR="00234B7A" w:rsidRPr="00C34DE9" w14:paraId="744D8D41"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251C143C" w14:textId="77777777" w:rsidR="00234B7A" w:rsidRPr="00C34DE9" w:rsidRDefault="00FA07EB" w:rsidP="5CB4B133">
            <w:pPr>
              <w:spacing w:after="60"/>
              <w:rPr>
                <w:rFonts w:ascii="Verdana" w:hAnsi="Verdana"/>
                <w:b/>
                <w:bCs/>
                <w:sz w:val="18"/>
                <w:szCs w:val="18"/>
              </w:rPr>
            </w:pPr>
            <w:r w:rsidRPr="5CB4B133">
              <w:rPr>
                <w:rFonts w:ascii="Verdana" w:hAnsi="Verdana"/>
                <w:b/>
                <w:bCs/>
                <w:sz w:val="18"/>
                <w:szCs w:val="18"/>
              </w:rPr>
              <w:t>Timeliness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140F6EC" w14:textId="77777777" w:rsidR="00234B7A" w:rsidRPr="00C34DE9" w:rsidRDefault="00234B7A" w:rsidP="00234B7A">
            <w:pPr>
              <w:spacing w:after="120"/>
              <w:contextualSpacing/>
              <w:jc w:val="both"/>
              <w:rPr>
                <w:rFonts w:ascii="Verdana" w:hAnsi="Verdana"/>
                <w:sz w:val="18"/>
                <w:szCs w:val="18"/>
                <w:lang w:val="en-US"/>
              </w:rPr>
            </w:pPr>
          </w:p>
        </w:tc>
      </w:tr>
      <w:tr w:rsidR="00234B7A" w:rsidRPr="00C34DE9" w14:paraId="2EA6D00D" w14:textId="77777777" w:rsidTr="240ABBB4">
        <w:trPr>
          <w:jc w:val="center"/>
        </w:trPr>
        <w:tc>
          <w:tcPr>
            <w:tcW w:w="2501" w:type="dxa"/>
            <w:tcBorders>
              <w:top w:val="single" w:sz="4" w:space="0" w:color="auto"/>
              <w:left w:val="single" w:sz="4" w:space="0" w:color="auto"/>
              <w:bottom w:val="single" w:sz="4" w:space="0" w:color="auto"/>
              <w:right w:val="single" w:sz="4" w:space="0" w:color="auto"/>
            </w:tcBorders>
            <w:vAlign w:val="center"/>
          </w:tcPr>
          <w:p w14:paraId="5E30E86E" w14:textId="77777777" w:rsidR="00234B7A" w:rsidRPr="00C34DE9" w:rsidRDefault="00234B7A" w:rsidP="5CB4B133">
            <w:pPr>
              <w:spacing w:after="60"/>
              <w:rPr>
                <w:rFonts w:ascii="Verdana" w:hAnsi="Verdana"/>
                <w:b/>
                <w:bCs/>
                <w:sz w:val="18"/>
                <w:szCs w:val="18"/>
              </w:rPr>
            </w:pPr>
            <w:r w:rsidRPr="5CB4B133">
              <w:rPr>
                <w:rFonts w:ascii="Verdana" w:hAnsi="Verdana"/>
                <w:b/>
                <w:bCs/>
                <w:sz w:val="18"/>
                <w:szCs w:val="18"/>
              </w:rPr>
              <w:t>Comments/caveats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5519A82" w14:textId="77777777" w:rsidR="00234B7A" w:rsidRPr="00C34DE9" w:rsidRDefault="00234B7A" w:rsidP="00234B7A">
            <w:pPr>
              <w:spacing w:after="120"/>
              <w:jc w:val="both"/>
              <w:rPr>
                <w:rFonts w:ascii="Verdana" w:hAnsi="Verdana"/>
                <w:sz w:val="18"/>
                <w:szCs w:val="18"/>
              </w:rPr>
            </w:pPr>
            <w:r w:rsidRPr="00C34DE9">
              <w:rPr>
                <w:rFonts w:ascii="Verdana" w:hAnsi="Verdana"/>
                <w:sz w:val="18"/>
                <w:szCs w:val="18"/>
              </w:rPr>
              <w:t xml:space="preserve">[Indication capacity] </w:t>
            </w:r>
          </w:p>
          <w:p w14:paraId="76A118D5" w14:textId="146B3907" w:rsidR="00234B7A" w:rsidRPr="00C34DE9" w:rsidRDefault="00A85A9D" w:rsidP="00234B7A">
            <w:pPr>
              <w:spacing w:after="120"/>
              <w:jc w:val="both"/>
              <w:rPr>
                <w:rFonts w:ascii="Verdana" w:hAnsi="Verdana"/>
                <w:sz w:val="18"/>
                <w:szCs w:val="18"/>
              </w:rPr>
            </w:pPr>
            <w:r>
              <w:rPr>
                <w:rFonts w:ascii="Verdana" w:hAnsi="Verdana"/>
                <w:sz w:val="18"/>
                <w:szCs w:val="18"/>
              </w:rPr>
              <w:t>I</w:t>
            </w:r>
            <w:r w:rsidR="00234B7A" w:rsidRPr="00C34DE9">
              <w:rPr>
                <w:rFonts w:ascii="Verdana" w:hAnsi="Verdana"/>
                <w:sz w:val="18"/>
                <w:szCs w:val="18"/>
              </w:rPr>
              <w:t>t sets environmental conditions in relation to pressures from sectors. It allows estimating the pressure a sectors exerts on the natural water resources, compared to other sectors.</w:t>
            </w:r>
          </w:p>
          <w:p w14:paraId="1D4298A5" w14:textId="707775B1" w:rsidR="00234B7A" w:rsidRPr="00C34DE9" w:rsidRDefault="00234B7A" w:rsidP="00234B7A">
            <w:pPr>
              <w:spacing w:after="120"/>
              <w:jc w:val="both"/>
              <w:rPr>
                <w:rFonts w:ascii="Verdana" w:hAnsi="Verdana"/>
                <w:sz w:val="18"/>
                <w:szCs w:val="18"/>
              </w:rPr>
            </w:pPr>
            <w:r w:rsidRPr="00C34DE9">
              <w:rPr>
                <w:rFonts w:ascii="Verdana" w:hAnsi="Verdana"/>
                <w:sz w:val="18"/>
                <w:szCs w:val="18"/>
              </w:rPr>
              <w:t xml:space="preserve">For both </w:t>
            </w:r>
            <w:r w:rsidR="00DD478B">
              <w:rPr>
                <w:rFonts w:ascii="Verdana" w:hAnsi="Verdana"/>
                <w:sz w:val="18"/>
                <w:szCs w:val="18"/>
              </w:rPr>
              <w:t>specific indicators</w:t>
            </w:r>
            <w:r w:rsidRPr="00C34DE9">
              <w:rPr>
                <w:rFonts w:ascii="Verdana" w:hAnsi="Verdana"/>
                <w:sz w:val="18"/>
                <w:szCs w:val="18"/>
              </w:rPr>
              <w:t xml:space="preserve"> it should be further explored how much a comparison between years is conceptually reasonable when considering the level of gap filling.</w:t>
            </w:r>
          </w:p>
          <w:p w14:paraId="1EE6AFC2" w14:textId="5917F496" w:rsidR="002954AA" w:rsidRDefault="002954AA" w:rsidP="00234B7A">
            <w:pPr>
              <w:spacing w:after="120"/>
              <w:contextualSpacing/>
              <w:jc w:val="both"/>
              <w:rPr>
                <w:rFonts w:ascii="Verdana" w:hAnsi="Verdana"/>
                <w:sz w:val="18"/>
                <w:szCs w:val="18"/>
              </w:rPr>
            </w:pPr>
          </w:p>
          <w:p w14:paraId="12F179B3" w14:textId="77777777" w:rsidR="00234B7A" w:rsidRPr="00C34DE9" w:rsidRDefault="00234B7A" w:rsidP="00234B7A">
            <w:pPr>
              <w:spacing w:after="120"/>
              <w:contextualSpacing/>
              <w:jc w:val="both"/>
              <w:rPr>
                <w:rFonts w:ascii="Verdana" w:hAnsi="Verdana"/>
                <w:sz w:val="18"/>
                <w:szCs w:val="18"/>
              </w:rPr>
            </w:pPr>
            <w:r w:rsidRPr="790C88FB">
              <w:rPr>
                <w:rFonts w:ascii="Verdana" w:hAnsi="Verdana"/>
                <w:i/>
                <w:iCs/>
                <w:sz w:val="18"/>
                <w:szCs w:val="18"/>
              </w:rPr>
              <w:t>[Readily available?]:</w:t>
            </w:r>
            <w:r w:rsidRPr="00C34DE9">
              <w:rPr>
                <w:rFonts w:ascii="Verdana" w:hAnsi="Verdana"/>
                <w:sz w:val="18"/>
                <w:szCs w:val="18"/>
              </w:rPr>
              <w:t xml:space="preserve"> </w:t>
            </w:r>
            <w:r w:rsidR="002954AA">
              <w:rPr>
                <w:rFonts w:ascii="Verdana" w:hAnsi="Verdana"/>
                <w:sz w:val="18"/>
                <w:szCs w:val="18"/>
              </w:rPr>
              <w:t>The indicator is now availab</w:t>
            </w:r>
            <w:r w:rsidR="0072399E">
              <w:rPr>
                <w:rFonts w:ascii="Verdana" w:hAnsi="Verdana"/>
                <w:sz w:val="18"/>
                <w:szCs w:val="18"/>
              </w:rPr>
              <w:t>le</w:t>
            </w:r>
            <w:r w:rsidRPr="00C34DE9">
              <w:rPr>
                <w:rFonts w:ascii="Verdana" w:hAnsi="Verdana"/>
                <w:sz w:val="18"/>
                <w:szCs w:val="18"/>
              </w:rPr>
              <w:t>:</w:t>
            </w:r>
          </w:p>
          <w:p w14:paraId="54D681CC" w14:textId="77777777" w:rsidR="00234B7A" w:rsidRPr="00C34DE9" w:rsidRDefault="00234B7A" w:rsidP="790C88FB">
            <w:pPr>
              <w:numPr>
                <w:ilvl w:val="0"/>
                <w:numId w:val="46"/>
              </w:numPr>
              <w:spacing w:after="120"/>
              <w:contextualSpacing/>
              <w:jc w:val="both"/>
              <w:rPr>
                <w:rFonts w:ascii="Verdana" w:hAnsi="Verdana"/>
                <w:i/>
                <w:iCs/>
                <w:sz w:val="18"/>
                <w:szCs w:val="18"/>
              </w:rPr>
            </w:pPr>
            <w:r w:rsidRPr="00C34DE9">
              <w:rPr>
                <w:rFonts w:ascii="Verdana" w:hAnsi="Verdana"/>
                <w:sz w:val="18"/>
                <w:szCs w:val="18"/>
              </w:rPr>
              <w:t>Q</w:t>
            </w:r>
            <w:r w:rsidR="002F6287">
              <w:rPr>
                <w:rFonts w:ascii="Verdana" w:hAnsi="Verdana"/>
                <w:sz w:val="18"/>
                <w:szCs w:val="18"/>
              </w:rPr>
              <w:t>4</w:t>
            </w:r>
            <w:r w:rsidRPr="00C34DE9">
              <w:rPr>
                <w:rFonts w:ascii="Verdana" w:hAnsi="Verdana"/>
                <w:sz w:val="18"/>
                <w:szCs w:val="18"/>
              </w:rPr>
              <w:t xml:space="preserve"> 2019: WEI+ will be available at MS level (currently, at River Basin district and sub-basin level). </w:t>
            </w:r>
          </w:p>
          <w:p w14:paraId="443E4AAC" w14:textId="77777777" w:rsidR="00234B7A" w:rsidRPr="00C34DE9" w:rsidRDefault="00234B7A" w:rsidP="00234B7A">
            <w:pPr>
              <w:spacing w:after="120"/>
              <w:jc w:val="both"/>
              <w:rPr>
                <w:rFonts w:ascii="Verdana" w:hAnsi="Verdana"/>
                <w:sz w:val="18"/>
                <w:szCs w:val="18"/>
              </w:rPr>
            </w:pPr>
            <w:r w:rsidRPr="790C88FB">
              <w:rPr>
                <w:rFonts w:ascii="Verdana" w:hAnsi="Verdana"/>
                <w:i/>
                <w:iCs/>
                <w:sz w:val="18"/>
                <w:szCs w:val="18"/>
              </w:rPr>
              <w:t>[Downscaling</w:t>
            </w:r>
            <w:r w:rsidRPr="00C34DE9">
              <w:rPr>
                <w:rFonts w:ascii="Verdana" w:hAnsi="Verdana"/>
                <w:sz w:val="18"/>
                <w:szCs w:val="18"/>
              </w:rPr>
              <w:t>] There are different  options to present the information of the WEI+:</w:t>
            </w:r>
          </w:p>
          <w:p w14:paraId="24C380FA" w14:textId="77777777" w:rsidR="00234B7A" w:rsidRPr="00C34DE9" w:rsidRDefault="00234B7A" w:rsidP="009A442D">
            <w:pPr>
              <w:numPr>
                <w:ilvl w:val="0"/>
                <w:numId w:val="46"/>
              </w:numPr>
              <w:spacing w:after="120"/>
              <w:jc w:val="both"/>
              <w:rPr>
                <w:rFonts w:ascii="Verdana" w:hAnsi="Verdana"/>
                <w:sz w:val="18"/>
                <w:szCs w:val="18"/>
              </w:rPr>
            </w:pPr>
            <w:r w:rsidRPr="00C34DE9">
              <w:rPr>
                <w:rFonts w:ascii="Verdana" w:hAnsi="Verdana"/>
                <w:sz w:val="18"/>
                <w:szCs w:val="18"/>
              </w:rPr>
              <w:t>at MS level on annual resolution, or</w:t>
            </w:r>
          </w:p>
          <w:p w14:paraId="7B37BE26" w14:textId="77777777" w:rsidR="00234B7A" w:rsidRPr="00C34DE9" w:rsidRDefault="00234B7A" w:rsidP="009A442D">
            <w:pPr>
              <w:numPr>
                <w:ilvl w:val="0"/>
                <w:numId w:val="46"/>
              </w:numPr>
              <w:spacing w:after="120"/>
              <w:jc w:val="both"/>
              <w:rPr>
                <w:rFonts w:ascii="Verdana" w:hAnsi="Verdana"/>
                <w:sz w:val="18"/>
                <w:szCs w:val="18"/>
              </w:rPr>
            </w:pPr>
            <w:r w:rsidRPr="00C34DE9">
              <w:rPr>
                <w:rFonts w:ascii="Verdana" w:hAnsi="Verdana"/>
                <w:sz w:val="18"/>
                <w:szCs w:val="18"/>
              </w:rPr>
              <w:t>at finer spatial and temporal scales i.e. RBD or SU level on seasonal resolution.</w:t>
            </w:r>
          </w:p>
          <w:p w14:paraId="2486B503" w14:textId="77777777" w:rsidR="00234B7A" w:rsidRPr="00C34DE9" w:rsidRDefault="00234B7A" w:rsidP="00234B7A">
            <w:pPr>
              <w:spacing w:after="120"/>
              <w:jc w:val="both"/>
              <w:rPr>
                <w:rFonts w:ascii="Verdana" w:hAnsi="Verdana"/>
                <w:sz w:val="18"/>
                <w:szCs w:val="18"/>
              </w:rPr>
            </w:pPr>
            <w:r w:rsidRPr="00C34DE9">
              <w:rPr>
                <w:rFonts w:ascii="Verdana" w:hAnsi="Verdana"/>
                <w:sz w:val="18"/>
                <w:szCs w:val="18"/>
              </w:rPr>
              <w:t>Both options come with pros and cons, notably on the interpretation of the results.</w:t>
            </w:r>
          </w:p>
          <w:p w14:paraId="5EDAFBA5" w14:textId="77777777" w:rsidR="00234B7A" w:rsidRPr="00C34DE9" w:rsidRDefault="00234B7A" w:rsidP="00234B7A">
            <w:pPr>
              <w:spacing w:after="120"/>
              <w:contextualSpacing/>
              <w:jc w:val="both"/>
              <w:rPr>
                <w:rFonts w:ascii="Verdana" w:hAnsi="Verdana"/>
                <w:sz w:val="18"/>
                <w:szCs w:val="18"/>
              </w:rPr>
            </w:pPr>
            <w:r w:rsidRPr="00C34DE9">
              <w:rPr>
                <w:rFonts w:ascii="Verdana" w:hAnsi="Verdana"/>
                <w:sz w:val="18"/>
                <w:szCs w:val="18"/>
              </w:rPr>
              <w:t>For evaluation purposes, all the above ways to express the indicator could be useful.</w:t>
            </w:r>
          </w:p>
          <w:p w14:paraId="11F4D4B1" w14:textId="77777777" w:rsidR="00234B7A" w:rsidRPr="00C34DE9" w:rsidRDefault="00234B7A" w:rsidP="00234B7A">
            <w:pPr>
              <w:spacing w:after="120"/>
              <w:contextualSpacing/>
              <w:jc w:val="both"/>
              <w:rPr>
                <w:rFonts w:ascii="Verdana" w:hAnsi="Verdana"/>
                <w:sz w:val="18"/>
                <w:szCs w:val="18"/>
              </w:rPr>
            </w:pPr>
            <w:r w:rsidRPr="790C88FB">
              <w:rPr>
                <w:rFonts w:ascii="Verdana" w:hAnsi="Verdana"/>
                <w:i/>
                <w:iCs/>
                <w:sz w:val="18"/>
                <w:szCs w:val="18"/>
              </w:rPr>
              <w:t xml:space="preserve">[Quality:] </w:t>
            </w:r>
            <w:r w:rsidRPr="00C34DE9">
              <w:rPr>
                <w:rFonts w:ascii="Verdana" w:hAnsi="Verdana"/>
                <w:sz w:val="18"/>
                <w:szCs w:val="18"/>
              </w:rPr>
              <w:t>Some caveats remain:</w:t>
            </w:r>
          </w:p>
          <w:p w14:paraId="7890456B"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 xml:space="preserve">WISE SoE 3: holds large gaps in the data coverage particularly on water abstraction and water use for irrigation. Since 2010, the reporting rate of Member States on the water abstraction for irrigation has been dramatically decreasing. No or very low reporting together with large breaks in the time series on water abstraction for agriculture from some MS. </w:t>
            </w:r>
          </w:p>
          <w:p w14:paraId="51C3FFC6"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Similar to the streamflow data which needs large gap filling to be implemented with the Joint Research Centre (JRC) LISFLOOD data.</w:t>
            </w:r>
          </w:p>
          <w:p w14:paraId="673829F7"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Eurostat and OECD Joint questionnaire: data presents large temporal and spatial gaps in time series. That limits to provide robust overview on the irrigation pressure on renewable water resources.</w:t>
            </w:r>
          </w:p>
          <w:p w14:paraId="70AEDD2B"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 xml:space="preserve">National Statistical Offices: minor benefit as websites are in national </w:t>
            </w:r>
            <w:r w:rsidRPr="00C34DE9">
              <w:rPr>
                <w:rFonts w:ascii="Verdana" w:hAnsi="Verdana"/>
                <w:sz w:val="18"/>
                <w:szCs w:val="18"/>
              </w:rPr>
              <w:lastRenderedPageBreak/>
              <w:t>languages and it is difficult to find data sets and also definitions are very diverse.</w:t>
            </w:r>
          </w:p>
          <w:p w14:paraId="7F679ECC" w14:textId="77777777" w:rsidR="00234B7A" w:rsidRPr="00C34DE9" w:rsidRDefault="00234B7A" w:rsidP="009A442D">
            <w:pPr>
              <w:numPr>
                <w:ilvl w:val="0"/>
                <w:numId w:val="46"/>
              </w:numPr>
              <w:spacing w:after="120"/>
              <w:contextualSpacing/>
              <w:jc w:val="both"/>
              <w:rPr>
                <w:rFonts w:ascii="Verdana" w:hAnsi="Verdana"/>
                <w:sz w:val="18"/>
                <w:szCs w:val="18"/>
              </w:rPr>
            </w:pPr>
            <w:r w:rsidRPr="00C34DE9">
              <w:rPr>
                <w:rFonts w:ascii="Verdana" w:hAnsi="Verdana"/>
                <w:sz w:val="18"/>
                <w:szCs w:val="18"/>
              </w:rPr>
              <w:t>“Return”: Some of Member States have reported data on this variable during the last data-reporting stream in 2018 but it is still far from being sufficient.</w:t>
            </w:r>
          </w:p>
          <w:p w14:paraId="5AC53061" w14:textId="77777777" w:rsidR="00D34F97" w:rsidRPr="00D34F97" w:rsidRDefault="00D34F97" w:rsidP="00234B7A">
            <w:pPr>
              <w:spacing w:after="120"/>
              <w:contextualSpacing/>
              <w:jc w:val="both"/>
              <w:rPr>
                <w:rFonts w:ascii="Verdana" w:hAnsi="Verdana"/>
                <w:sz w:val="18"/>
                <w:szCs w:val="18"/>
              </w:rPr>
            </w:pPr>
          </w:p>
          <w:p w14:paraId="59DDD7A6" w14:textId="77777777" w:rsidR="00D34F97" w:rsidRPr="00FA7243" w:rsidRDefault="008F2015" w:rsidP="790C88FB">
            <w:pPr>
              <w:spacing w:after="120"/>
              <w:contextualSpacing/>
              <w:jc w:val="both"/>
              <w:rPr>
                <w:rFonts w:ascii="Verdana" w:hAnsi="Verdana"/>
                <w:b/>
                <w:bCs/>
                <w:i/>
                <w:iCs/>
                <w:sz w:val="18"/>
                <w:szCs w:val="18"/>
              </w:rPr>
            </w:pPr>
            <w:r w:rsidRPr="5CB4B133">
              <w:rPr>
                <w:rFonts w:ascii="Verdana" w:hAnsi="Verdana"/>
                <w:b/>
                <w:bCs/>
                <w:sz w:val="18"/>
                <w:szCs w:val="18"/>
              </w:rPr>
              <w:t>An earlier version of t</w:t>
            </w:r>
            <w:r w:rsidR="00D34F97" w:rsidRPr="5CB4B133">
              <w:rPr>
                <w:rFonts w:ascii="Verdana" w:hAnsi="Verdana"/>
                <w:b/>
                <w:bCs/>
                <w:sz w:val="18"/>
                <w:szCs w:val="18"/>
              </w:rPr>
              <w:t>his indicator is used for the EU reporting on UN Sustainable Development Goals.</w:t>
            </w:r>
          </w:p>
        </w:tc>
      </w:tr>
    </w:tbl>
    <w:p w14:paraId="508846E8" w14:textId="77777777" w:rsidR="00234B7A" w:rsidRPr="00C34DE9" w:rsidRDefault="00234B7A" w:rsidP="00544872">
      <w:pPr>
        <w:spacing w:after="60"/>
        <w:rPr>
          <w:rFonts w:ascii="Verdana" w:hAnsi="Verdana"/>
          <w:sz w:val="18"/>
          <w:szCs w:val="18"/>
        </w:rPr>
      </w:pPr>
    </w:p>
    <w:p w14:paraId="1715175D" w14:textId="77777777" w:rsidR="00023FCF" w:rsidRPr="00C34DE9" w:rsidRDefault="00023FCF" w:rsidP="00544872">
      <w:pPr>
        <w:spacing w:after="60"/>
        <w:rPr>
          <w:rFonts w:ascii="Verdana" w:hAnsi="Verdana"/>
          <w:sz w:val="18"/>
          <w:szCs w:val="18"/>
        </w:rPr>
      </w:pPr>
    </w:p>
    <w:p w14:paraId="1F2DFF89" w14:textId="77777777" w:rsidR="00D01F92" w:rsidRPr="00C34DE9" w:rsidRDefault="00023FCF" w:rsidP="00023FCF">
      <w:pPr>
        <w:rPr>
          <w:rFonts w:ascii="Verdana" w:hAnsi="Verdana"/>
          <w:sz w:val="18"/>
          <w:szCs w:val="18"/>
        </w:rPr>
      </w:pPr>
      <w:r w:rsidRPr="00C34DE9">
        <w:br w:type="page"/>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25"/>
      </w:tblGrid>
      <w:tr w:rsidR="00FA07EB" w:rsidRPr="00C34DE9" w14:paraId="38BC25AC" w14:textId="77777777" w:rsidTr="25AB5374">
        <w:trPr>
          <w:trHeight w:val="422"/>
          <w:jc w:val="center"/>
        </w:trPr>
        <w:tc>
          <w:tcPr>
            <w:tcW w:w="2411" w:type="dxa"/>
            <w:tcBorders>
              <w:top w:val="single" w:sz="4" w:space="0" w:color="auto"/>
              <w:left w:val="single" w:sz="4" w:space="0" w:color="auto"/>
              <w:bottom w:val="single" w:sz="4" w:space="0" w:color="auto"/>
              <w:right w:val="single" w:sz="4" w:space="0" w:color="auto"/>
            </w:tcBorders>
            <w:shd w:val="clear" w:color="auto" w:fill="00B0F0"/>
            <w:vAlign w:val="center"/>
          </w:tcPr>
          <w:p w14:paraId="42B0FFD0" w14:textId="1D012560" w:rsidR="00FA07EB" w:rsidRPr="00C34DE9" w:rsidRDefault="00FA07EB" w:rsidP="00340D8D">
            <w:pPr>
              <w:spacing w:after="60"/>
              <w:rPr>
                <w:rFonts w:ascii="Verdana" w:hAnsi="Verdana"/>
                <w:b/>
                <w:bCs/>
                <w:sz w:val="18"/>
                <w:szCs w:val="18"/>
              </w:rPr>
            </w:pPr>
            <w:bookmarkStart w:id="55" w:name="C38_Gross_Nutrient_Balance"/>
            <w:r w:rsidRPr="5CB4B133">
              <w:rPr>
                <w:rFonts w:ascii="Verdana" w:hAnsi="Verdana"/>
                <w:b/>
                <w:bCs/>
                <w:smallCaps/>
                <w:sz w:val="18"/>
                <w:szCs w:val="18"/>
              </w:rPr>
              <w:lastRenderedPageBreak/>
              <w:t>Indicator C.3</w:t>
            </w:r>
            <w:r w:rsidR="00340D8D">
              <w:rPr>
                <w:rFonts w:ascii="Verdana" w:hAnsi="Verdana"/>
                <w:b/>
                <w:bCs/>
                <w:smallCaps/>
                <w:sz w:val="18"/>
                <w:szCs w:val="18"/>
              </w:rPr>
              <w:t>9</w:t>
            </w:r>
            <w:bookmarkEnd w:id="55"/>
          </w:p>
        </w:tc>
        <w:tc>
          <w:tcPr>
            <w:tcW w:w="7725" w:type="dxa"/>
            <w:tcBorders>
              <w:top w:val="single" w:sz="4" w:space="0" w:color="auto"/>
              <w:left w:val="single" w:sz="4" w:space="0" w:color="auto"/>
              <w:bottom w:val="single" w:sz="4" w:space="0" w:color="auto"/>
              <w:right w:val="single" w:sz="4" w:space="0" w:color="auto"/>
            </w:tcBorders>
            <w:shd w:val="clear" w:color="auto" w:fill="00B0F0"/>
          </w:tcPr>
          <w:p w14:paraId="1B52AEA0" w14:textId="77777777" w:rsidR="005274D1" w:rsidRPr="005274D1" w:rsidRDefault="005274D1" w:rsidP="5CB4B133">
            <w:pPr>
              <w:spacing w:after="60"/>
              <w:rPr>
                <w:rFonts w:ascii="Verdana" w:hAnsi="Verdana"/>
                <w:b/>
                <w:bCs/>
                <w:caps/>
                <w:sz w:val="18"/>
                <w:szCs w:val="18"/>
              </w:rPr>
            </w:pPr>
            <w:bookmarkStart w:id="56" w:name="I15"/>
            <w:r w:rsidRPr="5CB4B133">
              <w:rPr>
                <w:rFonts w:ascii="Verdana" w:hAnsi="Verdana"/>
                <w:b/>
                <w:bCs/>
                <w:sz w:val="18"/>
                <w:szCs w:val="18"/>
              </w:rPr>
              <w:t>Indicator I.15</w:t>
            </w:r>
            <w:bookmarkEnd w:id="56"/>
            <w:r w:rsidRPr="5CB4B133">
              <w:rPr>
                <w:rFonts w:ascii="Verdana" w:hAnsi="Verdana"/>
                <w:b/>
                <w:bCs/>
                <w:sz w:val="18"/>
                <w:szCs w:val="18"/>
              </w:rPr>
              <w:t xml:space="preserve"> Improving water quality:</w:t>
            </w:r>
          </w:p>
          <w:p w14:paraId="4E01DE5B" w14:textId="77777777" w:rsidR="00FA07EB" w:rsidRPr="005274D1" w:rsidRDefault="005274D1" w:rsidP="005274D1">
            <w:pPr>
              <w:spacing w:after="60"/>
              <w:rPr>
                <w:rFonts w:ascii="Verdana" w:hAnsi="Verdana"/>
                <w:caps/>
                <w:sz w:val="18"/>
                <w:szCs w:val="18"/>
              </w:rPr>
            </w:pPr>
            <w:r>
              <w:rPr>
                <w:rFonts w:ascii="Verdana" w:hAnsi="Verdana"/>
                <w:sz w:val="18"/>
                <w:szCs w:val="18"/>
              </w:rPr>
              <w:t>G</w:t>
            </w:r>
            <w:r w:rsidRPr="005274D1">
              <w:rPr>
                <w:rFonts w:ascii="Verdana" w:hAnsi="Verdana"/>
                <w:sz w:val="18"/>
                <w:szCs w:val="18"/>
              </w:rPr>
              <w:t>ross nutrient balance on agricultural land</w:t>
            </w:r>
          </w:p>
        </w:tc>
      </w:tr>
      <w:tr w:rsidR="000345A1" w:rsidRPr="00C34DE9" w14:paraId="0A8AA1C6"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2244D77A" w14:textId="77777777" w:rsidR="000345A1" w:rsidRPr="00C34DE9" w:rsidRDefault="000345A1" w:rsidP="00D6784D">
            <w:pPr>
              <w:spacing w:after="60"/>
              <w:rPr>
                <w:rFonts w:ascii="Verdana" w:hAnsi="Verdana"/>
                <w:b/>
                <w:sz w:val="18"/>
                <w:szCs w:val="18"/>
              </w:rPr>
            </w:pP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14:paraId="460B167F" w14:textId="3E09E0D4" w:rsidR="000345A1" w:rsidRDefault="000345A1" w:rsidP="000345A1">
            <w:pPr>
              <w:spacing w:after="60"/>
              <w:rPr>
                <w:rFonts w:ascii="Verdana" w:hAnsi="Verdana"/>
                <w:sz w:val="18"/>
                <w:szCs w:val="18"/>
              </w:rPr>
            </w:pPr>
            <w:r w:rsidRPr="00C34DE9">
              <w:rPr>
                <w:rFonts w:ascii="Verdana" w:hAnsi="Verdana"/>
                <w:sz w:val="18"/>
                <w:szCs w:val="18"/>
              </w:rPr>
              <w:t>The indicator</w:t>
            </w:r>
            <w:r>
              <w:rPr>
                <w:rFonts w:ascii="Verdana" w:hAnsi="Verdana"/>
                <w:sz w:val="18"/>
                <w:szCs w:val="18"/>
              </w:rPr>
              <w:t xml:space="preserve"> C.3</w:t>
            </w:r>
            <w:r w:rsidR="00340D8D">
              <w:rPr>
                <w:rFonts w:ascii="Verdana" w:hAnsi="Verdana"/>
                <w:sz w:val="18"/>
                <w:szCs w:val="18"/>
              </w:rPr>
              <w:t>9</w:t>
            </w:r>
            <w:r>
              <w:rPr>
                <w:rFonts w:ascii="Verdana" w:hAnsi="Verdana"/>
                <w:sz w:val="18"/>
                <w:szCs w:val="18"/>
              </w:rPr>
              <w:t xml:space="preserve"> Water quality is composed by three </w:t>
            </w:r>
            <w:r w:rsidR="00DD478B">
              <w:rPr>
                <w:rFonts w:ascii="Verdana" w:hAnsi="Verdana"/>
                <w:sz w:val="18"/>
                <w:szCs w:val="18"/>
              </w:rPr>
              <w:t xml:space="preserve">specific </w:t>
            </w:r>
            <w:r>
              <w:rPr>
                <w:rFonts w:ascii="Verdana" w:hAnsi="Verdana"/>
                <w:sz w:val="18"/>
                <w:szCs w:val="18"/>
              </w:rPr>
              <w:t>indicators:</w:t>
            </w:r>
          </w:p>
          <w:p w14:paraId="326AE24D" w14:textId="77777777" w:rsidR="000345A1" w:rsidRDefault="000345A1" w:rsidP="00665997">
            <w:pPr>
              <w:pStyle w:val="ListParagraph"/>
              <w:numPr>
                <w:ilvl w:val="0"/>
                <w:numId w:val="98"/>
              </w:numPr>
              <w:spacing w:after="60"/>
              <w:rPr>
                <w:rFonts w:ascii="Verdana" w:hAnsi="Verdana"/>
                <w:b/>
                <w:bCs/>
                <w:sz w:val="18"/>
                <w:szCs w:val="18"/>
              </w:rPr>
            </w:pPr>
            <w:r w:rsidRPr="3F4AE0BD">
              <w:rPr>
                <w:rFonts w:ascii="Verdana" w:hAnsi="Verdana"/>
                <w:b/>
                <w:bCs/>
                <w:sz w:val="18"/>
                <w:szCs w:val="18"/>
              </w:rPr>
              <w:t>Gross nutrient balance – nitrogen;</w:t>
            </w:r>
          </w:p>
          <w:p w14:paraId="4978677C" w14:textId="77777777" w:rsidR="000345A1" w:rsidRPr="000345A1" w:rsidRDefault="000345A1" w:rsidP="00665997">
            <w:pPr>
              <w:pStyle w:val="ListParagraph"/>
              <w:numPr>
                <w:ilvl w:val="0"/>
                <w:numId w:val="98"/>
              </w:numPr>
              <w:spacing w:after="60"/>
              <w:rPr>
                <w:rFonts w:ascii="Verdana" w:hAnsi="Verdana"/>
                <w:b/>
                <w:bCs/>
                <w:sz w:val="18"/>
                <w:szCs w:val="18"/>
              </w:rPr>
            </w:pPr>
            <w:r w:rsidRPr="3F2573B5">
              <w:rPr>
                <w:rFonts w:ascii="Verdana" w:hAnsi="Verdana"/>
                <w:b/>
                <w:bCs/>
                <w:color w:val="000000"/>
                <w:sz w:val="18"/>
                <w:szCs w:val="18"/>
                <w:lang w:val="fr-BE"/>
              </w:rPr>
              <w:t>Gross nutrient balance – phosphorus</w:t>
            </w:r>
          </w:p>
          <w:p w14:paraId="2B26CCC6" w14:textId="77777777" w:rsidR="000345A1" w:rsidRPr="000345A1" w:rsidRDefault="000345A1" w:rsidP="00665997">
            <w:pPr>
              <w:pStyle w:val="ListParagraph"/>
              <w:numPr>
                <w:ilvl w:val="0"/>
                <w:numId w:val="98"/>
              </w:numPr>
              <w:spacing w:after="60"/>
              <w:rPr>
                <w:rFonts w:ascii="Verdana" w:hAnsi="Verdana"/>
                <w:b/>
                <w:bCs/>
                <w:sz w:val="18"/>
                <w:szCs w:val="18"/>
              </w:rPr>
            </w:pPr>
            <w:r w:rsidRPr="3F4AE0BD">
              <w:rPr>
                <w:rFonts w:ascii="Verdana" w:hAnsi="Verdana"/>
                <w:b/>
                <w:bCs/>
                <w:sz w:val="18"/>
                <w:szCs w:val="18"/>
              </w:rPr>
              <w:t>Nitrates in groundwater</w:t>
            </w:r>
          </w:p>
        </w:tc>
      </w:tr>
      <w:tr w:rsidR="00FA07EB" w:rsidRPr="00C34DE9" w14:paraId="15B8A389"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036CD43E"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Indicator Name</w:t>
            </w: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14:paraId="0117018E" w14:textId="77777777" w:rsidR="00FA07EB" w:rsidRPr="00C34DE9" w:rsidRDefault="00FA07EB" w:rsidP="5CB4B133">
            <w:pPr>
              <w:spacing w:after="60"/>
              <w:jc w:val="center"/>
              <w:rPr>
                <w:rFonts w:ascii="Verdana" w:hAnsi="Verdana"/>
                <w:b/>
                <w:bCs/>
                <w:sz w:val="18"/>
                <w:szCs w:val="18"/>
              </w:rPr>
            </w:pPr>
            <w:r w:rsidRPr="5CB4B133">
              <w:rPr>
                <w:rFonts w:ascii="Verdana" w:hAnsi="Verdana"/>
                <w:b/>
                <w:bCs/>
                <w:sz w:val="18"/>
                <w:szCs w:val="18"/>
              </w:rPr>
              <w:t>W</w:t>
            </w:r>
            <w:r w:rsidR="0060145A" w:rsidRPr="5CB4B133">
              <w:rPr>
                <w:rFonts w:ascii="Verdana" w:hAnsi="Verdana"/>
                <w:b/>
                <w:bCs/>
                <w:sz w:val="18"/>
                <w:szCs w:val="18"/>
              </w:rPr>
              <w:t>ater quality</w:t>
            </w:r>
          </w:p>
          <w:p w14:paraId="6AA34C72" w14:textId="77777777" w:rsidR="00FA07EB" w:rsidRPr="000345A1" w:rsidRDefault="00FA07EB" w:rsidP="5CB4B133">
            <w:pPr>
              <w:pStyle w:val="ListParagraph"/>
              <w:numPr>
                <w:ilvl w:val="0"/>
                <w:numId w:val="99"/>
              </w:numPr>
              <w:spacing w:after="60"/>
              <w:jc w:val="center"/>
              <w:rPr>
                <w:rFonts w:ascii="Verdana" w:hAnsi="Verdana"/>
                <w:b/>
                <w:bCs/>
                <w:sz w:val="18"/>
                <w:szCs w:val="18"/>
              </w:rPr>
            </w:pPr>
            <w:r w:rsidRPr="00614D7E">
              <w:rPr>
                <w:rFonts w:ascii="Verdana" w:hAnsi="Verdana"/>
                <w:b/>
                <w:bCs/>
                <w:sz w:val="18"/>
                <w:szCs w:val="18"/>
                <w:shd w:val="clear" w:color="auto" w:fill="00B0F0"/>
              </w:rPr>
              <w:t>G</w:t>
            </w:r>
            <w:r w:rsidR="0060145A" w:rsidRPr="00614D7E">
              <w:rPr>
                <w:rFonts w:ascii="Verdana" w:hAnsi="Verdana"/>
                <w:b/>
                <w:bCs/>
                <w:sz w:val="18"/>
                <w:szCs w:val="18"/>
                <w:shd w:val="clear" w:color="auto" w:fill="00B0F0"/>
              </w:rPr>
              <w:t xml:space="preserve">ross nutrient balance </w:t>
            </w:r>
            <w:r w:rsidRPr="00614D7E">
              <w:rPr>
                <w:rFonts w:ascii="Verdana" w:hAnsi="Verdana"/>
                <w:b/>
                <w:bCs/>
                <w:sz w:val="18"/>
                <w:szCs w:val="18"/>
                <w:shd w:val="clear" w:color="auto" w:fill="00B0F0"/>
              </w:rPr>
              <w:t>- nitrogen</w:t>
            </w:r>
          </w:p>
        </w:tc>
      </w:tr>
      <w:tr w:rsidR="00FA07EB" w:rsidRPr="00C34DE9" w14:paraId="10BB601E"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67666FD8"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Definition</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5FDDB0B2" w14:textId="77777777" w:rsidR="004D12F5" w:rsidRPr="00C34DE9" w:rsidRDefault="004D12F5" w:rsidP="004D12F5">
            <w:pPr>
              <w:spacing w:after="120"/>
              <w:jc w:val="both"/>
              <w:rPr>
                <w:rFonts w:ascii="Verdana" w:hAnsi="Verdana"/>
                <w:sz w:val="18"/>
                <w:szCs w:val="18"/>
              </w:rPr>
            </w:pPr>
            <w:r w:rsidRPr="00C34DE9">
              <w:rPr>
                <w:rFonts w:ascii="Verdana" w:hAnsi="Verdana"/>
                <w:sz w:val="18"/>
                <w:szCs w:val="18"/>
              </w:rPr>
              <w:t xml:space="preserve">The indicator </w:t>
            </w:r>
            <w:r w:rsidR="00827319">
              <w:rPr>
                <w:rFonts w:ascii="Verdana" w:hAnsi="Verdana"/>
                <w:sz w:val="18"/>
                <w:szCs w:val="18"/>
              </w:rPr>
              <w:t>illustrates</w:t>
            </w:r>
            <w:r w:rsidRPr="00C34DE9">
              <w:rPr>
                <w:rFonts w:ascii="Verdana" w:hAnsi="Verdana"/>
                <w:sz w:val="18"/>
                <w:szCs w:val="18"/>
              </w:rPr>
              <w:t xml:space="preserve"> the potential threat</w:t>
            </w:r>
            <w:r w:rsidR="00827319">
              <w:rPr>
                <w:rFonts w:ascii="Verdana" w:hAnsi="Verdana"/>
                <w:sz w:val="18"/>
                <w:szCs w:val="18"/>
              </w:rPr>
              <w:t>s</w:t>
            </w:r>
            <w:r w:rsidRPr="00C34DE9">
              <w:rPr>
                <w:rFonts w:ascii="Verdana" w:hAnsi="Verdana"/>
                <w:sz w:val="18"/>
                <w:szCs w:val="18"/>
              </w:rPr>
              <w:t xml:space="preserve"> to water quality </w:t>
            </w:r>
            <w:r>
              <w:rPr>
                <w:rFonts w:ascii="Verdana" w:hAnsi="Verdana"/>
                <w:sz w:val="18"/>
                <w:szCs w:val="18"/>
              </w:rPr>
              <w:t xml:space="preserve">in the presence </w:t>
            </w:r>
            <w:r w:rsidRPr="00C34DE9">
              <w:rPr>
                <w:rFonts w:ascii="Verdana" w:hAnsi="Verdana"/>
                <w:sz w:val="18"/>
                <w:szCs w:val="18"/>
              </w:rPr>
              <w:t xml:space="preserve">of </w:t>
            </w:r>
            <w:r>
              <w:rPr>
                <w:rFonts w:ascii="Verdana" w:hAnsi="Verdana"/>
                <w:sz w:val="18"/>
                <w:szCs w:val="18"/>
              </w:rPr>
              <w:t>a nutrient</w:t>
            </w:r>
            <w:r w:rsidRPr="00C34DE9">
              <w:rPr>
                <w:rFonts w:ascii="Verdana" w:hAnsi="Verdana"/>
                <w:sz w:val="18"/>
                <w:szCs w:val="18"/>
              </w:rPr>
              <w:t xml:space="preserve"> surplus</w:t>
            </w:r>
            <w:r>
              <w:rPr>
                <w:rFonts w:ascii="Verdana" w:hAnsi="Verdana"/>
                <w:sz w:val="18"/>
                <w:szCs w:val="18"/>
              </w:rPr>
              <w:t xml:space="preserve"> from </w:t>
            </w:r>
            <w:r w:rsidRPr="00C34DE9">
              <w:rPr>
                <w:rFonts w:ascii="Verdana" w:hAnsi="Verdana"/>
                <w:sz w:val="18"/>
                <w:szCs w:val="18"/>
              </w:rPr>
              <w:t>agricultural soils</w:t>
            </w:r>
            <w:r>
              <w:rPr>
                <w:rFonts w:ascii="Verdana" w:hAnsi="Verdana"/>
                <w:sz w:val="18"/>
                <w:szCs w:val="18"/>
              </w:rPr>
              <w:t xml:space="preserve">, at an annual basis. For nitrogen, a </w:t>
            </w:r>
            <w:r w:rsidRPr="00C34DE9">
              <w:rPr>
                <w:rFonts w:ascii="Verdana" w:hAnsi="Verdana"/>
                <w:sz w:val="18"/>
                <w:szCs w:val="18"/>
              </w:rPr>
              <w:t xml:space="preserve">deficit </w:t>
            </w:r>
            <w:r>
              <w:rPr>
                <w:rFonts w:ascii="Verdana" w:hAnsi="Verdana"/>
                <w:sz w:val="18"/>
                <w:szCs w:val="18"/>
              </w:rPr>
              <w:t xml:space="preserve"> </w:t>
            </w:r>
            <w:r w:rsidRPr="00C34DE9">
              <w:rPr>
                <w:rFonts w:ascii="Verdana" w:hAnsi="Verdana"/>
                <w:sz w:val="18"/>
                <w:szCs w:val="18"/>
              </w:rPr>
              <w:t>in agricultural soils</w:t>
            </w:r>
            <w:r>
              <w:rPr>
                <w:rFonts w:ascii="Verdana" w:hAnsi="Verdana"/>
                <w:sz w:val="18"/>
                <w:szCs w:val="18"/>
              </w:rPr>
              <w:t xml:space="preserve"> represents a threat to soil quality.</w:t>
            </w:r>
          </w:p>
          <w:p w14:paraId="56D086D6"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 xml:space="preserve">The </w:t>
            </w:r>
            <w:r w:rsidRPr="5CB4B133">
              <w:rPr>
                <w:rFonts w:ascii="Verdana" w:hAnsi="Verdana"/>
                <w:b/>
                <w:bCs/>
                <w:sz w:val="18"/>
                <w:szCs w:val="18"/>
              </w:rPr>
              <w:t>gross nutrient balance for nitrogen</w:t>
            </w:r>
            <w:r w:rsidRPr="00C34DE9">
              <w:rPr>
                <w:rFonts w:ascii="Verdana" w:hAnsi="Verdana"/>
                <w:sz w:val="18"/>
                <w:szCs w:val="18"/>
              </w:rPr>
              <w:t xml:space="preserve"> </w:t>
            </w:r>
            <w:r w:rsidR="007969DD" w:rsidRPr="00AD7CAC">
              <w:rPr>
                <w:rFonts w:ascii="Verdana" w:hAnsi="Verdana"/>
                <w:sz w:val="18"/>
                <w:szCs w:val="18"/>
              </w:rPr>
              <w:t xml:space="preserve">presents a link between the agricultural activities </w:t>
            </w:r>
            <w:r w:rsidR="004D12F5">
              <w:rPr>
                <w:rFonts w:ascii="Verdana" w:hAnsi="Verdana"/>
                <w:sz w:val="18"/>
                <w:szCs w:val="18"/>
              </w:rPr>
              <w:t xml:space="preserve">responsible for high nitrogen loads </w:t>
            </w:r>
            <w:r w:rsidR="007969DD" w:rsidRPr="00AD7CAC">
              <w:rPr>
                <w:rFonts w:ascii="Verdana" w:hAnsi="Verdana"/>
                <w:sz w:val="18"/>
                <w:szCs w:val="18"/>
              </w:rPr>
              <w:t xml:space="preserve">and the environmental impact and </w:t>
            </w:r>
            <w:r w:rsidR="004D12F5">
              <w:rPr>
                <w:rFonts w:ascii="Verdana" w:hAnsi="Verdana"/>
                <w:sz w:val="18"/>
                <w:szCs w:val="18"/>
              </w:rPr>
              <w:t xml:space="preserve">helps </w:t>
            </w:r>
            <w:r w:rsidR="007969DD" w:rsidRPr="00AD7CAC">
              <w:rPr>
                <w:rFonts w:ascii="Verdana" w:hAnsi="Verdana"/>
                <w:sz w:val="18"/>
                <w:szCs w:val="18"/>
              </w:rPr>
              <w:t>identif</w:t>
            </w:r>
            <w:r w:rsidR="004D12F5">
              <w:rPr>
                <w:rFonts w:ascii="Verdana" w:hAnsi="Verdana"/>
                <w:sz w:val="18"/>
                <w:szCs w:val="18"/>
              </w:rPr>
              <w:t>ying</w:t>
            </w:r>
            <w:r w:rsidR="007969DD" w:rsidRPr="00AD7CAC">
              <w:rPr>
                <w:rFonts w:ascii="Verdana" w:hAnsi="Verdana"/>
                <w:sz w:val="18"/>
                <w:szCs w:val="18"/>
              </w:rPr>
              <w:t xml:space="preserve"> the factors which </w:t>
            </w:r>
            <w:r w:rsidR="004D12F5">
              <w:rPr>
                <w:rFonts w:ascii="Verdana" w:hAnsi="Verdana"/>
                <w:sz w:val="18"/>
                <w:szCs w:val="18"/>
              </w:rPr>
              <w:t xml:space="preserve">contribute to </w:t>
            </w:r>
            <w:r w:rsidR="007969DD" w:rsidRPr="00AD7CAC">
              <w:rPr>
                <w:rFonts w:ascii="Verdana" w:hAnsi="Verdana"/>
                <w:sz w:val="18"/>
                <w:szCs w:val="18"/>
              </w:rPr>
              <w:t>the nitrogen surplus and shows the change over time</w:t>
            </w:r>
            <w:r w:rsidR="007969DD">
              <w:rPr>
                <w:rFonts w:ascii="Verdana" w:hAnsi="Verdana"/>
                <w:sz w:val="18"/>
                <w:szCs w:val="18"/>
              </w:rPr>
              <w:t>.</w:t>
            </w:r>
          </w:p>
          <w:p w14:paraId="18D1A858" w14:textId="77777777" w:rsidR="00FA07EB" w:rsidRPr="00C34DE9" w:rsidRDefault="004D12F5" w:rsidP="00D6784D">
            <w:pPr>
              <w:spacing w:after="120"/>
              <w:jc w:val="both"/>
              <w:rPr>
                <w:rFonts w:ascii="Verdana" w:hAnsi="Verdana"/>
                <w:sz w:val="18"/>
                <w:szCs w:val="18"/>
              </w:rPr>
            </w:pPr>
            <w:r>
              <w:rPr>
                <w:rFonts w:ascii="Verdana" w:hAnsi="Verdana"/>
                <w:sz w:val="18"/>
                <w:szCs w:val="18"/>
              </w:rPr>
              <w:t xml:space="preserve">Nitrogen is added to the soil </w:t>
            </w:r>
            <w:r w:rsidR="00263438">
              <w:rPr>
                <w:rFonts w:ascii="Verdana" w:hAnsi="Verdana"/>
                <w:sz w:val="18"/>
                <w:szCs w:val="18"/>
              </w:rPr>
              <w:t>by</w:t>
            </w:r>
            <w:r>
              <w:rPr>
                <w:rFonts w:ascii="Verdana" w:hAnsi="Verdana"/>
                <w:sz w:val="18"/>
                <w:szCs w:val="18"/>
              </w:rPr>
              <w:t xml:space="preserve"> m</w:t>
            </w:r>
            <w:r w:rsidRPr="00C34DE9">
              <w:rPr>
                <w:rFonts w:ascii="Verdana" w:hAnsi="Verdana"/>
                <w:sz w:val="18"/>
                <w:szCs w:val="18"/>
              </w:rPr>
              <w:t>ineral and organic fertilisers</w:t>
            </w:r>
            <w:r>
              <w:rPr>
                <w:rFonts w:ascii="Verdana" w:hAnsi="Verdana"/>
                <w:sz w:val="18"/>
                <w:szCs w:val="18"/>
              </w:rPr>
              <w:t xml:space="preserve">, </w:t>
            </w:r>
            <w:r w:rsidR="00263438">
              <w:rPr>
                <w:rFonts w:ascii="Verdana" w:hAnsi="Verdana"/>
                <w:sz w:val="18"/>
                <w:szCs w:val="18"/>
              </w:rPr>
              <w:t xml:space="preserve">grazing animals, </w:t>
            </w:r>
            <w:r>
              <w:rPr>
                <w:rFonts w:ascii="Verdana" w:hAnsi="Verdana"/>
                <w:sz w:val="18"/>
                <w:szCs w:val="18"/>
              </w:rPr>
              <w:t xml:space="preserve">atmospheric deposition and biological </w:t>
            </w:r>
            <w:r w:rsidR="00A31E03">
              <w:rPr>
                <w:rFonts w:ascii="Verdana" w:hAnsi="Verdana"/>
                <w:sz w:val="18"/>
                <w:szCs w:val="18"/>
              </w:rPr>
              <w:t>n</w:t>
            </w:r>
            <w:r>
              <w:rPr>
                <w:rFonts w:ascii="Verdana" w:hAnsi="Verdana"/>
                <w:sz w:val="18"/>
                <w:szCs w:val="18"/>
              </w:rPr>
              <w:t xml:space="preserve">itrogen fixation, </w:t>
            </w:r>
            <w:r w:rsidRPr="00C34DE9">
              <w:rPr>
                <w:rFonts w:ascii="Verdana" w:hAnsi="Verdana"/>
                <w:sz w:val="18"/>
                <w:szCs w:val="18"/>
              </w:rPr>
              <w:t>while harvesting of crops</w:t>
            </w:r>
            <w:r w:rsidR="00263438">
              <w:rPr>
                <w:rFonts w:ascii="Verdana" w:hAnsi="Verdana"/>
                <w:sz w:val="18"/>
                <w:szCs w:val="18"/>
              </w:rPr>
              <w:t>, grazing</w:t>
            </w:r>
            <w:r>
              <w:rPr>
                <w:rFonts w:ascii="Verdana" w:hAnsi="Verdana"/>
                <w:sz w:val="18"/>
                <w:szCs w:val="18"/>
              </w:rPr>
              <w:t xml:space="preserve"> and</w:t>
            </w:r>
            <w:r w:rsidRPr="00C34DE9">
              <w:rPr>
                <w:rFonts w:ascii="Verdana" w:hAnsi="Verdana"/>
                <w:sz w:val="18"/>
                <w:szCs w:val="18"/>
              </w:rPr>
              <w:t xml:space="preserve"> removal of residues remove nitrogen from the soil.</w:t>
            </w:r>
            <w:r w:rsidR="00FA07EB" w:rsidRPr="00C34DE9">
              <w:rPr>
                <w:rFonts w:ascii="Verdana" w:hAnsi="Verdana"/>
                <w:sz w:val="18"/>
                <w:szCs w:val="18"/>
              </w:rPr>
              <w:t xml:space="preserve"> A lack of nitrogen may cause degradation in soil fertility and erosion, while an excess may cause surface and groundwater (including drinking water) pollution and eutrophication. </w:t>
            </w:r>
          </w:p>
          <w:p w14:paraId="3E340153"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Nitrogen balance</w:t>
            </w:r>
            <w:r w:rsidR="004D12F5">
              <w:rPr>
                <w:rFonts w:ascii="Verdana" w:hAnsi="Verdana"/>
                <w:sz w:val="18"/>
                <w:szCs w:val="18"/>
              </w:rPr>
              <w:t>s</w:t>
            </w:r>
            <w:r w:rsidRPr="00C34DE9">
              <w:rPr>
                <w:rFonts w:ascii="Verdana" w:hAnsi="Verdana"/>
                <w:sz w:val="18"/>
                <w:szCs w:val="18"/>
              </w:rPr>
              <w:t xml:space="preserve"> are monitored for the purposes of the Water Framework Directive and for the Nitrates Directive.</w:t>
            </w:r>
          </w:p>
          <w:p w14:paraId="6C23A052"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u w:val="single"/>
              </w:rPr>
              <w:t>The following indicator already exists:</w:t>
            </w:r>
          </w:p>
          <w:p w14:paraId="2DCA5B75"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 xml:space="preserve">Agri-environmental indicator 15 Gross Nitrogen Balance: Potential surplus of nitrogen on agricultural land, </w:t>
            </w:r>
            <w:hyperlink r:id="rId179" w:history="1">
              <w:r w:rsidRPr="00C34DE9">
                <w:rPr>
                  <w:rStyle w:val="Hyperlink"/>
                  <w:rFonts w:ascii="Verdana" w:hAnsi="Verdana"/>
                  <w:sz w:val="18"/>
                  <w:szCs w:val="18"/>
                </w:rPr>
                <w:t>http://ec.europa.eu/eurostat/statistics-explained/index.php/Agri-environmental_indicator_-_gross_nitrogen_balance</w:t>
              </w:r>
            </w:hyperlink>
            <w:r w:rsidRPr="00C34DE9">
              <w:rPr>
                <w:rFonts w:ascii="Verdana" w:hAnsi="Verdana"/>
                <w:sz w:val="18"/>
                <w:szCs w:val="18"/>
              </w:rPr>
              <w:t xml:space="preserve"> </w:t>
            </w:r>
          </w:p>
          <w:p w14:paraId="4723601C" w14:textId="77777777" w:rsidR="000345A1" w:rsidRDefault="00FA07EB" w:rsidP="00D6784D">
            <w:pPr>
              <w:pStyle w:val="NoSpacing"/>
              <w:spacing w:after="120"/>
              <w:rPr>
                <w:rFonts w:ascii="Verdana" w:hAnsi="Verdana"/>
                <w:sz w:val="18"/>
                <w:szCs w:val="18"/>
              </w:rPr>
            </w:pPr>
            <w:r w:rsidRPr="00C34DE9">
              <w:rPr>
                <w:rFonts w:ascii="Verdana" w:hAnsi="Verdana"/>
                <w:sz w:val="18"/>
                <w:szCs w:val="18"/>
              </w:rPr>
              <w:t>The indicator is part of the Resource Efficiency Scoreboard, the Agri-environmental indicators, and the SDG indicators.</w:t>
            </w:r>
            <w:r w:rsidR="000345A1" w:rsidRPr="00C34DE9">
              <w:rPr>
                <w:rFonts w:ascii="Verdana" w:hAnsi="Verdana"/>
                <w:sz w:val="18"/>
                <w:szCs w:val="18"/>
              </w:rPr>
              <w:t xml:space="preserve"> </w:t>
            </w:r>
          </w:p>
          <w:p w14:paraId="332AEC63" w14:textId="77777777" w:rsidR="00FA07EB" w:rsidRPr="00C34DE9" w:rsidRDefault="000345A1" w:rsidP="00D6784D">
            <w:pPr>
              <w:pStyle w:val="NoSpacing"/>
              <w:spacing w:after="120"/>
              <w:rPr>
                <w:rFonts w:ascii="Verdana" w:hAnsi="Verdana"/>
                <w:sz w:val="18"/>
                <w:szCs w:val="18"/>
              </w:rPr>
            </w:pPr>
            <w:r>
              <w:rPr>
                <w:rFonts w:ascii="Verdana" w:hAnsi="Verdana"/>
                <w:sz w:val="18"/>
                <w:szCs w:val="18"/>
              </w:rPr>
              <w:t>S</w:t>
            </w:r>
            <w:r w:rsidRPr="00C34DE9">
              <w:rPr>
                <w:rFonts w:ascii="Verdana" w:hAnsi="Verdana"/>
                <w:sz w:val="18"/>
                <w:szCs w:val="18"/>
              </w:rPr>
              <w:t xml:space="preserve">ome countries prefer to use the fertilised areas, i.e. </w:t>
            </w:r>
            <w:r>
              <w:rPr>
                <w:rFonts w:ascii="Verdana" w:hAnsi="Verdana"/>
                <w:sz w:val="18"/>
                <w:szCs w:val="18"/>
              </w:rPr>
              <w:t xml:space="preserve">they </w:t>
            </w:r>
            <w:r w:rsidRPr="00C34DE9">
              <w:rPr>
                <w:rFonts w:ascii="Verdana" w:hAnsi="Verdana"/>
                <w:sz w:val="18"/>
                <w:szCs w:val="18"/>
              </w:rPr>
              <w:t>have removed rough grazings</w:t>
            </w:r>
            <w:r>
              <w:rPr>
                <w:rFonts w:ascii="Verdana" w:hAnsi="Verdana"/>
                <w:sz w:val="18"/>
                <w:szCs w:val="18"/>
              </w:rPr>
              <w:t xml:space="preserve"> from the agricultural area</w:t>
            </w:r>
            <w:r w:rsidRPr="00C34DE9">
              <w:rPr>
                <w:rFonts w:ascii="Verdana" w:hAnsi="Verdana"/>
                <w:sz w:val="18"/>
                <w:szCs w:val="18"/>
              </w:rPr>
              <w:t>.</w:t>
            </w:r>
          </w:p>
        </w:tc>
      </w:tr>
      <w:tr w:rsidR="00FA07EB" w:rsidRPr="00C34DE9" w14:paraId="16586712" w14:textId="77777777" w:rsidTr="25AB5374">
        <w:trPr>
          <w:trHeight w:val="454"/>
          <w:jc w:val="center"/>
        </w:trPr>
        <w:tc>
          <w:tcPr>
            <w:tcW w:w="2411" w:type="dxa"/>
            <w:tcBorders>
              <w:top w:val="single" w:sz="4" w:space="0" w:color="auto"/>
              <w:left w:val="single" w:sz="4" w:space="0" w:color="auto"/>
              <w:bottom w:val="single" w:sz="4" w:space="0" w:color="auto"/>
              <w:right w:val="single" w:sz="4" w:space="0" w:color="auto"/>
            </w:tcBorders>
            <w:vAlign w:val="center"/>
          </w:tcPr>
          <w:p w14:paraId="7F6323AE"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25" w:type="dxa"/>
            <w:tcBorders>
              <w:top w:val="single" w:sz="4" w:space="0" w:color="auto"/>
              <w:left w:val="single" w:sz="4" w:space="0" w:color="auto"/>
              <w:bottom w:val="single" w:sz="4" w:space="0" w:color="auto"/>
              <w:right w:val="single" w:sz="4" w:space="0" w:color="auto"/>
            </w:tcBorders>
            <w:shd w:val="clear" w:color="auto" w:fill="auto"/>
            <w:vAlign w:val="center"/>
          </w:tcPr>
          <w:p w14:paraId="195CC0AD" w14:textId="58861E7E" w:rsidR="00FA07EB" w:rsidRPr="00C34DE9" w:rsidRDefault="00FA07EB" w:rsidP="000345A1">
            <w:pPr>
              <w:spacing w:after="120"/>
              <w:rPr>
                <w:rFonts w:ascii="Verdana" w:hAnsi="Verdana"/>
                <w:sz w:val="18"/>
                <w:szCs w:val="18"/>
              </w:rPr>
            </w:pPr>
            <w:r w:rsidRPr="00C34DE9">
              <w:rPr>
                <w:rFonts w:ascii="Verdana" w:hAnsi="Verdana"/>
                <w:sz w:val="18"/>
                <w:szCs w:val="18"/>
              </w:rPr>
              <w:t xml:space="preserve">kg N/ ha/ year </w:t>
            </w:r>
          </w:p>
        </w:tc>
      </w:tr>
      <w:tr w:rsidR="00FA07EB" w:rsidRPr="00C34DE9" w14:paraId="1D226E41"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5876D62F" w14:textId="77777777" w:rsidR="00FA07EB" w:rsidRPr="00C34DE9" w:rsidRDefault="00FA07EB" w:rsidP="790C88FB">
            <w:pPr>
              <w:spacing w:after="60"/>
              <w:rPr>
                <w:rFonts w:ascii="Verdana" w:hAnsi="Verdana"/>
                <w:i/>
                <w:iCs/>
                <w:sz w:val="18"/>
                <w:szCs w:val="18"/>
              </w:rPr>
            </w:pPr>
            <w:r w:rsidRPr="5CB4B133">
              <w:rPr>
                <w:rFonts w:ascii="Verdana" w:hAnsi="Verdana"/>
                <w:b/>
                <w:bCs/>
                <w:sz w:val="18"/>
                <w:szCs w:val="18"/>
              </w:rPr>
              <w:t>Data source</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6203AF33" w14:textId="13FD68E8" w:rsidR="00BE6F94" w:rsidRPr="000211DF" w:rsidRDefault="00FA07EB" w:rsidP="000211DF">
            <w:pPr>
              <w:pStyle w:val="ListParagraph"/>
              <w:spacing w:after="120"/>
              <w:ind w:left="0"/>
              <w:jc w:val="both"/>
              <w:rPr>
                <w:rFonts w:ascii="Verdana" w:hAnsi="Verdana"/>
                <w:sz w:val="18"/>
                <w:szCs w:val="18"/>
                <w:lang w:val="en-IE"/>
              </w:rPr>
            </w:pPr>
            <w:r w:rsidRPr="00A85A9D">
              <w:rPr>
                <w:rFonts w:ascii="Verdana" w:hAnsi="Verdana"/>
                <w:sz w:val="18"/>
                <w:szCs w:val="18"/>
                <w:lang w:val="en-IE"/>
              </w:rPr>
              <w:t>Statistical Office of the European Union (Eurostat), based on data reported by the countries (</w:t>
            </w:r>
            <w:r w:rsidR="00BE6F94">
              <w:rPr>
                <w:rFonts w:ascii="Verdana" w:hAnsi="Verdana"/>
                <w:sz w:val="18"/>
                <w:szCs w:val="18"/>
                <w:lang w:val="en-IE"/>
              </w:rPr>
              <w:t xml:space="preserve">currently </w:t>
            </w:r>
            <w:r w:rsidRPr="00A85A9D">
              <w:rPr>
                <w:rFonts w:ascii="Verdana" w:hAnsi="Verdana"/>
                <w:sz w:val="18"/>
                <w:szCs w:val="18"/>
                <w:lang w:val="en-IE"/>
              </w:rPr>
              <w:t>only available for those countries that report</w:t>
            </w:r>
            <w:r w:rsidR="00BE6F94" w:rsidRPr="000211DF">
              <w:rPr>
                <w:rFonts w:ascii="Verdana" w:hAnsi="Verdana"/>
                <w:sz w:val="18"/>
                <w:szCs w:val="18"/>
                <w:lang w:val="en-IE"/>
              </w:rPr>
              <w:t>. Compulsory transmission of G</w:t>
            </w:r>
            <w:r w:rsidR="00F406C6" w:rsidRPr="000211DF">
              <w:rPr>
                <w:rFonts w:ascii="Verdana" w:hAnsi="Verdana"/>
                <w:sz w:val="18"/>
                <w:szCs w:val="18"/>
                <w:lang w:val="en-IE"/>
              </w:rPr>
              <w:t xml:space="preserve">ross </w:t>
            </w:r>
            <w:r w:rsidR="00BE6F94" w:rsidRPr="000211DF">
              <w:rPr>
                <w:rFonts w:ascii="Verdana" w:hAnsi="Verdana"/>
                <w:sz w:val="18"/>
                <w:szCs w:val="18"/>
                <w:lang w:val="en-IE"/>
              </w:rPr>
              <w:t>N</w:t>
            </w:r>
            <w:r w:rsidR="00F406C6" w:rsidRPr="000211DF">
              <w:rPr>
                <w:rFonts w:ascii="Verdana" w:hAnsi="Verdana"/>
                <w:sz w:val="18"/>
                <w:szCs w:val="18"/>
                <w:lang w:val="en-IE"/>
              </w:rPr>
              <w:t xml:space="preserve">utrient </w:t>
            </w:r>
            <w:r w:rsidR="00BE6F94" w:rsidRPr="000211DF">
              <w:rPr>
                <w:rFonts w:ascii="Verdana" w:hAnsi="Verdana"/>
                <w:sz w:val="18"/>
                <w:szCs w:val="18"/>
                <w:lang w:val="en-IE"/>
              </w:rPr>
              <w:t>B</w:t>
            </w:r>
            <w:r w:rsidR="00F406C6" w:rsidRPr="000211DF">
              <w:rPr>
                <w:rFonts w:ascii="Verdana" w:hAnsi="Verdana"/>
                <w:sz w:val="18"/>
                <w:szCs w:val="18"/>
                <w:lang w:val="en-IE"/>
              </w:rPr>
              <w:t>alance</w:t>
            </w:r>
            <w:r w:rsidR="00BE6F94" w:rsidRPr="000211DF">
              <w:rPr>
                <w:rFonts w:ascii="Verdana" w:hAnsi="Verdana"/>
                <w:sz w:val="18"/>
                <w:szCs w:val="18"/>
                <w:lang w:val="en-IE"/>
              </w:rPr>
              <w:t xml:space="preserve"> data are </w:t>
            </w:r>
            <w:r w:rsidR="000211DF">
              <w:rPr>
                <w:rFonts w:ascii="Verdana" w:hAnsi="Verdana"/>
                <w:sz w:val="18"/>
                <w:szCs w:val="18"/>
                <w:lang w:val="en-IE"/>
              </w:rPr>
              <w:t xml:space="preserve">planned to be </w:t>
            </w:r>
            <w:r w:rsidR="00BE6F94" w:rsidRPr="000211DF">
              <w:rPr>
                <w:rFonts w:ascii="Verdana" w:hAnsi="Verdana"/>
                <w:sz w:val="18"/>
                <w:szCs w:val="18"/>
                <w:lang w:val="en-IE"/>
              </w:rPr>
              <w:t>part of the future legislation on agricultural statistics, in the Regulation on Statistics of Agricultural Input and Output (SAIO), planned to be adopted by the Commission by the end of 2020.</w:t>
            </w:r>
          </w:p>
          <w:p w14:paraId="42652778" w14:textId="77777777" w:rsidR="00FA07EB" w:rsidRDefault="00FA07EB" w:rsidP="00D6784D">
            <w:pPr>
              <w:pStyle w:val="ListParagraph"/>
              <w:spacing w:after="120"/>
              <w:ind w:left="0"/>
              <w:jc w:val="both"/>
              <w:rPr>
                <w:rFonts w:ascii="Verdana" w:hAnsi="Verdana"/>
                <w:sz w:val="18"/>
                <w:szCs w:val="18"/>
                <w:lang w:val="en-IE"/>
              </w:rPr>
            </w:pPr>
            <w:r w:rsidRPr="00A85A9D">
              <w:rPr>
                <w:rFonts w:ascii="Verdana" w:hAnsi="Verdana"/>
                <w:sz w:val="18"/>
                <w:szCs w:val="18"/>
                <w:lang w:val="en-IE"/>
              </w:rPr>
              <w:t>Data come from multiple sources including the consumption of mineral fertilisers and seeding and plant material, livestock population and manure import and exports, use of other organic fertili</w:t>
            </w:r>
            <w:r w:rsidR="00A31E03" w:rsidRPr="00A85A9D">
              <w:rPr>
                <w:rFonts w:ascii="Verdana" w:hAnsi="Verdana"/>
                <w:sz w:val="18"/>
                <w:szCs w:val="18"/>
                <w:lang w:val="en-IE"/>
              </w:rPr>
              <w:t>s</w:t>
            </w:r>
            <w:r w:rsidRPr="00A85A9D">
              <w:rPr>
                <w:rFonts w:ascii="Verdana" w:hAnsi="Verdana"/>
                <w:sz w:val="18"/>
                <w:szCs w:val="18"/>
                <w:lang w:val="en-IE"/>
              </w:rPr>
              <w:t>ers in agricultural production, atmospheric deposition, biological nitrogen fixation, crop and fodder production and crop/fodder residues removal or burning, and areas of various types of crops. The land types included are arable land, permanent crops and permanent grassland. Further, coefficients are required, among other to estimate nutrient excretion per livestock and fodder yields.</w:t>
            </w:r>
          </w:p>
          <w:p w14:paraId="3DA80EAB" w14:textId="77777777" w:rsidR="006A2726" w:rsidRPr="00A85A9D" w:rsidRDefault="006A2726" w:rsidP="00D6784D">
            <w:pPr>
              <w:pStyle w:val="ListParagraph"/>
              <w:spacing w:after="120"/>
              <w:ind w:left="0"/>
              <w:jc w:val="both"/>
              <w:rPr>
                <w:rFonts w:ascii="Verdana" w:hAnsi="Verdana"/>
                <w:sz w:val="18"/>
                <w:szCs w:val="18"/>
                <w:lang w:val="en-IE"/>
              </w:rPr>
            </w:pPr>
            <w:r w:rsidRPr="006A2726">
              <w:rPr>
                <w:rFonts w:ascii="Verdana" w:hAnsi="Verdana"/>
                <w:sz w:val="18"/>
                <w:szCs w:val="18"/>
                <w:lang w:val="en-IE"/>
              </w:rPr>
              <w:t xml:space="preserve">For the countries which don’t provide data, estimates are calculated and published by Eurostat based on various available data sources, most importantly the </w:t>
            </w:r>
            <w:r w:rsidRPr="006A2726">
              <w:rPr>
                <w:rFonts w:ascii="Verdana" w:hAnsi="Verdana"/>
                <w:sz w:val="18"/>
                <w:szCs w:val="18"/>
                <w:lang w:val="en-IE"/>
              </w:rPr>
              <w:lastRenderedPageBreak/>
              <w:t>Eurostat fertilizers, crop and livestock statistics, National inventory submissions to UNFCCC and CLRTAP, Fertilizers Europe and FAO database.</w:t>
            </w:r>
          </w:p>
          <w:p w14:paraId="73479B6C" w14:textId="7BAE4D51" w:rsidR="00FA07EB" w:rsidRPr="00C34DE9" w:rsidRDefault="00FA07EB" w:rsidP="00D6784D">
            <w:pPr>
              <w:pStyle w:val="ListParagraph"/>
              <w:spacing w:after="120"/>
              <w:ind w:left="0"/>
              <w:jc w:val="both"/>
              <w:rPr>
                <w:lang w:val="en-IE"/>
              </w:rPr>
            </w:pPr>
            <w:r w:rsidRPr="00A85A9D">
              <w:rPr>
                <w:rFonts w:ascii="Verdana" w:hAnsi="Verdana"/>
                <w:sz w:val="18"/>
                <w:szCs w:val="18"/>
                <w:lang w:val="en-IE"/>
              </w:rPr>
              <w:t>The EU aggregate is also estimated.</w:t>
            </w:r>
            <w:r w:rsidRPr="00C34DE9">
              <w:rPr>
                <w:lang w:val="en-IE"/>
              </w:rPr>
              <w:t xml:space="preserve"> </w:t>
            </w:r>
          </w:p>
        </w:tc>
      </w:tr>
      <w:tr w:rsidR="00FA07EB" w:rsidRPr="00693B7B" w14:paraId="7B9DA644"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4CEC7C5E" w14:textId="77777777" w:rsidR="00FA07EB" w:rsidRPr="00C34DE9" w:rsidRDefault="00FA07EB" w:rsidP="5CB4B133">
            <w:pPr>
              <w:spacing w:after="60"/>
              <w:rPr>
                <w:rFonts w:ascii="Verdana" w:hAnsi="Verdana"/>
                <w:b/>
                <w:bCs/>
                <w:sz w:val="18"/>
                <w:szCs w:val="18"/>
              </w:rPr>
            </w:pPr>
            <w:r w:rsidRPr="5CB4B133">
              <w:rPr>
                <w:rFonts w:ascii="Verdana" w:hAnsi="Verdana"/>
                <w:b/>
                <w:bCs/>
                <w:sz w:val="18"/>
                <w:szCs w:val="18"/>
              </w:rPr>
              <w:lastRenderedPageBreak/>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276C0A4D" w14:textId="6A3DB47A" w:rsidR="006A2726" w:rsidRDefault="00FA07EB" w:rsidP="00D6784D">
            <w:pPr>
              <w:pStyle w:val="NoSpacing"/>
              <w:spacing w:after="120"/>
              <w:rPr>
                <w:rStyle w:val="leaf"/>
                <w:rFonts w:ascii="Verdana" w:hAnsi="Verdana"/>
                <w:color w:val="000000"/>
                <w:sz w:val="18"/>
                <w:szCs w:val="18"/>
                <w:lang w:val="fr-BE"/>
              </w:rPr>
            </w:pPr>
            <w:r w:rsidRPr="00C34DE9">
              <w:rPr>
                <w:rFonts w:ascii="Verdana" w:hAnsi="Verdana"/>
                <w:sz w:val="18"/>
                <w:szCs w:val="18"/>
                <w:lang w:val="fr-BE"/>
              </w:rPr>
              <w:t xml:space="preserve">Eurostat: </w:t>
            </w:r>
            <w:r w:rsidRPr="00C34DE9">
              <w:rPr>
                <w:rStyle w:val="leaf"/>
                <w:rFonts w:ascii="Verdana" w:hAnsi="Verdana"/>
                <w:color w:val="000000"/>
                <w:sz w:val="18"/>
                <w:szCs w:val="18"/>
                <w:lang w:val="fr-BE"/>
              </w:rPr>
              <w:t>Gross nutrient balance</w:t>
            </w:r>
            <w:r w:rsidR="00A31E03">
              <w:rPr>
                <w:rStyle w:val="leaf"/>
                <w:rFonts w:ascii="Verdana" w:hAnsi="Verdana"/>
                <w:color w:val="000000"/>
                <w:sz w:val="18"/>
                <w:szCs w:val="18"/>
                <w:lang w:val="fr-BE"/>
              </w:rPr>
              <w:t xml:space="preserve"> </w:t>
            </w:r>
            <w:r w:rsidR="006A2726">
              <w:rPr>
                <w:rStyle w:val="leaf"/>
                <w:rFonts w:ascii="Verdana" w:hAnsi="Verdana"/>
                <w:color w:val="000000"/>
                <w:sz w:val="18"/>
                <w:szCs w:val="18"/>
                <w:lang w:val="fr-BE"/>
              </w:rPr>
              <w:t>[</w:t>
            </w:r>
            <w:hyperlink r:id="rId180" w:history="1">
              <w:r w:rsidRPr="006A2726">
                <w:rPr>
                  <w:rStyle w:val="Hyperlink"/>
                  <w:rFonts w:ascii="Verdana" w:hAnsi="Verdana"/>
                  <w:sz w:val="18"/>
                  <w:szCs w:val="18"/>
                  <w:lang w:val="fr-BE"/>
                </w:rPr>
                <w:t>aei_pr_gnb</w:t>
              </w:r>
            </w:hyperlink>
            <w:r w:rsidR="006A2726">
              <w:rPr>
                <w:rStyle w:val="leaf"/>
                <w:rFonts w:ascii="Verdana" w:hAnsi="Verdana"/>
                <w:color w:val="000000"/>
                <w:sz w:val="18"/>
                <w:szCs w:val="18"/>
                <w:lang w:val="fr-BE"/>
              </w:rPr>
              <w:t>]</w:t>
            </w:r>
          </w:p>
          <w:p w14:paraId="76D3F1E1" w14:textId="5C419EF6" w:rsidR="00FA07EB" w:rsidRPr="00C34DE9" w:rsidRDefault="00AA07F1" w:rsidP="00D6784D">
            <w:pPr>
              <w:pStyle w:val="NoSpacing"/>
              <w:spacing w:after="120"/>
              <w:rPr>
                <w:rStyle w:val="leaf"/>
                <w:rFonts w:ascii="Verdana" w:hAnsi="Verdana"/>
                <w:color w:val="000000"/>
                <w:sz w:val="18"/>
                <w:szCs w:val="18"/>
                <w:lang w:val="fr-BE"/>
              </w:rPr>
            </w:pPr>
            <w:hyperlink r:id="rId181" w:history="1">
              <w:r w:rsidR="00333038" w:rsidRPr="00E746A5">
                <w:rPr>
                  <w:rStyle w:val="Hyperlink"/>
                  <w:rFonts w:ascii="Verdana" w:hAnsi="Verdana"/>
                  <w:sz w:val="18"/>
                  <w:szCs w:val="18"/>
                  <w:lang w:val="fr-BE"/>
                </w:rPr>
                <w:t>https://ec.europa.eu/eurostat/cache/metadata/en/aei_pr_gnb_esms.htm</w:t>
              </w:r>
            </w:hyperlink>
            <w:r w:rsidR="00333038">
              <w:rPr>
                <w:rFonts w:ascii="Verdana" w:hAnsi="Verdana"/>
                <w:sz w:val="18"/>
                <w:szCs w:val="18"/>
                <w:lang w:val="fr-BE"/>
              </w:rPr>
              <w:t xml:space="preserve"> </w:t>
            </w:r>
            <w:r w:rsidR="006A2726" w:rsidRPr="006A2726" w:rsidDel="006A2726">
              <w:rPr>
                <w:rFonts w:ascii="Verdana" w:hAnsi="Verdana"/>
                <w:sz w:val="18"/>
                <w:szCs w:val="18"/>
                <w:lang w:val="fr-BE"/>
              </w:rPr>
              <w:t xml:space="preserve"> </w:t>
            </w:r>
          </w:p>
          <w:p w14:paraId="3BF330A3" w14:textId="77777777" w:rsidR="00FA07EB" w:rsidRPr="00C34DE9" w:rsidRDefault="00AA07F1" w:rsidP="00D6784D">
            <w:pPr>
              <w:pStyle w:val="NoSpacing"/>
              <w:spacing w:after="120"/>
              <w:rPr>
                <w:rFonts w:ascii="Verdana" w:hAnsi="Verdana"/>
                <w:sz w:val="18"/>
                <w:szCs w:val="18"/>
                <w:lang w:val="fr-BE"/>
              </w:rPr>
            </w:pPr>
            <w:hyperlink r:id="rId182" w:history="1">
              <w:r w:rsidR="00FA07EB" w:rsidRPr="00C34DE9">
                <w:rPr>
                  <w:rStyle w:val="Hyperlink"/>
                  <w:rFonts w:ascii="Verdana" w:hAnsi="Verdana"/>
                  <w:sz w:val="18"/>
                  <w:szCs w:val="18"/>
                  <w:lang w:val="fr-BE"/>
                </w:rPr>
                <w:t>https://ec.europa.eu/eurostat/cache/metadata/en/t2020_rn310_esmsip2.htm</w:t>
              </w:r>
            </w:hyperlink>
          </w:p>
        </w:tc>
      </w:tr>
      <w:tr w:rsidR="00FA07EB" w:rsidRPr="00C34DE9" w14:paraId="494DC441"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6A0082B9" w14:textId="77777777" w:rsidR="00FA07EB" w:rsidRPr="00C34DE9" w:rsidRDefault="00FA07EB" w:rsidP="5CB4B133">
            <w:pPr>
              <w:spacing w:after="60"/>
              <w:rPr>
                <w:rFonts w:ascii="Verdana" w:hAnsi="Verdana"/>
                <w:b/>
                <w:bCs/>
                <w:sz w:val="18"/>
                <w:szCs w:val="18"/>
              </w:rPr>
            </w:pPr>
            <w:r w:rsidRPr="5CB4B133">
              <w:rPr>
                <w:rFonts w:ascii="Verdana" w:hAnsi="Verdana"/>
                <w:b/>
                <w:bCs/>
                <w:sz w:val="18"/>
                <w:szCs w:val="18"/>
              </w:rPr>
              <w:t xml:space="preserve">Data collection </w:t>
            </w:r>
            <w:r w:rsidR="00A31E03" w:rsidRPr="5CB4B133">
              <w:rPr>
                <w:rFonts w:ascii="Verdana" w:hAnsi="Verdana"/>
                <w:b/>
                <w:bCs/>
                <w:sz w:val="18"/>
                <w:szCs w:val="18"/>
              </w:rPr>
              <w:t xml:space="preserve">/ dissemination </w:t>
            </w:r>
            <w:r w:rsidRPr="5CB4B133">
              <w:rPr>
                <w:rFonts w:ascii="Verdana" w:hAnsi="Verdana"/>
                <w:b/>
                <w:bCs/>
                <w:sz w:val="18"/>
                <w:szCs w:val="18"/>
              </w:rPr>
              <w:t>level</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30A3F582" w14:textId="77777777" w:rsidR="00FA07EB" w:rsidRPr="00C34DE9" w:rsidRDefault="00FA07EB" w:rsidP="00D6784D">
            <w:pPr>
              <w:pStyle w:val="ListParagraph"/>
              <w:spacing w:after="120"/>
              <w:ind w:left="0"/>
              <w:jc w:val="both"/>
              <w:rPr>
                <w:lang w:val="en-IE"/>
              </w:rPr>
            </w:pPr>
            <w:r w:rsidRPr="00C34DE9">
              <w:t>National</w:t>
            </w:r>
            <w:r w:rsidR="000345A1">
              <w:t xml:space="preserve"> (NUTS 0)</w:t>
            </w:r>
            <w:r w:rsidRPr="00C34DE9">
              <w:t>,</w:t>
            </w:r>
            <w:r w:rsidRPr="00C34DE9">
              <w:rPr>
                <w:lang w:val="en-IE"/>
              </w:rPr>
              <w:t xml:space="preserve"> covering </w:t>
            </w:r>
            <w:r w:rsidR="007969DD">
              <w:rPr>
                <w:lang w:val="en-IE"/>
              </w:rPr>
              <w:t xml:space="preserve">&lt;20 </w:t>
            </w:r>
            <w:r w:rsidRPr="00C34DE9">
              <w:rPr>
                <w:lang w:val="en-IE"/>
              </w:rPr>
              <w:t>countries of the EU</w:t>
            </w:r>
          </w:p>
          <w:p w14:paraId="1D0E5133" w14:textId="5C7C19C2" w:rsidR="00FA07EB" w:rsidRPr="00C34DE9" w:rsidDel="00F9611E" w:rsidRDefault="00FA07EB" w:rsidP="00D6784D">
            <w:pPr>
              <w:pStyle w:val="ListParagraph"/>
              <w:spacing w:after="120"/>
              <w:ind w:left="0"/>
              <w:jc w:val="both"/>
            </w:pPr>
          </w:p>
        </w:tc>
      </w:tr>
      <w:tr w:rsidR="00FA07EB" w:rsidRPr="00C34DE9" w14:paraId="396D21D4"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476ECA54" w14:textId="77777777" w:rsidR="00FA07EB" w:rsidRPr="00C34DE9" w:rsidRDefault="00FA07EB" w:rsidP="790C88FB">
            <w:pPr>
              <w:spacing w:after="60"/>
              <w:rPr>
                <w:rFonts w:ascii="Verdana" w:hAnsi="Verdana"/>
                <w:b/>
                <w:bCs/>
                <w:i/>
                <w:iCs/>
                <w:sz w:val="18"/>
                <w:szCs w:val="18"/>
              </w:rPr>
            </w:pPr>
            <w:r w:rsidRPr="5CB4B133">
              <w:rPr>
                <w:rFonts w:ascii="Verdana" w:hAnsi="Verdana"/>
                <w:b/>
                <w:bCs/>
                <w:sz w:val="18"/>
                <w:szCs w:val="18"/>
              </w:rPr>
              <w:t>Frequency</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0054D4C2"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Data are annual.</w:t>
            </w:r>
          </w:p>
          <w:p w14:paraId="5172BA97" w14:textId="77777777" w:rsidR="00FA07EB" w:rsidRPr="00C34DE9" w:rsidRDefault="00FA07EB" w:rsidP="00D6784D">
            <w:pPr>
              <w:spacing w:after="120"/>
              <w:jc w:val="both"/>
              <w:rPr>
                <w:rFonts w:ascii="Verdana" w:hAnsi="Verdana"/>
                <w:sz w:val="18"/>
                <w:szCs w:val="18"/>
              </w:rPr>
            </w:pPr>
            <w:r w:rsidRPr="00C34DE9">
              <w:rPr>
                <w:rFonts w:ascii="Verdana" w:hAnsi="Verdana"/>
                <w:sz w:val="18"/>
                <w:szCs w:val="18"/>
              </w:rPr>
              <w:t>Indicator is updated every two years.</w:t>
            </w:r>
          </w:p>
        </w:tc>
      </w:tr>
      <w:tr w:rsidR="00FA07EB" w:rsidRPr="00C34DE9" w14:paraId="4820AF02"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2AB78441" w14:textId="77777777" w:rsidR="00FA07EB" w:rsidRPr="00C34DE9" w:rsidRDefault="00161B7C" w:rsidP="5CB4B133">
            <w:pPr>
              <w:spacing w:after="60"/>
              <w:rPr>
                <w:rFonts w:ascii="Verdana" w:hAnsi="Verdana"/>
                <w:b/>
                <w:bCs/>
                <w:sz w:val="18"/>
                <w:szCs w:val="18"/>
              </w:rPr>
            </w:pPr>
            <w:r w:rsidRPr="5CB4B133">
              <w:rPr>
                <w:rFonts w:ascii="Verdana" w:hAnsi="Verdana"/>
                <w:b/>
                <w:bCs/>
                <w:sz w:val="18"/>
                <w:szCs w:val="18"/>
              </w:rPr>
              <w:t>Timeliness</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5D597AF7" w14:textId="77777777" w:rsidR="00FA07EB" w:rsidRPr="00C34DE9" w:rsidRDefault="00FA07EB" w:rsidP="00D6784D">
            <w:pPr>
              <w:pStyle w:val="ListParagraph"/>
              <w:spacing w:after="120"/>
              <w:ind w:left="0"/>
              <w:jc w:val="both"/>
              <w:rPr>
                <w:lang w:val="en-US"/>
              </w:rPr>
            </w:pPr>
            <w:r w:rsidRPr="00C34DE9">
              <w:rPr>
                <w:lang w:val="en-US"/>
              </w:rPr>
              <w:t>&gt; T+2 years</w:t>
            </w:r>
          </w:p>
          <w:p w14:paraId="4CCF4F44" w14:textId="77777777" w:rsidR="00FA07EB" w:rsidRPr="00C34DE9" w:rsidRDefault="00FA07EB" w:rsidP="00D6784D">
            <w:pPr>
              <w:pStyle w:val="ListParagraph"/>
              <w:spacing w:after="120"/>
              <w:ind w:left="0"/>
              <w:jc w:val="both"/>
              <w:rPr>
                <w:lang w:val="en-US"/>
              </w:rPr>
            </w:pPr>
            <w:r w:rsidRPr="00C34DE9">
              <w:rPr>
                <w:lang w:val="en-US"/>
              </w:rPr>
              <w:t>New data points are disseminated within 3 years after the reference year.</w:t>
            </w:r>
          </w:p>
        </w:tc>
      </w:tr>
      <w:tr w:rsidR="00FA07EB" w:rsidRPr="00C34DE9" w14:paraId="525AA9CB" w14:textId="77777777" w:rsidTr="25AB5374">
        <w:trPr>
          <w:jc w:val="center"/>
        </w:trPr>
        <w:tc>
          <w:tcPr>
            <w:tcW w:w="2411" w:type="dxa"/>
            <w:tcBorders>
              <w:top w:val="single" w:sz="4" w:space="0" w:color="auto"/>
              <w:left w:val="single" w:sz="4" w:space="0" w:color="auto"/>
              <w:bottom w:val="single" w:sz="4" w:space="0" w:color="auto"/>
              <w:right w:val="single" w:sz="4" w:space="0" w:color="auto"/>
            </w:tcBorders>
            <w:vAlign w:val="center"/>
          </w:tcPr>
          <w:p w14:paraId="28E6A842" w14:textId="77777777" w:rsidR="00FA07EB" w:rsidRPr="00C34DE9" w:rsidRDefault="00FA07EB" w:rsidP="5CB4B133">
            <w:pPr>
              <w:spacing w:after="60"/>
              <w:rPr>
                <w:rFonts w:ascii="Verdana" w:hAnsi="Verdana"/>
                <w:b/>
                <w:bCs/>
                <w:sz w:val="18"/>
                <w:szCs w:val="18"/>
              </w:rPr>
            </w:pPr>
            <w:r w:rsidRPr="5CB4B133">
              <w:rPr>
                <w:rFonts w:ascii="Verdana" w:hAnsi="Verdana"/>
                <w:b/>
                <w:bCs/>
                <w:sz w:val="18"/>
                <w:szCs w:val="18"/>
              </w:rPr>
              <w:t>Comments/caveats</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33D1BF39" w14:textId="77777777" w:rsidR="000345A1"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w:t>
            </w:r>
            <w:r w:rsidRPr="790C88FB">
              <w:rPr>
                <w:rFonts w:ascii="Verdana" w:hAnsi="Verdana"/>
                <w:i/>
                <w:iCs/>
                <w:sz w:val="18"/>
                <w:szCs w:val="18"/>
              </w:rPr>
              <w:t>Indication capacity</w:t>
            </w:r>
            <w:r w:rsidRPr="00A85A9D">
              <w:rPr>
                <w:rFonts w:ascii="Verdana" w:hAnsi="Verdana"/>
                <w:sz w:val="18"/>
                <w:szCs w:val="18"/>
              </w:rPr>
              <w:t xml:space="preserve">] </w:t>
            </w:r>
            <w:r w:rsidR="000345A1" w:rsidRPr="000345A1">
              <w:rPr>
                <w:rFonts w:ascii="Verdana" w:hAnsi="Verdana"/>
                <w:sz w:val="18"/>
                <w:szCs w:val="18"/>
              </w:rPr>
              <w:t>Data at national level and annual national balances can mask important regional or monthly variations.</w:t>
            </w:r>
          </w:p>
          <w:p w14:paraId="10A1BFFB"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As the indicator integrates the most important agricultural parameters with regard to potential nitrogen surplus, it is a robust measure for nutrient leaching risk, directly linked with agriculture.</w:t>
            </w:r>
          </w:p>
          <w:p w14:paraId="284EC498"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However, the indicator is only indirect; it shows the potential risks, depending on local soil conditions and farm management practices, rather than the actual water quality trends.</w:t>
            </w:r>
          </w:p>
          <w:p w14:paraId="70D8CED6"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The indicator is captive of the methodologies used to calculate coefficients and the availabilities of national coefficients, plus the recalculation of coefficients when national practices change. The use of Tier 1 approaches may prevent tracking progress and policy effectiveness. With no work on the coefficients, the only changes recorded are related to changes in production.</w:t>
            </w:r>
          </w:p>
          <w:p w14:paraId="4883DCDB" w14:textId="77777777" w:rsidR="00FA07EB" w:rsidRPr="00A85A9D" w:rsidRDefault="00FA07EB" w:rsidP="00D6784D">
            <w:pPr>
              <w:pStyle w:val="ListParagraph"/>
              <w:spacing w:after="120"/>
              <w:ind w:left="0"/>
              <w:jc w:val="both"/>
              <w:rPr>
                <w:rFonts w:ascii="Verdana" w:hAnsi="Verdana"/>
                <w:sz w:val="18"/>
                <w:szCs w:val="18"/>
              </w:rPr>
            </w:pPr>
            <w:r w:rsidRPr="00A85A9D">
              <w:rPr>
                <w:rFonts w:ascii="Verdana" w:hAnsi="Verdana"/>
                <w:sz w:val="18"/>
                <w:szCs w:val="18"/>
              </w:rPr>
              <w:t>Data are not comparable between countries, but the trends are.</w:t>
            </w:r>
          </w:p>
          <w:p w14:paraId="05BC93CE" w14:textId="77777777" w:rsidR="00FA07EB" w:rsidRPr="00A85A9D" w:rsidRDefault="00FA07EB" w:rsidP="00D6784D">
            <w:pPr>
              <w:pStyle w:val="ListParagraph"/>
              <w:spacing w:after="120"/>
              <w:ind w:left="0"/>
              <w:jc w:val="both"/>
              <w:rPr>
                <w:rFonts w:ascii="Verdana" w:hAnsi="Verdana"/>
                <w:sz w:val="18"/>
                <w:szCs w:val="18"/>
              </w:rPr>
            </w:pPr>
            <w:r w:rsidRPr="790C88FB">
              <w:rPr>
                <w:rFonts w:ascii="Verdana" w:hAnsi="Verdana"/>
                <w:i/>
                <w:iCs/>
                <w:sz w:val="18"/>
                <w:szCs w:val="18"/>
              </w:rPr>
              <w:t xml:space="preserve">[Readily available?]: </w:t>
            </w:r>
            <w:r w:rsidRPr="00A85A9D">
              <w:rPr>
                <w:rFonts w:ascii="Verdana" w:hAnsi="Verdana"/>
                <w:sz w:val="18"/>
                <w:szCs w:val="18"/>
              </w:rPr>
              <w:t>The indicator is already available 2004-2015 for EU-28. As of reference year 2016, it will be available for all EU MS who submit the necessary data to Eurostat, currently around 17 countries.</w:t>
            </w:r>
          </w:p>
          <w:p w14:paraId="2E7EFBF0" w14:textId="77777777" w:rsidR="00FA07EB" w:rsidRPr="00A85A9D" w:rsidRDefault="00FA07EB" w:rsidP="00D6784D">
            <w:pPr>
              <w:pStyle w:val="ListParagraph"/>
              <w:spacing w:after="120"/>
              <w:ind w:left="0"/>
              <w:jc w:val="both"/>
              <w:rPr>
                <w:rFonts w:ascii="Verdana" w:hAnsi="Verdana"/>
                <w:sz w:val="18"/>
                <w:szCs w:val="18"/>
              </w:rPr>
            </w:pPr>
            <w:r w:rsidRPr="790C88FB">
              <w:rPr>
                <w:rFonts w:ascii="Verdana" w:hAnsi="Verdana"/>
                <w:i/>
                <w:iCs/>
                <w:sz w:val="18"/>
                <w:szCs w:val="18"/>
              </w:rPr>
              <w:t>[Downscaling</w:t>
            </w:r>
            <w:r w:rsidRPr="00A85A9D">
              <w:rPr>
                <w:rFonts w:ascii="Verdana" w:hAnsi="Verdana"/>
                <w:sz w:val="18"/>
                <w:szCs w:val="18"/>
              </w:rPr>
              <w:t>] In the future, it could be considered how to make data available at regional (NUTS 2) level, using JRC modelling data, or with MS data when they have them available.</w:t>
            </w:r>
          </w:p>
          <w:p w14:paraId="5893DF35" w14:textId="66C3AABE" w:rsidR="00FA07EB" w:rsidRPr="00A85A9D" w:rsidRDefault="00FA07EB" w:rsidP="00D6784D">
            <w:pPr>
              <w:pStyle w:val="ListParagraph"/>
              <w:spacing w:after="120"/>
              <w:ind w:left="0"/>
              <w:jc w:val="both"/>
              <w:rPr>
                <w:rFonts w:ascii="Verdana" w:hAnsi="Verdana"/>
                <w:sz w:val="18"/>
                <w:szCs w:val="18"/>
              </w:rPr>
            </w:pPr>
            <w:r w:rsidRPr="25AB5374">
              <w:rPr>
                <w:rFonts w:ascii="Verdana" w:hAnsi="Verdana"/>
                <w:i/>
                <w:iCs/>
                <w:sz w:val="18"/>
                <w:szCs w:val="18"/>
              </w:rPr>
              <w:t xml:space="preserve">[Quality:] </w:t>
            </w:r>
            <w:r w:rsidRPr="00A85A9D">
              <w:rPr>
                <w:rFonts w:ascii="Verdana" w:hAnsi="Verdana"/>
                <w:sz w:val="18"/>
                <w:szCs w:val="18"/>
              </w:rPr>
              <w:t>Details on accuracy can be found in the metadata of the source datasets. There is high uncertainty in some coefficients used.</w:t>
            </w:r>
          </w:p>
          <w:p w14:paraId="664A7AEC" w14:textId="06978EE3" w:rsidR="00D34F97" w:rsidRPr="00E814F5" w:rsidRDefault="00CA7127" w:rsidP="00D6784D">
            <w:pPr>
              <w:pStyle w:val="ListParagraph"/>
              <w:spacing w:after="120"/>
              <w:ind w:left="0"/>
              <w:jc w:val="both"/>
              <w:rPr>
                <w:rFonts w:ascii="Verdana" w:hAnsi="Verdana"/>
                <w:sz w:val="18"/>
                <w:szCs w:val="18"/>
              </w:rPr>
            </w:pPr>
            <w:r w:rsidRPr="00A85A9D">
              <w:rPr>
                <w:rFonts w:ascii="Verdana" w:hAnsi="Verdana"/>
                <w:sz w:val="18"/>
                <w:szCs w:val="18"/>
              </w:rPr>
              <w:t>The problem is that the indicator is only a snapshot at a point in time. It does not consider the past-cumulated surplus. I</w:t>
            </w:r>
            <w:r w:rsidR="008E6BE1" w:rsidRPr="00A85A9D">
              <w:rPr>
                <w:rFonts w:ascii="Verdana" w:hAnsi="Verdana"/>
                <w:sz w:val="18"/>
                <w:szCs w:val="18"/>
              </w:rPr>
              <w:t>.</w:t>
            </w:r>
            <w:r w:rsidRPr="00A85A9D">
              <w:rPr>
                <w:rFonts w:ascii="Verdana" w:hAnsi="Verdana"/>
                <w:sz w:val="18"/>
                <w:szCs w:val="18"/>
              </w:rPr>
              <w:t xml:space="preserve">e, the risk to water quality degradation does not come from the actual surplus, but also from past surpluses. </w:t>
            </w:r>
          </w:p>
        </w:tc>
      </w:tr>
    </w:tbl>
    <w:p w14:paraId="7B30A676" w14:textId="77777777" w:rsidR="00FA07EB" w:rsidRPr="00C34DE9" w:rsidRDefault="00FA07EB" w:rsidP="00544872">
      <w:pPr>
        <w:spacing w:after="60"/>
        <w:rPr>
          <w:rFonts w:ascii="Verdana" w:hAnsi="Verdana"/>
          <w:sz w:val="18"/>
          <w:szCs w:val="18"/>
        </w:rPr>
      </w:pPr>
    </w:p>
    <w:p w14:paraId="146EF548" w14:textId="77777777" w:rsidR="00236D69" w:rsidRPr="00C34DE9" w:rsidRDefault="00BB0FF1" w:rsidP="00544872">
      <w:pPr>
        <w:spacing w:after="60"/>
        <w:rPr>
          <w:rFonts w:ascii="Verdana" w:hAnsi="Verdana"/>
          <w:sz w:val="18"/>
          <w:szCs w:val="18"/>
        </w:rPr>
      </w:pPr>
      <w:r w:rsidRPr="00C34DE9">
        <w:rPr>
          <w:rFonts w:ascii="Verdana" w:hAnsi="Verdana"/>
          <w:sz w:val="18"/>
          <w:szCs w:val="18"/>
        </w:rPr>
        <w:br w:type="page"/>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766"/>
      </w:tblGrid>
      <w:tr w:rsidR="00263438" w:rsidRPr="00C34DE9" w14:paraId="23FDB9F7"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shd w:val="clear" w:color="auto" w:fill="00B0F0"/>
            <w:vAlign w:val="center"/>
          </w:tcPr>
          <w:p w14:paraId="7FC47ABB" w14:textId="1C02EBC0" w:rsidR="00263438" w:rsidRPr="00C34DE9" w:rsidRDefault="00263438" w:rsidP="00340D8D">
            <w:pPr>
              <w:spacing w:after="60"/>
              <w:rPr>
                <w:rFonts w:ascii="Verdana" w:hAnsi="Verdana"/>
                <w:b/>
                <w:bCs/>
                <w:sz w:val="18"/>
                <w:szCs w:val="18"/>
              </w:rPr>
            </w:pPr>
            <w:bookmarkStart w:id="57" w:name="C38_Gross_Nutrient_Balance_phosphorus"/>
            <w:r w:rsidRPr="5CB4B133">
              <w:rPr>
                <w:rFonts w:ascii="Verdana" w:hAnsi="Verdana"/>
                <w:b/>
                <w:bCs/>
                <w:smallCaps/>
                <w:sz w:val="18"/>
                <w:szCs w:val="18"/>
              </w:rPr>
              <w:lastRenderedPageBreak/>
              <w:t>Indicator C.3</w:t>
            </w:r>
            <w:r w:rsidR="00340D8D">
              <w:rPr>
                <w:rFonts w:ascii="Verdana" w:hAnsi="Verdana"/>
                <w:b/>
                <w:bCs/>
                <w:smallCaps/>
                <w:sz w:val="18"/>
                <w:szCs w:val="18"/>
              </w:rPr>
              <w:t>9</w:t>
            </w:r>
            <w:bookmarkEnd w:id="57"/>
          </w:p>
        </w:tc>
        <w:tc>
          <w:tcPr>
            <w:tcW w:w="7766" w:type="dxa"/>
            <w:tcBorders>
              <w:top w:val="single" w:sz="4" w:space="0" w:color="auto"/>
              <w:left w:val="single" w:sz="4" w:space="0" w:color="auto"/>
              <w:bottom w:val="single" w:sz="4" w:space="0" w:color="auto"/>
              <w:right w:val="single" w:sz="4" w:space="0" w:color="auto"/>
            </w:tcBorders>
            <w:shd w:val="clear" w:color="auto" w:fill="00B0F0"/>
          </w:tcPr>
          <w:p w14:paraId="2FA56540" w14:textId="77777777" w:rsidR="00263438" w:rsidRPr="005274D1" w:rsidRDefault="00263438" w:rsidP="5CB4B133">
            <w:pPr>
              <w:spacing w:after="60"/>
              <w:rPr>
                <w:rFonts w:ascii="Verdana" w:hAnsi="Verdana"/>
                <w:b/>
                <w:bCs/>
                <w:caps/>
                <w:sz w:val="18"/>
                <w:szCs w:val="18"/>
              </w:rPr>
            </w:pPr>
            <w:r w:rsidRPr="5CB4B133">
              <w:rPr>
                <w:rFonts w:ascii="Verdana" w:hAnsi="Verdana"/>
                <w:b/>
                <w:bCs/>
                <w:sz w:val="18"/>
                <w:szCs w:val="18"/>
              </w:rPr>
              <w:t>Indicator I.15 Improving water quality:</w:t>
            </w:r>
          </w:p>
          <w:p w14:paraId="772A11E7" w14:textId="77777777" w:rsidR="00263438" w:rsidRPr="00C34DE9" w:rsidRDefault="00263438" w:rsidP="5CB4B133">
            <w:pPr>
              <w:spacing w:after="60"/>
              <w:rPr>
                <w:rFonts w:ascii="Verdana" w:hAnsi="Verdana"/>
                <w:b/>
                <w:bCs/>
                <w:caps/>
                <w:sz w:val="18"/>
                <w:szCs w:val="18"/>
              </w:rPr>
            </w:pPr>
            <w:r>
              <w:rPr>
                <w:rFonts w:ascii="Verdana" w:hAnsi="Verdana"/>
                <w:sz w:val="18"/>
                <w:szCs w:val="18"/>
              </w:rPr>
              <w:t>G</w:t>
            </w:r>
            <w:r w:rsidRPr="005274D1">
              <w:rPr>
                <w:rFonts w:ascii="Verdana" w:hAnsi="Verdana"/>
                <w:sz w:val="18"/>
                <w:szCs w:val="18"/>
              </w:rPr>
              <w:t>ross nutrient balance on agricultural land</w:t>
            </w:r>
          </w:p>
        </w:tc>
      </w:tr>
      <w:tr w:rsidR="00B66B1A" w:rsidRPr="0060145A" w14:paraId="135894FD"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57D3F3B3"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Indicator Name</w:t>
            </w:r>
          </w:p>
        </w:tc>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14:paraId="7938F1FD" w14:textId="77777777" w:rsidR="00BB0FF1" w:rsidRPr="00C34DE9" w:rsidRDefault="0060145A" w:rsidP="5CB4B133">
            <w:pPr>
              <w:spacing w:after="60"/>
              <w:jc w:val="center"/>
              <w:rPr>
                <w:rFonts w:ascii="Verdana" w:hAnsi="Verdana"/>
                <w:b/>
                <w:bCs/>
                <w:sz w:val="18"/>
                <w:szCs w:val="18"/>
              </w:rPr>
            </w:pPr>
            <w:r w:rsidRPr="5CB4B133">
              <w:rPr>
                <w:rFonts w:ascii="Verdana" w:hAnsi="Verdana"/>
                <w:b/>
                <w:bCs/>
                <w:sz w:val="18"/>
                <w:szCs w:val="18"/>
              </w:rPr>
              <w:t>Water</w:t>
            </w:r>
            <w:r w:rsidR="00BB0FF1" w:rsidRPr="5CB4B133">
              <w:rPr>
                <w:rFonts w:ascii="Verdana" w:hAnsi="Verdana"/>
                <w:b/>
                <w:bCs/>
                <w:sz w:val="18"/>
                <w:szCs w:val="18"/>
              </w:rPr>
              <w:t xml:space="preserve"> </w:t>
            </w:r>
            <w:r w:rsidRPr="5CB4B133">
              <w:rPr>
                <w:rFonts w:ascii="Verdana" w:hAnsi="Verdana"/>
                <w:b/>
                <w:bCs/>
                <w:sz w:val="18"/>
                <w:szCs w:val="18"/>
              </w:rPr>
              <w:t>quality</w:t>
            </w:r>
          </w:p>
          <w:p w14:paraId="18A8808E" w14:textId="77777777" w:rsidR="00B66B1A" w:rsidRPr="000345A1" w:rsidRDefault="00B66B1A" w:rsidP="00665997">
            <w:pPr>
              <w:pStyle w:val="ListParagraph"/>
              <w:numPr>
                <w:ilvl w:val="0"/>
                <w:numId w:val="99"/>
              </w:numPr>
              <w:spacing w:after="60"/>
              <w:jc w:val="center"/>
              <w:rPr>
                <w:rFonts w:ascii="Verdana" w:hAnsi="Verdana"/>
                <w:b/>
                <w:bCs/>
                <w:sz w:val="18"/>
                <w:szCs w:val="18"/>
                <w:lang w:val="fr-BE"/>
              </w:rPr>
            </w:pPr>
            <w:r w:rsidRPr="00614D7E">
              <w:rPr>
                <w:rFonts w:ascii="Verdana" w:hAnsi="Verdana"/>
                <w:b/>
                <w:bCs/>
                <w:color w:val="000000"/>
                <w:sz w:val="18"/>
                <w:szCs w:val="18"/>
                <w:shd w:val="clear" w:color="auto" w:fill="00B0F0"/>
                <w:lang w:val="fr-BE"/>
              </w:rPr>
              <w:t>G</w:t>
            </w:r>
            <w:r w:rsidR="0060145A" w:rsidRPr="00614D7E">
              <w:rPr>
                <w:rFonts w:ascii="Verdana" w:hAnsi="Verdana"/>
                <w:b/>
                <w:bCs/>
                <w:color w:val="000000"/>
                <w:sz w:val="18"/>
                <w:szCs w:val="18"/>
                <w:shd w:val="clear" w:color="auto" w:fill="00B0F0"/>
                <w:lang w:val="fr-BE"/>
              </w:rPr>
              <w:t>ross nutrient balance</w:t>
            </w:r>
            <w:r w:rsidRPr="00614D7E">
              <w:rPr>
                <w:rFonts w:ascii="Verdana" w:hAnsi="Verdana"/>
                <w:b/>
                <w:bCs/>
                <w:color w:val="000000"/>
                <w:sz w:val="18"/>
                <w:szCs w:val="18"/>
                <w:shd w:val="clear" w:color="auto" w:fill="00B0F0"/>
                <w:lang w:val="fr-BE"/>
              </w:rPr>
              <w:t xml:space="preserve"> – phosphorus</w:t>
            </w:r>
            <w:r w:rsidRPr="3F2573B5">
              <w:rPr>
                <w:rFonts w:ascii="Verdana" w:hAnsi="Verdana"/>
                <w:b/>
                <w:bCs/>
                <w:color w:val="000000"/>
                <w:sz w:val="18"/>
                <w:szCs w:val="18"/>
                <w:lang w:val="fr-BE"/>
              </w:rPr>
              <w:t xml:space="preserve"> </w:t>
            </w:r>
          </w:p>
        </w:tc>
      </w:tr>
      <w:tr w:rsidR="00B66B1A" w:rsidRPr="00C34DE9" w14:paraId="64774C6E"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485879BD"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Definition</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05431A9C" w14:textId="77777777" w:rsidR="00B66B1A" w:rsidRPr="00C34DE9" w:rsidRDefault="00B66B1A" w:rsidP="00B66B1A">
            <w:pPr>
              <w:spacing w:before="120" w:after="60"/>
              <w:jc w:val="both"/>
              <w:rPr>
                <w:rFonts w:ascii="Verdana" w:hAnsi="Verdana"/>
                <w:sz w:val="18"/>
                <w:szCs w:val="18"/>
              </w:rPr>
            </w:pPr>
            <w:r w:rsidRPr="5CB4B133">
              <w:rPr>
                <w:rFonts w:ascii="Verdana" w:hAnsi="Verdana"/>
                <w:b/>
                <w:bCs/>
                <w:sz w:val="18"/>
                <w:szCs w:val="18"/>
                <w:u w:val="single"/>
              </w:rPr>
              <w:t>Gross Phosphorus Balance</w:t>
            </w:r>
            <w:r w:rsidRPr="5CB4B133">
              <w:rPr>
                <w:rFonts w:ascii="Verdana" w:hAnsi="Verdana"/>
                <w:b/>
                <w:bCs/>
                <w:sz w:val="18"/>
                <w:szCs w:val="18"/>
              </w:rPr>
              <w:t xml:space="preserve"> (GNB-P)</w:t>
            </w:r>
            <w:r w:rsidRPr="00C34DE9">
              <w:rPr>
                <w:rFonts w:ascii="Verdana" w:hAnsi="Verdana"/>
                <w:sz w:val="18"/>
                <w:szCs w:val="18"/>
              </w:rPr>
              <w:t>: Potential surplus of phosphorus on agricultural land (Gross Phosphorus Surplus).</w:t>
            </w:r>
          </w:p>
          <w:p w14:paraId="7A608911" w14:textId="77777777" w:rsidR="00B66B1A" w:rsidRPr="00C34DE9" w:rsidRDefault="00B66B1A" w:rsidP="0001316B">
            <w:pPr>
              <w:spacing w:after="60"/>
              <w:jc w:val="both"/>
              <w:rPr>
                <w:rFonts w:ascii="Verdana" w:hAnsi="Verdana"/>
                <w:sz w:val="18"/>
                <w:szCs w:val="18"/>
              </w:rPr>
            </w:pPr>
            <w:r w:rsidRPr="00C34DE9">
              <w:rPr>
                <w:rFonts w:ascii="Verdana" w:hAnsi="Verdana"/>
                <w:sz w:val="18"/>
                <w:szCs w:val="18"/>
              </w:rPr>
              <w:t>The gross nutrient balance provide</w:t>
            </w:r>
            <w:r w:rsidR="0001316B" w:rsidRPr="00C34DE9">
              <w:rPr>
                <w:rFonts w:ascii="Verdana" w:hAnsi="Verdana"/>
                <w:sz w:val="18"/>
                <w:szCs w:val="18"/>
              </w:rPr>
              <w:t>s</w:t>
            </w:r>
            <w:r w:rsidRPr="00C34DE9">
              <w:rPr>
                <w:rFonts w:ascii="Verdana" w:hAnsi="Verdana"/>
                <w:sz w:val="18"/>
                <w:szCs w:val="18"/>
              </w:rPr>
              <w:t xml:space="preserve"> an estimate of the potential water pollution. </w:t>
            </w:r>
            <w:r w:rsidR="0001316B" w:rsidRPr="00C34DE9">
              <w:rPr>
                <w:rFonts w:ascii="Verdana" w:hAnsi="Verdana"/>
                <w:sz w:val="18"/>
                <w:szCs w:val="18"/>
              </w:rPr>
              <w:t>It</w:t>
            </w:r>
            <w:r w:rsidRPr="00C34DE9">
              <w:rPr>
                <w:rFonts w:ascii="Verdana" w:hAnsi="Verdana"/>
                <w:sz w:val="18"/>
                <w:szCs w:val="18"/>
              </w:rPr>
              <w:t xml:space="preserve"> represent</w:t>
            </w:r>
            <w:r w:rsidR="0001316B" w:rsidRPr="00C34DE9">
              <w:rPr>
                <w:rFonts w:ascii="Verdana" w:hAnsi="Verdana"/>
                <w:sz w:val="18"/>
                <w:szCs w:val="18"/>
              </w:rPr>
              <w:t>s</w:t>
            </w:r>
            <w:r w:rsidRPr="00C34DE9">
              <w:rPr>
                <w:rFonts w:ascii="Verdana" w:hAnsi="Verdana"/>
                <w:sz w:val="18"/>
                <w:szCs w:val="18"/>
              </w:rPr>
              <w:t xml:space="preserve"> the total potential threat of phosphorus surplus in agricultural soils</w:t>
            </w:r>
            <w:r w:rsidR="0001316B" w:rsidRPr="00C34DE9">
              <w:rPr>
                <w:rFonts w:ascii="Verdana" w:hAnsi="Verdana"/>
                <w:sz w:val="18"/>
                <w:szCs w:val="18"/>
              </w:rPr>
              <w:t xml:space="preserve"> to the environment. When </w:t>
            </w:r>
            <w:r w:rsidRPr="00C34DE9">
              <w:rPr>
                <w:rFonts w:ascii="Verdana" w:hAnsi="Verdana"/>
                <w:sz w:val="18"/>
                <w:szCs w:val="18"/>
              </w:rPr>
              <w:t xml:space="preserve">P </w:t>
            </w:r>
            <w:r w:rsidR="0001316B" w:rsidRPr="00C34DE9">
              <w:rPr>
                <w:rFonts w:ascii="Verdana" w:hAnsi="Verdana"/>
                <w:sz w:val="18"/>
                <w:szCs w:val="18"/>
              </w:rPr>
              <w:t>is</w:t>
            </w:r>
            <w:r w:rsidRPr="00C34DE9">
              <w:rPr>
                <w:rFonts w:ascii="Verdana" w:hAnsi="Verdana"/>
                <w:sz w:val="18"/>
                <w:szCs w:val="18"/>
              </w:rPr>
              <w:t xml:space="preserve"> applied in excess, </w:t>
            </w:r>
            <w:r w:rsidR="0001316B" w:rsidRPr="00C34DE9">
              <w:rPr>
                <w:rFonts w:ascii="Verdana" w:hAnsi="Verdana"/>
                <w:sz w:val="18"/>
                <w:szCs w:val="18"/>
              </w:rPr>
              <w:t>it</w:t>
            </w:r>
            <w:r w:rsidRPr="00C34DE9">
              <w:rPr>
                <w:rFonts w:ascii="Verdana" w:hAnsi="Verdana"/>
                <w:sz w:val="18"/>
                <w:szCs w:val="18"/>
              </w:rPr>
              <w:t xml:space="preserve"> can cause surface and groundwater (including drinking water</w:t>
            </w:r>
            <w:r w:rsidR="0001316B" w:rsidRPr="00C34DE9">
              <w:rPr>
                <w:rFonts w:ascii="Verdana" w:hAnsi="Verdana"/>
                <w:sz w:val="18"/>
                <w:szCs w:val="18"/>
              </w:rPr>
              <w:t>) pollution and eutrophication.</w:t>
            </w:r>
          </w:p>
        </w:tc>
      </w:tr>
      <w:tr w:rsidR="00B66B1A" w:rsidRPr="00C34DE9" w14:paraId="37A25701" w14:textId="77777777" w:rsidTr="790C88FB">
        <w:trPr>
          <w:trHeight w:val="454"/>
          <w:jc w:val="center"/>
        </w:trPr>
        <w:tc>
          <w:tcPr>
            <w:tcW w:w="2710" w:type="dxa"/>
            <w:tcBorders>
              <w:top w:val="single" w:sz="4" w:space="0" w:color="auto"/>
              <w:left w:val="single" w:sz="4" w:space="0" w:color="auto"/>
              <w:bottom w:val="single" w:sz="4" w:space="0" w:color="auto"/>
              <w:right w:val="single" w:sz="4" w:space="0" w:color="auto"/>
            </w:tcBorders>
            <w:vAlign w:val="center"/>
          </w:tcPr>
          <w:p w14:paraId="4FBC1085"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14:paraId="7CD2A21E" w14:textId="17BB9585" w:rsidR="00B66B1A" w:rsidRPr="00C34DE9" w:rsidRDefault="0001316B" w:rsidP="000345A1">
            <w:pPr>
              <w:spacing w:after="60"/>
              <w:jc w:val="both"/>
              <w:rPr>
                <w:rFonts w:ascii="Verdana" w:hAnsi="Verdana"/>
                <w:sz w:val="18"/>
                <w:szCs w:val="18"/>
              </w:rPr>
            </w:pPr>
            <w:r w:rsidRPr="00C34DE9">
              <w:rPr>
                <w:rFonts w:ascii="Verdana" w:hAnsi="Verdana"/>
                <w:sz w:val="18"/>
                <w:szCs w:val="18"/>
              </w:rPr>
              <w:t>kg P/ ha/ year.</w:t>
            </w:r>
          </w:p>
        </w:tc>
      </w:tr>
      <w:tr w:rsidR="00B66B1A" w:rsidRPr="00C34DE9" w14:paraId="7C50ED51"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69F08FD0" w14:textId="77777777" w:rsidR="00B66B1A" w:rsidRPr="00C34DE9" w:rsidRDefault="00B66B1A" w:rsidP="790C88FB">
            <w:pPr>
              <w:spacing w:after="60"/>
              <w:rPr>
                <w:rFonts w:ascii="Verdana" w:hAnsi="Verdana"/>
                <w:i/>
                <w:iCs/>
                <w:sz w:val="18"/>
                <w:szCs w:val="18"/>
              </w:rPr>
            </w:pPr>
            <w:r w:rsidRPr="5CB4B133">
              <w:rPr>
                <w:rFonts w:ascii="Verdana" w:hAnsi="Verdana"/>
                <w:b/>
                <w:bCs/>
                <w:sz w:val="18"/>
                <w:szCs w:val="18"/>
              </w:rPr>
              <w:t>Data source</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4CC9FF38" w14:textId="77777777" w:rsidR="00B66B1A" w:rsidRPr="00D255E5" w:rsidRDefault="00B66B1A" w:rsidP="004921A1">
            <w:pPr>
              <w:pStyle w:val="ListParagraph"/>
              <w:spacing w:after="120"/>
              <w:ind w:left="0"/>
              <w:jc w:val="both"/>
              <w:rPr>
                <w:rFonts w:ascii="Verdana" w:hAnsi="Verdana"/>
                <w:sz w:val="18"/>
                <w:szCs w:val="18"/>
                <w:lang w:val="en-IE"/>
              </w:rPr>
            </w:pPr>
            <w:r w:rsidRPr="00D255E5">
              <w:rPr>
                <w:rFonts w:ascii="Verdana" w:hAnsi="Verdana"/>
                <w:sz w:val="18"/>
                <w:szCs w:val="18"/>
                <w:lang w:val="en-IE"/>
              </w:rPr>
              <w:t xml:space="preserve">Statistical Office of the European Union (Eurostat), based on data reported by the countries (only available for those countries that report). </w:t>
            </w:r>
          </w:p>
        </w:tc>
      </w:tr>
      <w:tr w:rsidR="00B66B1A" w:rsidRPr="00693B7B" w14:paraId="001E58DA"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47AD44CC" w14:textId="77777777" w:rsidR="00B66B1A" w:rsidRPr="00C34DE9" w:rsidRDefault="00B66B1A"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5D351010" w14:textId="77777777" w:rsidR="00B66B1A" w:rsidRPr="00C34DE9" w:rsidRDefault="00B66B1A" w:rsidP="004921A1">
            <w:pPr>
              <w:pStyle w:val="NoSpacing"/>
              <w:spacing w:after="120"/>
              <w:rPr>
                <w:rStyle w:val="leaf"/>
                <w:rFonts w:ascii="Verdana" w:hAnsi="Verdana"/>
                <w:color w:val="000000"/>
                <w:sz w:val="18"/>
                <w:szCs w:val="18"/>
                <w:lang w:val="fr-BE"/>
              </w:rPr>
            </w:pPr>
            <w:r w:rsidRPr="00C34DE9">
              <w:rPr>
                <w:rFonts w:ascii="Verdana" w:hAnsi="Verdana"/>
                <w:sz w:val="18"/>
                <w:szCs w:val="18"/>
                <w:lang w:val="fr-BE"/>
              </w:rPr>
              <w:t xml:space="preserve">Eurostat: </w:t>
            </w:r>
            <w:r w:rsidRPr="00C34DE9">
              <w:rPr>
                <w:rStyle w:val="leaf"/>
                <w:rFonts w:ascii="Verdana" w:hAnsi="Verdana"/>
                <w:color w:val="000000"/>
                <w:sz w:val="18"/>
                <w:szCs w:val="18"/>
                <w:lang w:val="fr-BE"/>
              </w:rPr>
              <w:t>Gross nutrient balance (</w:t>
            </w:r>
            <w:hyperlink r:id="rId183" w:history="1">
              <w:r w:rsidRPr="00ED38D8">
                <w:rPr>
                  <w:rStyle w:val="Hyperlink"/>
                  <w:rFonts w:ascii="Verdana" w:hAnsi="Verdana"/>
                  <w:sz w:val="18"/>
                  <w:szCs w:val="18"/>
                  <w:lang w:val="fr-BE"/>
                </w:rPr>
                <w:t>aei_pr_gnb</w:t>
              </w:r>
            </w:hyperlink>
            <w:r w:rsidRPr="00C34DE9">
              <w:rPr>
                <w:rStyle w:val="leaf"/>
                <w:rFonts w:ascii="Verdana" w:hAnsi="Verdana"/>
                <w:color w:val="000000"/>
                <w:sz w:val="18"/>
                <w:szCs w:val="18"/>
                <w:lang w:val="fr-BE"/>
              </w:rPr>
              <w:t xml:space="preserve">) </w:t>
            </w:r>
          </w:p>
          <w:p w14:paraId="57B61A5D" w14:textId="77777777" w:rsidR="00B66B1A" w:rsidRPr="00C34DE9" w:rsidRDefault="00AA07F1" w:rsidP="004921A1">
            <w:pPr>
              <w:pStyle w:val="NoSpacing"/>
              <w:spacing w:after="120"/>
              <w:rPr>
                <w:rFonts w:ascii="Verdana" w:hAnsi="Verdana"/>
                <w:sz w:val="18"/>
                <w:szCs w:val="18"/>
                <w:lang w:val="fr-BE"/>
              </w:rPr>
            </w:pPr>
            <w:hyperlink r:id="rId184" w:history="1">
              <w:r w:rsidR="00B66B1A" w:rsidRPr="00C34DE9">
                <w:rPr>
                  <w:rStyle w:val="Hyperlink"/>
                  <w:rFonts w:ascii="Verdana" w:hAnsi="Verdana"/>
                  <w:sz w:val="18"/>
                  <w:szCs w:val="18"/>
                  <w:lang w:val="fr-BE"/>
                </w:rPr>
                <w:t>https://ec.europa.eu/eurostat/cache/metadata/en/t2020_rn310_esmsip2.htm</w:t>
              </w:r>
            </w:hyperlink>
          </w:p>
        </w:tc>
      </w:tr>
      <w:tr w:rsidR="00B66B1A" w:rsidRPr="00C34DE9" w14:paraId="207BA331"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2743485D" w14:textId="77777777" w:rsidR="00B66B1A" w:rsidRPr="00C34DE9" w:rsidRDefault="00B66B1A" w:rsidP="5CB4B133">
            <w:pPr>
              <w:spacing w:after="60"/>
              <w:rPr>
                <w:rFonts w:ascii="Verdana" w:hAnsi="Verdana"/>
                <w:b/>
                <w:bCs/>
                <w:sz w:val="18"/>
                <w:szCs w:val="18"/>
              </w:rPr>
            </w:pPr>
            <w:r w:rsidRPr="5CB4B133">
              <w:rPr>
                <w:rFonts w:ascii="Verdana" w:hAnsi="Verdana"/>
                <w:b/>
                <w:bCs/>
                <w:sz w:val="18"/>
                <w:szCs w:val="18"/>
              </w:rPr>
              <w:t>Data collection level</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5B3BCEDC" w14:textId="77777777" w:rsidR="00B66B1A" w:rsidRPr="00C34DE9" w:rsidDel="00F9611E" w:rsidRDefault="00B66B1A" w:rsidP="00225AAB">
            <w:pPr>
              <w:pStyle w:val="ListParagraph"/>
              <w:spacing w:after="120"/>
              <w:ind w:left="0"/>
              <w:jc w:val="both"/>
              <w:rPr>
                <w:lang w:val="en-IE"/>
              </w:rPr>
            </w:pPr>
            <w:r w:rsidRPr="00C34DE9">
              <w:t>National</w:t>
            </w:r>
            <w:r w:rsidR="000345A1">
              <w:t xml:space="preserve"> (NUTS 0)</w:t>
            </w:r>
            <w:r w:rsidRPr="00C34DE9">
              <w:t>,</w:t>
            </w:r>
            <w:r w:rsidRPr="00C34DE9">
              <w:rPr>
                <w:lang w:val="en-IE"/>
              </w:rPr>
              <w:t xml:space="preserve"> covering </w:t>
            </w:r>
            <w:r w:rsidR="00225AAB">
              <w:rPr>
                <w:lang w:val="en-IE"/>
              </w:rPr>
              <w:t>&lt;20</w:t>
            </w:r>
            <w:r w:rsidR="00225AAB" w:rsidRPr="00C34DE9">
              <w:rPr>
                <w:lang w:val="en-IE"/>
              </w:rPr>
              <w:t xml:space="preserve"> </w:t>
            </w:r>
            <w:r w:rsidRPr="00C34DE9">
              <w:rPr>
                <w:lang w:val="en-IE"/>
              </w:rPr>
              <w:t>countries of the EU</w:t>
            </w:r>
          </w:p>
        </w:tc>
      </w:tr>
      <w:tr w:rsidR="00B66B1A" w:rsidRPr="00C34DE9" w14:paraId="73546863"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42305D67" w14:textId="77777777" w:rsidR="00B66B1A" w:rsidRPr="00C34DE9" w:rsidRDefault="00B66B1A" w:rsidP="790C88FB">
            <w:pPr>
              <w:spacing w:after="60"/>
              <w:rPr>
                <w:rFonts w:ascii="Verdana" w:hAnsi="Verdana"/>
                <w:b/>
                <w:bCs/>
                <w:i/>
                <w:iCs/>
                <w:sz w:val="18"/>
                <w:szCs w:val="18"/>
              </w:rPr>
            </w:pPr>
            <w:r w:rsidRPr="5CB4B133">
              <w:rPr>
                <w:rFonts w:ascii="Verdana" w:hAnsi="Verdana"/>
                <w:b/>
                <w:bCs/>
                <w:sz w:val="18"/>
                <w:szCs w:val="18"/>
              </w:rPr>
              <w:t>Frequency</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547C00A6" w14:textId="77777777" w:rsidR="00B66B1A" w:rsidRPr="00C34DE9" w:rsidRDefault="00B66B1A" w:rsidP="004921A1">
            <w:pPr>
              <w:spacing w:after="120"/>
              <w:jc w:val="both"/>
              <w:rPr>
                <w:rFonts w:ascii="Verdana" w:hAnsi="Verdana"/>
                <w:sz w:val="18"/>
                <w:szCs w:val="18"/>
              </w:rPr>
            </w:pPr>
            <w:r w:rsidRPr="00C34DE9">
              <w:rPr>
                <w:rFonts w:ascii="Verdana" w:hAnsi="Verdana"/>
                <w:sz w:val="18"/>
                <w:szCs w:val="18"/>
              </w:rPr>
              <w:t>Data are annual.</w:t>
            </w:r>
          </w:p>
          <w:p w14:paraId="3431BE0B" w14:textId="77777777" w:rsidR="00B66B1A" w:rsidRPr="00C34DE9" w:rsidRDefault="00B66B1A" w:rsidP="004921A1">
            <w:pPr>
              <w:spacing w:after="120"/>
              <w:jc w:val="both"/>
              <w:rPr>
                <w:rFonts w:ascii="Verdana" w:hAnsi="Verdana"/>
                <w:sz w:val="18"/>
                <w:szCs w:val="18"/>
              </w:rPr>
            </w:pPr>
            <w:r w:rsidRPr="00C34DE9">
              <w:rPr>
                <w:rFonts w:ascii="Verdana" w:hAnsi="Verdana"/>
                <w:sz w:val="18"/>
                <w:szCs w:val="18"/>
              </w:rPr>
              <w:t>Indicator is updated every two years.</w:t>
            </w:r>
          </w:p>
        </w:tc>
      </w:tr>
      <w:tr w:rsidR="00B66B1A" w:rsidRPr="00C34DE9" w14:paraId="414A7649"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0835873E" w14:textId="77777777" w:rsidR="00B66B1A" w:rsidRPr="00C34DE9" w:rsidRDefault="00161B7C" w:rsidP="5CB4B133">
            <w:pPr>
              <w:spacing w:after="60"/>
              <w:rPr>
                <w:rFonts w:ascii="Verdana" w:hAnsi="Verdana"/>
                <w:b/>
                <w:bCs/>
                <w:sz w:val="18"/>
                <w:szCs w:val="18"/>
              </w:rPr>
            </w:pPr>
            <w:r w:rsidRPr="5CB4B133">
              <w:rPr>
                <w:rFonts w:ascii="Verdana" w:hAnsi="Verdana"/>
                <w:b/>
                <w:bCs/>
                <w:sz w:val="18"/>
                <w:szCs w:val="18"/>
              </w:rPr>
              <w:t>Timeliness</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089210F2" w14:textId="77777777" w:rsidR="00B66B1A" w:rsidRPr="00A85A9D" w:rsidRDefault="00B66B1A" w:rsidP="004921A1">
            <w:pPr>
              <w:pStyle w:val="ListParagraph"/>
              <w:spacing w:after="120"/>
              <w:ind w:left="0"/>
              <w:jc w:val="both"/>
              <w:rPr>
                <w:rFonts w:ascii="Verdana" w:hAnsi="Verdana"/>
                <w:sz w:val="18"/>
                <w:szCs w:val="18"/>
                <w:lang w:val="en-US"/>
              </w:rPr>
            </w:pPr>
            <w:r w:rsidRPr="00A85A9D">
              <w:rPr>
                <w:rFonts w:ascii="Verdana" w:hAnsi="Verdana"/>
                <w:sz w:val="18"/>
                <w:szCs w:val="18"/>
                <w:lang w:val="en-US"/>
              </w:rPr>
              <w:t>&gt; T+2 years</w:t>
            </w:r>
          </w:p>
          <w:p w14:paraId="66A0C8F6" w14:textId="77777777" w:rsidR="00B66B1A" w:rsidRPr="00C34DE9" w:rsidRDefault="00B66B1A" w:rsidP="004921A1">
            <w:pPr>
              <w:pStyle w:val="ListParagraph"/>
              <w:spacing w:after="120"/>
              <w:ind w:left="0"/>
              <w:jc w:val="both"/>
              <w:rPr>
                <w:lang w:val="en-US"/>
              </w:rPr>
            </w:pPr>
            <w:r w:rsidRPr="00A85A9D">
              <w:rPr>
                <w:rFonts w:ascii="Verdana" w:hAnsi="Verdana"/>
                <w:sz w:val="18"/>
                <w:szCs w:val="18"/>
                <w:lang w:val="en-US"/>
              </w:rPr>
              <w:t>New data points are disseminated within 3 years after the reference year.</w:t>
            </w:r>
          </w:p>
        </w:tc>
      </w:tr>
      <w:tr w:rsidR="00B66B1A" w:rsidRPr="00C34DE9" w14:paraId="4CFD799E" w14:textId="77777777" w:rsidTr="790C88FB">
        <w:trPr>
          <w:jc w:val="center"/>
        </w:trPr>
        <w:tc>
          <w:tcPr>
            <w:tcW w:w="2710" w:type="dxa"/>
            <w:tcBorders>
              <w:top w:val="single" w:sz="4" w:space="0" w:color="auto"/>
              <w:left w:val="single" w:sz="4" w:space="0" w:color="auto"/>
              <w:bottom w:val="single" w:sz="4" w:space="0" w:color="auto"/>
              <w:right w:val="single" w:sz="4" w:space="0" w:color="auto"/>
            </w:tcBorders>
            <w:vAlign w:val="center"/>
          </w:tcPr>
          <w:p w14:paraId="60A89E17" w14:textId="77777777" w:rsidR="00B66B1A" w:rsidRPr="00C34DE9" w:rsidRDefault="00B66B1A" w:rsidP="5CB4B133">
            <w:pPr>
              <w:spacing w:after="60"/>
              <w:rPr>
                <w:rFonts w:ascii="Verdana" w:hAnsi="Verdana"/>
                <w:b/>
                <w:bCs/>
                <w:sz w:val="18"/>
                <w:szCs w:val="18"/>
              </w:rPr>
            </w:pPr>
            <w:r w:rsidRPr="5CB4B133">
              <w:rPr>
                <w:rFonts w:ascii="Verdana" w:hAnsi="Verdana"/>
                <w:b/>
                <w:bCs/>
                <w:sz w:val="18"/>
                <w:szCs w:val="18"/>
              </w:rPr>
              <w:t>Comments/caveats</w:t>
            </w:r>
          </w:p>
        </w:tc>
        <w:tc>
          <w:tcPr>
            <w:tcW w:w="7766" w:type="dxa"/>
            <w:tcBorders>
              <w:top w:val="single" w:sz="4" w:space="0" w:color="auto"/>
              <w:left w:val="single" w:sz="4" w:space="0" w:color="auto"/>
              <w:bottom w:val="single" w:sz="4" w:space="0" w:color="auto"/>
              <w:right w:val="single" w:sz="4" w:space="0" w:color="auto"/>
            </w:tcBorders>
            <w:shd w:val="clear" w:color="auto" w:fill="auto"/>
          </w:tcPr>
          <w:p w14:paraId="3FC5D4D0" w14:textId="77777777" w:rsidR="00B66B1A" w:rsidRPr="00A85A9D" w:rsidRDefault="00225AAB" w:rsidP="00AE6C7A">
            <w:pPr>
              <w:pStyle w:val="ListParagraph"/>
              <w:spacing w:after="120"/>
              <w:ind w:left="0"/>
              <w:jc w:val="both"/>
              <w:rPr>
                <w:rFonts w:ascii="Verdana" w:hAnsi="Verdana"/>
                <w:sz w:val="18"/>
                <w:szCs w:val="18"/>
              </w:rPr>
            </w:pPr>
            <w:r w:rsidRPr="00A85A9D">
              <w:rPr>
                <w:rFonts w:ascii="Verdana" w:hAnsi="Verdana"/>
                <w:sz w:val="18"/>
                <w:szCs w:val="18"/>
              </w:rPr>
              <w:t xml:space="preserve">Contrary to nitrogen, phosphorus can be loaded into agricultural soils. In several places in the EU, soil is lacking phosphorus and a surplus (loading) can improve soil fertility in the longer run. </w:t>
            </w:r>
          </w:p>
          <w:p w14:paraId="2381FE17" w14:textId="77777777" w:rsidR="00CA7127" w:rsidRPr="00C34DE9" w:rsidRDefault="00CA7127" w:rsidP="00AE6C7A">
            <w:pPr>
              <w:pStyle w:val="ListParagraph"/>
              <w:spacing w:after="120"/>
              <w:ind w:left="0"/>
              <w:jc w:val="both"/>
            </w:pPr>
            <w:r w:rsidRPr="00A85A9D">
              <w:rPr>
                <w:rFonts w:ascii="Verdana" w:hAnsi="Verdana"/>
                <w:sz w:val="18"/>
                <w:szCs w:val="18"/>
              </w:rPr>
              <w:t>The problem is that the indicator is only a snapshot at a point in time. It does not consider the past-cumulated surplus. I</w:t>
            </w:r>
            <w:r w:rsidR="00AD5017" w:rsidRPr="00A85A9D">
              <w:rPr>
                <w:rFonts w:ascii="Verdana" w:hAnsi="Verdana"/>
                <w:sz w:val="18"/>
                <w:szCs w:val="18"/>
                <w:lang w:val="en-IE"/>
              </w:rPr>
              <w:t>.</w:t>
            </w:r>
            <w:r w:rsidRPr="00A85A9D">
              <w:rPr>
                <w:rFonts w:ascii="Verdana" w:hAnsi="Verdana"/>
                <w:sz w:val="18"/>
                <w:szCs w:val="18"/>
              </w:rPr>
              <w:t>e</w:t>
            </w:r>
            <w:r w:rsidR="00AD5017" w:rsidRPr="00A85A9D">
              <w:rPr>
                <w:rFonts w:ascii="Verdana" w:hAnsi="Verdana"/>
                <w:sz w:val="18"/>
                <w:szCs w:val="18"/>
              </w:rPr>
              <w:t>.</w:t>
            </w:r>
            <w:r w:rsidRPr="00A85A9D">
              <w:rPr>
                <w:rFonts w:ascii="Verdana" w:hAnsi="Verdana"/>
                <w:sz w:val="18"/>
                <w:szCs w:val="18"/>
              </w:rPr>
              <w:t xml:space="preserve">, the risk to water quality degradation does not come from the actual surplus, but also from past surpluses. This is particularly true for phosphorus saturated </w:t>
            </w:r>
            <w:r w:rsidR="00263438" w:rsidRPr="00A85A9D">
              <w:rPr>
                <w:rFonts w:ascii="Verdana" w:hAnsi="Verdana"/>
                <w:sz w:val="18"/>
                <w:szCs w:val="18"/>
              </w:rPr>
              <w:t>s</w:t>
            </w:r>
            <w:r w:rsidRPr="00A85A9D">
              <w:rPr>
                <w:rFonts w:ascii="Verdana" w:hAnsi="Verdana"/>
                <w:sz w:val="18"/>
                <w:szCs w:val="18"/>
              </w:rPr>
              <w:t>oils, where P leaching occurs even in negative surplus areas.</w:t>
            </w:r>
          </w:p>
        </w:tc>
      </w:tr>
    </w:tbl>
    <w:p w14:paraId="332F8442" w14:textId="77777777" w:rsidR="00B66B1A" w:rsidRPr="00C34DE9" w:rsidRDefault="00B66B1A" w:rsidP="00544872">
      <w:pPr>
        <w:spacing w:after="60"/>
        <w:rPr>
          <w:rFonts w:ascii="Verdana" w:hAnsi="Verdana"/>
          <w:sz w:val="18"/>
          <w:szCs w:val="18"/>
        </w:rPr>
      </w:pPr>
    </w:p>
    <w:p w14:paraId="40F193FF" w14:textId="77777777" w:rsidR="00D01F92" w:rsidRPr="00C34DE9" w:rsidRDefault="00B66B1A" w:rsidP="00B66B1A">
      <w:pPr>
        <w:rPr>
          <w:rFonts w:ascii="Verdana" w:hAnsi="Verdana"/>
        </w:rPr>
      </w:pPr>
      <w:r w:rsidRPr="00C34DE9">
        <w:br w:type="page"/>
      </w: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7938"/>
      </w:tblGrid>
      <w:tr w:rsidR="00DD7675" w:rsidRPr="00C34DE9" w14:paraId="50C2BC77"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shd w:val="clear" w:color="auto" w:fill="00B0F0"/>
            <w:vAlign w:val="center"/>
          </w:tcPr>
          <w:p w14:paraId="0EC76413" w14:textId="1D19F3B3" w:rsidR="00DD7675" w:rsidRPr="00C34DE9" w:rsidRDefault="00DD7675" w:rsidP="00340D8D">
            <w:pPr>
              <w:spacing w:after="60"/>
              <w:rPr>
                <w:rFonts w:ascii="Verdana" w:hAnsi="Verdana"/>
                <w:b/>
                <w:bCs/>
                <w:sz w:val="18"/>
                <w:szCs w:val="18"/>
              </w:rPr>
            </w:pPr>
            <w:bookmarkStart w:id="58" w:name="C38_Nitrate_in_ground_water"/>
            <w:r w:rsidRPr="5CB4B133">
              <w:rPr>
                <w:rFonts w:ascii="Verdana" w:hAnsi="Verdana"/>
                <w:b/>
                <w:bCs/>
                <w:smallCaps/>
                <w:sz w:val="18"/>
                <w:szCs w:val="18"/>
              </w:rPr>
              <w:lastRenderedPageBreak/>
              <w:t>Indicator C.3</w:t>
            </w:r>
            <w:r w:rsidR="00340D8D">
              <w:rPr>
                <w:rFonts w:ascii="Verdana" w:hAnsi="Verdana"/>
                <w:b/>
                <w:bCs/>
                <w:smallCaps/>
                <w:sz w:val="18"/>
                <w:szCs w:val="18"/>
              </w:rPr>
              <w:t>9</w:t>
            </w:r>
            <w:bookmarkEnd w:id="58"/>
          </w:p>
        </w:tc>
        <w:tc>
          <w:tcPr>
            <w:tcW w:w="7938" w:type="dxa"/>
            <w:tcBorders>
              <w:top w:val="single" w:sz="4" w:space="0" w:color="auto"/>
              <w:left w:val="single" w:sz="4" w:space="0" w:color="auto"/>
              <w:bottom w:val="single" w:sz="4" w:space="0" w:color="auto"/>
              <w:right w:val="single" w:sz="4" w:space="0" w:color="auto"/>
            </w:tcBorders>
            <w:shd w:val="clear" w:color="auto" w:fill="00B0F0"/>
          </w:tcPr>
          <w:p w14:paraId="1256D67E" w14:textId="77777777" w:rsidR="005274D1" w:rsidRPr="005274D1" w:rsidRDefault="005274D1" w:rsidP="5CB4B133">
            <w:pPr>
              <w:shd w:val="clear" w:color="auto" w:fill="00B0F0"/>
              <w:spacing w:after="60"/>
              <w:rPr>
                <w:rFonts w:ascii="Verdana" w:hAnsi="Verdana"/>
                <w:b/>
                <w:bCs/>
                <w:caps/>
                <w:sz w:val="18"/>
                <w:szCs w:val="18"/>
              </w:rPr>
            </w:pPr>
            <w:bookmarkStart w:id="59" w:name="I16"/>
            <w:r w:rsidRPr="5CB4B133">
              <w:rPr>
                <w:rFonts w:ascii="Verdana" w:hAnsi="Verdana"/>
                <w:b/>
                <w:bCs/>
                <w:sz w:val="18"/>
                <w:szCs w:val="18"/>
              </w:rPr>
              <w:t>Indicator I.16</w:t>
            </w:r>
            <w:bookmarkEnd w:id="59"/>
            <w:r w:rsidRPr="5CB4B133">
              <w:rPr>
                <w:rFonts w:ascii="Verdana" w:hAnsi="Verdana"/>
                <w:b/>
                <w:bCs/>
                <w:sz w:val="18"/>
                <w:szCs w:val="18"/>
              </w:rPr>
              <w:t xml:space="preserve"> Reducing nutrient leakage</w:t>
            </w:r>
            <w:r w:rsidRPr="005274D1">
              <w:rPr>
                <w:rFonts w:ascii="Verdana" w:hAnsi="Verdana"/>
                <w:sz w:val="18"/>
                <w:szCs w:val="18"/>
              </w:rPr>
              <w:t>:</w:t>
            </w:r>
          </w:p>
          <w:p w14:paraId="286F4BFC" w14:textId="5C4CC467" w:rsidR="00DD7675" w:rsidRPr="005274D1" w:rsidRDefault="005274D1" w:rsidP="00340D8D">
            <w:pPr>
              <w:shd w:val="clear" w:color="auto" w:fill="00B0F0"/>
              <w:spacing w:after="60"/>
              <w:rPr>
                <w:rFonts w:ascii="Verdana" w:hAnsi="Verdana"/>
                <w:caps/>
                <w:sz w:val="18"/>
                <w:szCs w:val="18"/>
              </w:rPr>
            </w:pPr>
            <w:r w:rsidRPr="005274D1">
              <w:rPr>
                <w:rFonts w:ascii="Verdana" w:hAnsi="Verdana"/>
                <w:sz w:val="18"/>
                <w:szCs w:val="18"/>
              </w:rPr>
              <w:t>Nitrate</w:t>
            </w:r>
            <w:r w:rsidR="0037595B">
              <w:rPr>
                <w:rFonts w:ascii="Verdana" w:hAnsi="Verdana"/>
                <w:sz w:val="18"/>
                <w:szCs w:val="18"/>
              </w:rPr>
              <w:t>s</w:t>
            </w:r>
            <w:r w:rsidRPr="005274D1">
              <w:rPr>
                <w:rFonts w:ascii="Verdana" w:hAnsi="Verdana"/>
                <w:sz w:val="18"/>
                <w:szCs w:val="18"/>
              </w:rPr>
              <w:t xml:space="preserve"> in ground water - </w:t>
            </w:r>
            <w:r w:rsidR="00051B8B">
              <w:rPr>
                <w:rFonts w:ascii="Verdana" w:hAnsi="Verdana"/>
                <w:sz w:val="18"/>
                <w:szCs w:val="18"/>
              </w:rPr>
              <w:t>p</w:t>
            </w:r>
            <w:r w:rsidRPr="005274D1">
              <w:rPr>
                <w:rFonts w:ascii="Verdana" w:hAnsi="Verdana"/>
                <w:sz w:val="18"/>
                <w:szCs w:val="18"/>
              </w:rPr>
              <w:t xml:space="preserve">ercentage of ground water stations with </w:t>
            </w:r>
            <w:r w:rsidR="00340D8D">
              <w:rPr>
                <w:rFonts w:ascii="Verdana" w:hAnsi="Verdana"/>
                <w:sz w:val="18"/>
                <w:szCs w:val="18"/>
              </w:rPr>
              <w:t>n</w:t>
            </w:r>
            <w:r w:rsidR="0037595B">
              <w:rPr>
                <w:rFonts w:ascii="Verdana" w:hAnsi="Verdana"/>
                <w:sz w:val="18"/>
                <w:szCs w:val="18"/>
              </w:rPr>
              <w:t>itrates</w:t>
            </w:r>
            <w:r w:rsidRPr="005274D1">
              <w:rPr>
                <w:rFonts w:ascii="Verdana" w:hAnsi="Verdana"/>
                <w:sz w:val="18"/>
                <w:szCs w:val="18"/>
              </w:rPr>
              <w:t xml:space="preserve"> concentration over 50 mg/l as per the </w:t>
            </w:r>
            <w:r w:rsidR="0037595B">
              <w:rPr>
                <w:rFonts w:ascii="Verdana" w:hAnsi="Verdana"/>
                <w:sz w:val="18"/>
                <w:szCs w:val="18"/>
              </w:rPr>
              <w:t>D</w:t>
            </w:r>
            <w:r w:rsidRPr="005274D1">
              <w:rPr>
                <w:rFonts w:ascii="Verdana" w:hAnsi="Verdana"/>
                <w:sz w:val="18"/>
                <w:szCs w:val="18"/>
              </w:rPr>
              <w:t>irective</w:t>
            </w:r>
            <w:r w:rsidR="00CA7C12">
              <w:rPr>
                <w:rFonts w:ascii="Verdana" w:hAnsi="Verdana"/>
                <w:sz w:val="18"/>
                <w:szCs w:val="18"/>
              </w:rPr>
              <w:t xml:space="preserve"> 91/676/EEC</w:t>
            </w:r>
          </w:p>
        </w:tc>
      </w:tr>
      <w:tr w:rsidR="00DD7675" w:rsidRPr="00C34DE9" w14:paraId="3233E9A5"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2FBF1A55"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Indicator 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61EFD7" w14:textId="77777777" w:rsidR="00BB0FF1" w:rsidRPr="00C34DE9" w:rsidRDefault="00BB0FF1" w:rsidP="5CB4B133">
            <w:pPr>
              <w:spacing w:after="60"/>
              <w:jc w:val="center"/>
              <w:rPr>
                <w:rFonts w:ascii="Verdana" w:hAnsi="Verdana"/>
                <w:b/>
                <w:bCs/>
                <w:sz w:val="18"/>
                <w:szCs w:val="18"/>
              </w:rPr>
            </w:pPr>
            <w:r w:rsidRPr="5CB4B133">
              <w:rPr>
                <w:rFonts w:ascii="Verdana" w:hAnsi="Verdana"/>
                <w:b/>
                <w:bCs/>
                <w:sz w:val="18"/>
                <w:szCs w:val="18"/>
              </w:rPr>
              <w:t>W</w:t>
            </w:r>
            <w:r w:rsidR="0060145A" w:rsidRPr="5CB4B133">
              <w:rPr>
                <w:rFonts w:ascii="Verdana" w:hAnsi="Verdana"/>
                <w:b/>
                <w:bCs/>
                <w:sz w:val="18"/>
                <w:szCs w:val="18"/>
              </w:rPr>
              <w:t>ater quality</w:t>
            </w:r>
          </w:p>
          <w:p w14:paraId="353AF774" w14:textId="77777777" w:rsidR="00DD7675" w:rsidRPr="000345A1" w:rsidRDefault="00DD7675" w:rsidP="5CB4B133">
            <w:pPr>
              <w:pStyle w:val="ListParagraph"/>
              <w:numPr>
                <w:ilvl w:val="0"/>
                <w:numId w:val="99"/>
              </w:numPr>
              <w:spacing w:after="60"/>
              <w:jc w:val="center"/>
              <w:rPr>
                <w:rFonts w:ascii="Verdana" w:hAnsi="Verdana"/>
                <w:b/>
                <w:bCs/>
                <w:sz w:val="18"/>
                <w:szCs w:val="18"/>
              </w:rPr>
            </w:pPr>
            <w:r w:rsidRPr="00614D7E">
              <w:rPr>
                <w:rFonts w:ascii="Verdana" w:hAnsi="Verdana"/>
                <w:b/>
                <w:bCs/>
                <w:sz w:val="18"/>
                <w:szCs w:val="18"/>
                <w:shd w:val="clear" w:color="auto" w:fill="00B0F0"/>
              </w:rPr>
              <w:t>N</w:t>
            </w:r>
            <w:r w:rsidR="0060145A" w:rsidRPr="00614D7E">
              <w:rPr>
                <w:rFonts w:ascii="Verdana" w:hAnsi="Verdana"/>
                <w:b/>
                <w:bCs/>
                <w:sz w:val="18"/>
                <w:szCs w:val="18"/>
                <w:shd w:val="clear" w:color="auto" w:fill="00B0F0"/>
              </w:rPr>
              <w:t>itrates in groundwater</w:t>
            </w:r>
            <w:r w:rsidR="00BB0FF1" w:rsidRPr="5CB4B133">
              <w:rPr>
                <w:rFonts w:ascii="Verdana" w:hAnsi="Verdana"/>
                <w:b/>
                <w:bCs/>
                <w:sz w:val="18"/>
                <w:szCs w:val="18"/>
              </w:rPr>
              <w:t xml:space="preserve"> </w:t>
            </w:r>
          </w:p>
        </w:tc>
      </w:tr>
      <w:tr w:rsidR="00DD7675" w:rsidRPr="00C34DE9" w14:paraId="6023F857"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0C9723E1"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Definition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48266A" w14:textId="1263CC50" w:rsidR="00DD7675" w:rsidRPr="00C34DE9" w:rsidRDefault="00DD7675" w:rsidP="00DD7675">
            <w:pPr>
              <w:spacing w:after="60"/>
              <w:jc w:val="both"/>
            </w:pPr>
            <w:r w:rsidRPr="00C34DE9">
              <w:rPr>
                <w:rFonts w:ascii="Verdana" w:hAnsi="Verdana"/>
                <w:sz w:val="18"/>
                <w:szCs w:val="18"/>
              </w:rPr>
              <w:t xml:space="preserve">Nitrate pollution is </w:t>
            </w:r>
            <w:r w:rsidR="001E1918">
              <w:rPr>
                <w:rFonts w:ascii="Verdana" w:hAnsi="Verdana"/>
                <w:sz w:val="18"/>
                <w:szCs w:val="18"/>
              </w:rPr>
              <w:t>measured</w:t>
            </w:r>
            <w:r w:rsidR="001E1918" w:rsidRPr="00C34DE9">
              <w:rPr>
                <w:rFonts w:ascii="Verdana" w:hAnsi="Verdana"/>
                <w:sz w:val="18"/>
                <w:szCs w:val="18"/>
              </w:rPr>
              <w:t xml:space="preserve"> </w:t>
            </w:r>
            <w:r w:rsidRPr="00C34DE9">
              <w:rPr>
                <w:rFonts w:ascii="Verdana" w:hAnsi="Verdana"/>
                <w:sz w:val="18"/>
                <w:szCs w:val="18"/>
              </w:rPr>
              <w:t>by current values and trends in nitrate concentrations in groundwater and rivers, expressed in mg NO3/l for groundwater and mg N/l for rivers.</w:t>
            </w:r>
            <w:r w:rsidRPr="00C34DE9">
              <w:t xml:space="preserve"> </w:t>
            </w:r>
          </w:p>
          <w:p w14:paraId="73F66268" w14:textId="77777777" w:rsidR="00DD7675" w:rsidRPr="00C34DE9" w:rsidRDefault="00DD7675" w:rsidP="00DD7675">
            <w:pPr>
              <w:spacing w:after="60"/>
              <w:jc w:val="both"/>
              <w:rPr>
                <w:rFonts w:ascii="Verdana" w:hAnsi="Verdana"/>
                <w:sz w:val="18"/>
                <w:szCs w:val="18"/>
              </w:rPr>
            </w:pPr>
            <w:r w:rsidRPr="00C34DE9">
              <w:rPr>
                <w:rFonts w:ascii="Verdana" w:hAnsi="Verdana"/>
                <w:sz w:val="18"/>
                <w:szCs w:val="18"/>
              </w:rPr>
              <w:t xml:space="preserve">This indicator shows the potential impact of agriculture on groundwater quality due to pollution by nitrates. It consists on an index measuring the % of groundwater monitoring sites with nitrates’ concentration (NO3-mg/l) over 50 mg/l for groundwater. It makes a linkage with the Nitrates Directive (91/676/EEC) aiming to control nitrogen pollution and requiring Member States to identify groundwaters that contain more than 50 mg/l nitrate. </w:t>
            </w:r>
          </w:p>
          <w:p w14:paraId="4E2A2EEF" w14:textId="77777777" w:rsidR="00DD7675" w:rsidRPr="00C34DE9" w:rsidRDefault="00DD7675" w:rsidP="00DD7675">
            <w:pPr>
              <w:spacing w:after="60"/>
              <w:jc w:val="both"/>
              <w:rPr>
                <w:rFonts w:ascii="Verdana" w:hAnsi="Verdana"/>
                <w:sz w:val="18"/>
                <w:szCs w:val="18"/>
              </w:rPr>
            </w:pPr>
            <w:r w:rsidRPr="5CB4B133">
              <w:rPr>
                <w:rFonts w:ascii="Verdana" w:hAnsi="Verdana"/>
                <w:sz w:val="18"/>
                <w:szCs w:val="18"/>
              </w:rPr>
              <w:t xml:space="preserve">The following related indicators already exist, but there might be some differences with I.16: </w:t>
            </w:r>
          </w:p>
          <w:p w14:paraId="43576A1B" w14:textId="77777777" w:rsidR="00DD7675" w:rsidRPr="00C34DE9" w:rsidRDefault="00DD7675" w:rsidP="00DD7675">
            <w:pPr>
              <w:spacing w:before="120" w:after="60"/>
              <w:jc w:val="both"/>
              <w:rPr>
                <w:rFonts w:ascii="Verdana" w:hAnsi="Verdana"/>
                <w:sz w:val="18"/>
                <w:szCs w:val="18"/>
              </w:rPr>
            </w:pPr>
            <w:r w:rsidRPr="00C34DE9">
              <w:rPr>
                <w:rFonts w:ascii="Verdana" w:hAnsi="Verdana"/>
                <w:sz w:val="18"/>
                <w:szCs w:val="18"/>
              </w:rPr>
              <w:t>- Agri-environmental indicator 27.1 Water quality – Nitrates in freshwater</w:t>
            </w:r>
            <w:r w:rsidRPr="00C34DE9">
              <w:rPr>
                <w:rFonts w:ascii="Verdana" w:hAnsi="Verdana"/>
                <w:color w:val="808080"/>
                <w:sz w:val="18"/>
                <w:szCs w:val="18"/>
              </w:rPr>
              <w:t xml:space="preserve">: </w:t>
            </w:r>
            <w:r w:rsidRPr="00C34DE9">
              <w:rPr>
                <w:rFonts w:ascii="Verdana" w:hAnsi="Verdana"/>
                <w:sz w:val="18"/>
                <w:szCs w:val="18"/>
              </w:rPr>
              <w:t>nitrate pollution of water.</w:t>
            </w:r>
          </w:p>
          <w:p w14:paraId="0B8E5B23" w14:textId="77777777" w:rsidR="00DD7675" w:rsidRPr="00C34DE9" w:rsidRDefault="00AA07F1" w:rsidP="00DD7675">
            <w:pPr>
              <w:spacing w:before="120" w:after="60"/>
              <w:jc w:val="both"/>
              <w:rPr>
                <w:rFonts w:ascii="Verdana" w:hAnsi="Verdana"/>
                <w:sz w:val="18"/>
                <w:szCs w:val="18"/>
              </w:rPr>
            </w:pPr>
            <w:hyperlink r:id="rId185" w:history="1">
              <w:r w:rsidR="00DD7675" w:rsidRPr="00C34DE9">
                <w:rPr>
                  <w:rFonts w:ascii="Verdana" w:hAnsi="Verdana"/>
                  <w:color w:val="0000FF"/>
                  <w:sz w:val="18"/>
                  <w:szCs w:val="18"/>
                  <w:u w:val="single"/>
                </w:rPr>
                <w:t>https://ec.europa.eu/eurostat/statistics-explained/index.php?title=Archive:Agri-environmental_indicator_-_nitrate_pollution_of_water</w:t>
              </w:r>
            </w:hyperlink>
            <w:r w:rsidR="00DD7675" w:rsidRPr="00C34DE9">
              <w:rPr>
                <w:rFonts w:ascii="Verdana" w:hAnsi="Verdana"/>
                <w:sz w:val="18"/>
                <w:szCs w:val="18"/>
              </w:rPr>
              <w:t xml:space="preserve"> </w:t>
            </w:r>
          </w:p>
          <w:p w14:paraId="6F4B1292" w14:textId="77777777" w:rsidR="00DD7675" w:rsidRPr="00C34DE9" w:rsidRDefault="00DD7675" w:rsidP="00DD7675">
            <w:pPr>
              <w:spacing w:after="60"/>
              <w:jc w:val="both"/>
              <w:rPr>
                <w:rFonts w:ascii="Verdana" w:hAnsi="Verdana"/>
                <w:sz w:val="18"/>
                <w:szCs w:val="18"/>
              </w:rPr>
            </w:pPr>
            <w:r w:rsidRPr="00C34DE9">
              <w:rPr>
                <w:rFonts w:ascii="Verdana" w:hAnsi="Verdana"/>
                <w:sz w:val="18"/>
                <w:szCs w:val="18"/>
              </w:rPr>
              <w:t xml:space="preserve">- CSI 020 Nutrients in freshwater (European Environment Agency). Concentrations of nitrate in rivers and groundwater. </w:t>
            </w:r>
          </w:p>
          <w:p w14:paraId="2E146878" w14:textId="19A1C6FF" w:rsidR="00DD7675" w:rsidRPr="00C34DE9" w:rsidRDefault="00AA07F1" w:rsidP="00DD7675">
            <w:pPr>
              <w:spacing w:after="60"/>
              <w:jc w:val="both"/>
              <w:rPr>
                <w:rFonts w:ascii="Verdana" w:hAnsi="Verdana"/>
                <w:sz w:val="18"/>
                <w:szCs w:val="18"/>
              </w:rPr>
            </w:pPr>
            <w:hyperlink r:id="rId186" w:history="1">
              <w:r w:rsidR="007D3E04" w:rsidRPr="002909AC">
                <w:rPr>
                  <w:rStyle w:val="Hyperlink"/>
                </w:rPr>
                <w:t>https://www.eea.europa.eu/data-and-maps/indicators/nutrients-in-freshwater/nutrients-in-freshwater-assessment-published-9</w:t>
              </w:r>
            </w:hyperlink>
            <w:r w:rsidR="007D3E04">
              <w:t xml:space="preserve"> </w:t>
            </w:r>
            <w:r w:rsidR="00DD7675" w:rsidRPr="00C34DE9">
              <w:rPr>
                <w:rFonts w:ascii="Verdana" w:hAnsi="Verdana"/>
                <w:sz w:val="18"/>
                <w:szCs w:val="18"/>
              </w:rPr>
              <w:t xml:space="preserve"> </w:t>
            </w:r>
          </w:p>
          <w:p w14:paraId="5FF8A021" w14:textId="77777777" w:rsidR="00DD7675" w:rsidRPr="00C34DE9" w:rsidRDefault="00DD7675" w:rsidP="00DD7675">
            <w:pPr>
              <w:spacing w:after="60"/>
              <w:jc w:val="both"/>
              <w:rPr>
                <w:rFonts w:ascii="Verdana" w:hAnsi="Verdana"/>
                <w:sz w:val="18"/>
                <w:szCs w:val="18"/>
              </w:rPr>
            </w:pPr>
            <w:r w:rsidRPr="00C34DE9">
              <w:rPr>
                <w:rFonts w:ascii="Verdana" w:hAnsi="Verdana"/>
                <w:sz w:val="18"/>
                <w:szCs w:val="18"/>
              </w:rPr>
              <w:t xml:space="preserve">Indicator I.15 Gross Nitrogen Balance on agricultural land, supplements this water quality indicator. </w:t>
            </w:r>
          </w:p>
        </w:tc>
      </w:tr>
      <w:tr w:rsidR="00DD7675" w:rsidRPr="00C34DE9" w14:paraId="3DA2C89A" w14:textId="77777777" w:rsidTr="790C88FB">
        <w:trPr>
          <w:trHeight w:val="454"/>
          <w:jc w:val="center"/>
        </w:trPr>
        <w:tc>
          <w:tcPr>
            <w:tcW w:w="2828" w:type="dxa"/>
            <w:tcBorders>
              <w:top w:val="single" w:sz="4" w:space="0" w:color="auto"/>
              <w:left w:val="single" w:sz="4" w:space="0" w:color="auto"/>
              <w:bottom w:val="single" w:sz="4" w:space="0" w:color="auto"/>
              <w:right w:val="single" w:sz="4" w:space="0" w:color="auto"/>
            </w:tcBorders>
            <w:vAlign w:val="center"/>
          </w:tcPr>
          <w:p w14:paraId="5EFB0017"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3F4E11" w14:textId="6E5BE55F" w:rsidR="00DD7675" w:rsidRPr="00C34DE9" w:rsidRDefault="00DD7675" w:rsidP="00DD7675">
            <w:pPr>
              <w:spacing w:after="60"/>
              <w:rPr>
                <w:rFonts w:ascii="Verdana" w:hAnsi="Verdana"/>
                <w:sz w:val="18"/>
                <w:szCs w:val="18"/>
              </w:rPr>
            </w:pPr>
            <w:r w:rsidRPr="00C34DE9">
              <w:rPr>
                <w:rFonts w:ascii="Verdana" w:hAnsi="Verdana"/>
                <w:sz w:val="18"/>
                <w:szCs w:val="18"/>
              </w:rPr>
              <w:t xml:space="preserve">% of groundwater stations above the concentration threshold (50 mg NO3/l) </w:t>
            </w:r>
          </w:p>
        </w:tc>
      </w:tr>
      <w:tr w:rsidR="00DD7675" w:rsidRPr="00C34DE9" w14:paraId="27E2BFF5"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28F6A166" w14:textId="77777777" w:rsidR="00DD7675" w:rsidRPr="00C34DE9" w:rsidRDefault="00DD7675" w:rsidP="790C88FB">
            <w:pPr>
              <w:spacing w:after="60"/>
              <w:rPr>
                <w:rFonts w:ascii="Verdana" w:hAnsi="Verdana"/>
                <w:i/>
                <w:iCs/>
                <w:sz w:val="18"/>
                <w:szCs w:val="18"/>
              </w:rPr>
            </w:pPr>
            <w:r w:rsidRPr="5CB4B133">
              <w:rPr>
                <w:rFonts w:ascii="Verdana" w:hAnsi="Verdana"/>
                <w:b/>
                <w:bCs/>
                <w:sz w:val="18"/>
                <w:szCs w:val="18"/>
              </w:rPr>
              <w:t>Data source</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9A9DA6"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 xml:space="preserve">Data from the Nitrates Directive reporting system (DG </w:t>
            </w:r>
            <w:r w:rsidR="005137DD">
              <w:rPr>
                <w:rFonts w:ascii="Verdana" w:hAnsi="Verdana"/>
                <w:sz w:val="18"/>
                <w:szCs w:val="18"/>
              </w:rPr>
              <w:t>E</w:t>
            </w:r>
            <w:r w:rsidRPr="00C34DE9">
              <w:rPr>
                <w:rFonts w:ascii="Verdana" w:hAnsi="Verdana"/>
                <w:sz w:val="18"/>
                <w:szCs w:val="18"/>
              </w:rPr>
              <w:t>nvironment): national and river basin level.</w:t>
            </w:r>
          </w:p>
          <w:p w14:paraId="7E9EA9BD"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European Environment Agency (EEA) – Nutrients in freshwater: Data voluntarily reported by Member States (EEA Member Countries) via the WISE/SOE (State of Environment) data flow annually. (Potential supplement)</w:t>
            </w:r>
          </w:p>
        </w:tc>
      </w:tr>
      <w:tr w:rsidR="00DD7675" w:rsidRPr="00C34DE9" w14:paraId="0FDE3D3F"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40EADD11" w14:textId="77777777" w:rsidR="00DD7675" w:rsidRPr="00C34DE9" w:rsidRDefault="00DD7675"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2F9E76" w14:textId="77777777" w:rsidR="00DD7675" w:rsidRPr="00D255E5" w:rsidRDefault="00DD7675" w:rsidP="00DD7675">
            <w:pPr>
              <w:spacing w:after="0" w:line="240" w:lineRule="auto"/>
              <w:rPr>
                <w:rFonts w:ascii="Verdana" w:hAnsi="Verdana"/>
                <w:sz w:val="18"/>
                <w:szCs w:val="18"/>
                <w:u w:val="single"/>
              </w:rPr>
            </w:pPr>
            <w:r w:rsidRPr="00D255E5">
              <w:rPr>
                <w:rFonts w:ascii="Verdana" w:hAnsi="Verdana"/>
                <w:sz w:val="18"/>
                <w:szCs w:val="18"/>
                <w:u w:val="single"/>
              </w:rPr>
              <w:t>Location of data:</w:t>
            </w:r>
          </w:p>
          <w:p w14:paraId="76DEBAB4" w14:textId="77777777" w:rsidR="00DD7675" w:rsidRPr="00D255E5" w:rsidRDefault="00DD7675" w:rsidP="00DD7675">
            <w:pPr>
              <w:spacing w:after="0" w:line="240" w:lineRule="auto"/>
              <w:rPr>
                <w:rFonts w:ascii="Verdana" w:hAnsi="Verdana"/>
                <w:sz w:val="18"/>
                <w:szCs w:val="18"/>
                <w:lang w:val="en-IE"/>
              </w:rPr>
            </w:pPr>
            <w:r w:rsidRPr="00D255E5">
              <w:rPr>
                <w:rFonts w:ascii="Verdana" w:hAnsi="Verdana"/>
                <w:sz w:val="18"/>
                <w:szCs w:val="18"/>
                <w:lang w:val="en-IE"/>
              </w:rPr>
              <w:t xml:space="preserve">EEA website, based on data reported to EIONET: Waterbase_rivers, Waterbase_groundwaters, CSI020 , </w:t>
            </w:r>
            <w:hyperlink r:id="rId187" w:history="1">
              <w:r w:rsidRPr="00D255E5">
                <w:rPr>
                  <w:rFonts w:ascii="Verdana" w:hAnsi="Verdana"/>
                  <w:color w:val="0000FF"/>
                  <w:sz w:val="18"/>
                  <w:szCs w:val="18"/>
                  <w:u w:val="single"/>
                  <w:lang w:val="en-IE"/>
                </w:rPr>
                <w:t>http://www.eea.europa.eu/data-and-maps/indicators/nutrients-in-freshwater</w:t>
              </w:r>
            </w:hyperlink>
          </w:p>
          <w:p w14:paraId="59AD812D" w14:textId="77777777" w:rsidR="00DD7675" w:rsidRPr="00D255E5" w:rsidRDefault="00DD7675" w:rsidP="00DD7675">
            <w:pPr>
              <w:spacing w:after="0" w:line="240" w:lineRule="auto"/>
              <w:rPr>
                <w:rFonts w:ascii="Verdana" w:hAnsi="Verdana"/>
                <w:sz w:val="18"/>
                <w:szCs w:val="18"/>
                <w:u w:val="single"/>
                <w:lang w:val="en-IE"/>
              </w:rPr>
            </w:pPr>
          </w:p>
          <w:p w14:paraId="704189DD" w14:textId="77777777" w:rsidR="00DD7675" w:rsidRPr="000211DF" w:rsidRDefault="00DD7675" w:rsidP="00DD7675">
            <w:pPr>
              <w:spacing w:after="0" w:line="240" w:lineRule="auto"/>
              <w:rPr>
                <w:rFonts w:ascii="Verdana" w:hAnsi="Verdana"/>
                <w:sz w:val="18"/>
                <w:szCs w:val="18"/>
                <w:u w:val="single"/>
                <w:lang w:val="en-IE"/>
              </w:rPr>
            </w:pPr>
            <w:r w:rsidRPr="000211DF">
              <w:rPr>
                <w:rFonts w:ascii="Verdana" w:hAnsi="Verdana"/>
                <w:sz w:val="18"/>
                <w:szCs w:val="18"/>
                <w:u w:val="single"/>
                <w:lang w:val="en-IE"/>
              </w:rPr>
              <w:t>References:</w:t>
            </w:r>
          </w:p>
          <w:p w14:paraId="1D52E06B" w14:textId="77777777" w:rsidR="00DD7675" w:rsidRPr="000211DF" w:rsidRDefault="00DD7675" w:rsidP="00DD7675">
            <w:pPr>
              <w:spacing w:after="0" w:line="240" w:lineRule="auto"/>
              <w:rPr>
                <w:rFonts w:ascii="Verdana" w:hAnsi="Verdana"/>
                <w:sz w:val="18"/>
                <w:szCs w:val="18"/>
                <w:lang w:val="en-IE"/>
              </w:rPr>
            </w:pPr>
            <w:r w:rsidRPr="000211DF">
              <w:rPr>
                <w:rFonts w:ascii="Verdana" w:hAnsi="Verdana"/>
                <w:sz w:val="18"/>
                <w:szCs w:val="18"/>
                <w:lang w:val="en-IE"/>
              </w:rPr>
              <w:t xml:space="preserve">- European Environment Agency (EEA): WISE-SoE Water Information System for Europe – State of Environment </w:t>
            </w:r>
          </w:p>
          <w:p w14:paraId="0F78298A" w14:textId="77777777" w:rsidR="00DD7675" w:rsidRPr="00C34DE9" w:rsidRDefault="00DD7675" w:rsidP="00DD7675">
            <w:pPr>
              <w:spacing w:after="0" w:line="240" w:lineRule="auto"/>
              <w:rPr>
                <w:lang w:val="en-IE"/>
              </w:rPr>
            </w:pPr>
            <w:r w:rsidRPr="000211DF">
              <w:rPr>
                <w:rFonts w:ascii="Verdana" w:hAnsi="Verdana"/>
                <w:sz w:val="18"/>
                <w:szCs w:val="18"/>
                <w:lang w:val="en-IE"/>
              </w:rPr>
              <w:t>- Council Directive 91/676/EEC concerning the protection of waters against pollution by nitrates from agricultural sources.</w:t>
            </w:r>
            <w:r w:rsidRPr="00C34DE9">
              <w:rPr>
                <w:lang w:val="en-IE"/>
              </w:rPr>
              <w:t xml:space="preserve"> </w:t>
            </w:r>
          </w:p>
        </w:tc>
      </w:tr>
      <w:tr w:rsidR="00DD7675" w:rsidRPr="00C34DE9" w14:paraId="32FF534D"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5BE05082" w14:textId="77777777" w:rsidR="00DD7675" w:rsidRPr="00C34DE9" w:rsidRDefault="00DD7675"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AD5017" w:rsidRPr="5CB4B133">
              <w:rPr>
                <w:rFonts w:ascii="Verdana" w:hAnsi="Verdana"/>
                <w:b/>
                <w:bCs/>
                <w:sz w:val="18"/>
                <w:szCs w:val="18"/>
              </w:rPr>
              <w:t>/</w:t>
            </w:r>
            <w:r w:rsidR="00CE27E0" w:rsidRPr="5CB4B133">
              <w:rPr>
                <w:rFonts w:ascii="Verdana" w:hAnsi="Verdana"/>
                <w:b/>
                <w:bCs/>
                <w:sz w:val="18"/>
                <w:szCs w:val="18"/>
              </w:rPr>
              <w:t xml:space="preserve"> </w:t>
            </w:r>
            <w:r w:rsidR="00AD5017" w:rsidRPr="5CB4B133">
              <w:rPr>
                <w:rFonts w:ascii="Verdana" w:hAnsi="Verdana"/>
                <w:b/>
                <w:bCs/>
                <w:sz w:val="18"/>
                <w:szCs w:val="18"/>
              </w:rPr>
              <w:t>dissemination</w:t>
            </w:r>
            <w:r w:rsidRPr="5CB4B133">
              <w:rPr>
                <w:rFonts w:ascii="Verdana" w:hAnsi="Verdana"/>
                <w:b/>
                <w:bCs/>
                <w:sz w:val="18"/>
                <w:szCs w:val="18"/>
              </w:rPr>
              <w:t xml:space="preserve"> level</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77D7506" w14:textId="567B6B51" w:rsidR="00DD7675" w:rsidRPr="00C34DE9" w:rsidDel="00F9611E" w:rsidRDefault="00DD7675" w:rsidP="3F4AE0BD">
            <w:pPr>
              <w:spacing w:after="60"/>
              <w:jc w:val="both"/>
              <w:rPr>
                <w:rFonts w:ascii="Verdana" w:hAnsi="Verdana"/>
                <w:b/>
                <w:bCs/>
                <w:sz w:val="18"/>
                <w:szCs w:val="18"/>
              </w:rPr>
            </w:pPr>
            <w:r w:rsidRPr="00C34DE9">
              <w:rPr>
                <w:rFonts w:ascii="Verdana" w:hAnsi="Verdana"/>
                <w:sz w:val="18"/>
                <w:szCs w:val="18"/>
              </w:rPr>
              <w:t xml:space="preserve">National </w:t>
            </w:r>
            <w:r w:rsidR="0071288B">
              <w:rPr>
                <w:rFonts w:ascii="Verdana" w:hAnsi="Verdana"/>
                <w:sz w:val="18"/>
                <w:szCs w:val="18"/>
              </w:rPr>
              <w:t xml:space="preserve">(NUTS 0) </w:t>
            </w:r>
            <w:r w:rsidRPr="00C34DE9">
              <w:rPr>
                <w:rFonts w:ascii="Verdana" w:hAnsi="Verdana"/>
                <w:sz w:val="18"/>
                <w:szCs w:val="18"/>
              </w:rPr>
              <w:t>and river basin level</w:t>
            </w:r>
          </w:p>
        </w:tc>
      </w:tr>
      <w:tr w:rsidR="00DD7675" w:rsidRPr="00C34DE9" w14:paraId="624EACD0"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082B8EF0" w14:textId="77777777" w:rsidR="00DD7675" w:rsidRPr="00C34DE9" w:rsidRDefault="00DD7675" w:rsidP="790C88FB">
            <w:pPr>
              <w:spacing w:after="60"/>
              <w:rPr>
                <w:rFonts w:ascii="Verdana" w:hAnsi="Verdana"/>
                <w:b/>
                <w:bCs/>
                <w:i/>
                <w:iCs/>
                <w:sz w:val="18"/>
                <w:szCs w:val="18"/>
              </w:rPr>
            </w:pPr>
            <w:r w:rsidRPr="5CB4B133">
              <w:rPr>
                <w:rFonts w:ascii="Verdana" w:hAnsi="Verdana"/>
                <w:b/>
                <w:bCs/>
                <w:sz w:val="18"/>
                <w:szCs w:val="18"/>
              </w:rPr>
              <w:t>Frequency</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A173820" w14:textId="57D0DB5D" w:rsidR="00DD7675" w:rsidRPr="00C34DE9" w:rsidRDefault="00263438" w:rsidP="00DD7675">
            <w:pPr>
              <w:spacing w:after="60"/>
              <w:jc w:val="both"/>
              <w:rPr>
                <w:rFonts w:ascii="Verdana" w:hAnsi="Verdana"/>
                <w:sz w:val="18"/>
                <w:szCs w:val="18"/>
              </w:rPr>
            </w:pPr>
            <w:r>
              <w:rPr>
                <w:rFonts w:ascii="Verdana" w:hAnsi="Verdana"/>
                <w:sz w:val="18"/>
                <w:szCs w:val="18"/>
              </w:rPr>
              <w:t xml:space="preserve">Under the Nitrates Directive, </w:t>
            </w:r>
            <w:r w:rsidR="00DD7675" w:rsidRPr="00C34DE9">
              <w:rPr>
                <w:rFonts w:ascii="Verdana" w:hAnsi="Verdana"/>
                <w:sz w:val="18"/>
                <w:szCs w:val="18"/>
              </w:rPr>
              <w:t xml:space="preserve">Member States have </w:t>
            </w:r>
            <w:r>
              <w:rPr>
                <w:rFonts w:ascii="Verdana" w:hAnsi="Verdana"/>
                <w:sz w:val="18"/>
                <w:szCs w:val="18"/>
              </w:rPr>
              <w:t xml:space="preserve">the </w:t>
            </w:r>
            <w:r w:rsidR="00DD7675" w:rsidRPr="00C34DE9">
              <w:rPr>
                <w:rFonts w:ascii="Verdana" w:hAnsi="Verdana"/>
                <w:sz w:val="18"/>
                <w:szCs w:val="18"/>
              </w:rPr>
              <w:t>obligation to report every 4 years.</w:t>
            </w:r>
          </w:p>
          <w:p w14:paraId="37D0DA2C" w14:textId="027C6FEE" w:rsidR="00DD7675" w:rsidRPr="00C34DE9" w:rsidRDefault="00DD7675" w:rsidP="00DD7675">
            <w:pPr>
              <w:spacing w:after="60"/>
              <w:jc w:val="both"/>
              <w:rPr>
                <w:rFonts w:ascii="Verdana" w:hAnsi="Verdana"/>
                <w:sz w:val="18"/>
                <w:szCs w:val="18"/>
              </w:rPr>
            </w:pPr>
            <w:r w:rsidRPr="00C34DE9">
              <w:rPr>
                <w:rFonts w:ascii="Verdana" w:hAnsi="Verdana"/>
                <w:sz w:val="18"/>
                <w:szCs w:val="18"/>
              </w:rPr>
              <w:t>Data from the European Environment Agency: annual but voluntary, could supplement.</w:t>
            </w:r>
          </w:p>
        </w:tc>
      </w:tr>
      <w:tr w:rsidR="00DD7675" w:rsidRPr="00C34DE9" w14:paraId="2861DF21"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7F4897CD" w14:textId="77777777" w:rsidR="00DD7675" w:rsidRPr="00C34DE9" w:rsidRDefault="00161B7C" w:rsidP="5CB4B133">
            <w:pPr>
              <w:spacing w:after="60"/>
              <w:rPr>
                <w:rFonts w:ascii="Verdana" w:hAnsi="Verdana"/>
                <w:b/>
                <w:bCs/>
                <w:sz w:val="18"/>
                <w:szCs w:val="18"/>
              </w:rPr>
            </w:pPr>
            <w:r w:rsidRPr="5CB4B133">
              <w:rPr>
                <w:rFonts w:ascii="Verdana" w:hAnsi="Verdana"/>
                <w:b/>
                <w:bCs/>
                <w:sz w:val="18"/>
                <w:szCs w:val="18"/>
              </w:rPr>
              <w:lastRenderedPageBreak/>
              <w:t>Timeliness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EF4976C" w14:textId="3C9C082D" w:rsidR="00DD7675" w:rsidRPr="00C34DE9" w:rsidRDefault="00DD7675" w:rsidP="00A51D1A">
            <w:pPr>
              <w:spacing w:after="60"/>
              <w:contextualSpacing/>
              <w:jc w:val="both"/>
              <w:rPr>
                <w:rFonts w:ascii="Verdana" w:hAnsi="Verdana"/>
                <w:sz w:val="18"/>
                <w:szCs w:val="18"/>
                <w:lang w:val="en-US"/>
              </w:rPr>
            </w:pPr>
            <w:r w:rsidRPr="00C34DE9">
              <w:rPr>
                <w:rFonts w:ascii="Verdana" w:hAnsi="Verdana"/>
                <w:sz w:val="18"/>
                <w:szCs w:val="18"/>
                <w:lang w:val="en-US"/>
              </w:rPr>
              <w:t>Data from the European Environment Agency: Data available 1 ½ year later</w:t>
            </w:r>
            <w:r w:rsidR="00934791" w:rsidRPr="00A51D1A">
              <w:rPr>
                <w:rFonts w:ascii="Verdana" w:hAnsi="Verdana"/>
                <w:sz w:val="18"/>
                <w:szCs w:val="18"/>
                <w:lang w:val="en-US"/>
              </w:rPr>
              <w:t xml:space="preserve">. </w:t>
            </w:r>
            <w:r w:rsidR="00934791" w:rsidRPr="00A51D1A">
              <w:rPr>
                <w:rFonts w:ascii="Verdana" w:hAnsi="Verdana"/>
                <w:sz w:val="18"/>
                <w:szCs w:val="18"/>
              </w:rPr>
              <w:t>Data under the Nitrates Directive, the frequency of data collection is every 4 years. The timeliness (delay for availability of the data) is between 1 and 2 years (Member States often provide their national report with delay). F</w:t>
            </w:r>
            <w:r w:rsidR="00934791" w:rsidRPr="5CB4B133">
              <w:rPr>
                <w:rFonts w:ascii="Verdana" w:hAnsi="Verdana"/>
                <w:sz w:val="18"/>
                <w:szCs w:val="18"/>
                <w:lang w:val="en-US"/>
              </w:rPr>
              <w:t>or the period 2015-2019 had to be notified by 31</w:t>
            </w:r>
            <w:r w:rsidR="00934791" w:rsidRPr="5CB4B133">
              <w:rPr>
                <w:rFonts w:ascii="Verdana" w:hAnsi="Verdana"/>
                <w:sz w:val="18"/>
                <w:szCs w:val="18"/>
                <w:vertAlign w:val="superscript"/>
                <w:lang w:val="en-US"/>
              </w:rPr>
              <w:t>st</w:t>
            </w:r>
            <w:r w:rsidR="00934791" w:rsidRPr="5CB4B133">
              <w:rPr>
                <w:rFonts w:ascii="Verdana" w:hAnsi="Verdana"/>
                <w:sz w:val="18"/>
                <w:szCs w:val="18"/>
                <w:lang w:val="en-US"/>
              </w:rPr>
              <w:t xml:space="preserve"> June 2020; some MSs still have to do so </w:t>
            </w:r>
            <w:r w:rsidR="00934791" w:rsidRPr="00A51D1A">
              <w:rPr>
                <w:rFonts w:ascii="Verdana" w:hAnsi="Verdana"/>
                <w:sz w:val="18"/>
                <w:szCs w:val="18"/>
              </w:rPr>
              <w:t>which lead to a delay for the Commission report on the implementation for the Directive</w:t>
            </w:r>
            <w:r w:rsidR="00A51D1A" w:rsidRPr="00A51D1A">
              <w:rPr>
                <w:rFonts w:ascii="Verdana" w:hAnsi="Verdana"/>
                <w:sz w:val="18"/>
                <w:szCs w:val="18"/>
              </w:rPr>
              <w:t>.</w:t>
            </w:r>
          </w:p>
        </w:tc>
      </w:tr>
      <w:tr w:rsidR="00DD7675" w:rsidRPr="00C34DE9" w14:paraId="163DCB46" w14:textId="77777777" w:rsidTr="790C88FB">
        <w:trPr>
          <w:jc w:val="center"/>
        </w:trPr>
        <w:tc>
          <w:tcPr>
            <w:tcW w:w="2828" w:type="dxa"/>
            <w:tcBorders>
              <w:top w:val="single" w:sz="4" w:space="0" w:color="auto"/>
              <w:left w:val="single" w:sz="4" w:space="0" w:color="auto"/>
              <w:bottom w:val="single" w:sz="4" w:space="0" w:color="auto"/>
              <w:right w:val="single" w:sz="4" w:space="0" w:color="auto"/>
            </w:tcBorders>
            <w:vAlign w:val="center"/>
          </w:tcPr>
          <w:p w14:paraId="4DB9C71C" w14:textId="77777777" w:rsidR="00DD7675" w:rsidRPr="00C34DE9" w:rsidRDefault="00DD7675" w:rsidP="5CB4B133">
            <w:pPr>
              <w:spacing w:after="60"/>
              <w:rPr>
                <w:rFonts w:ascii="Verdana" w:hAnsi="Verdana"/>
                <w:b/>
                <w:bCs/>
                <w:sz w:val="18"/>
                <w:szCs w:val="18"/>
              </w:rPr>
            </w:pPr>
            <w:r w:rsidRPr="5CB4B133">
              <w:rPr>
                <w:rFonts w:ascii="Verdana" w:hAnsi="Verdana"/>
                <w:b/>
                <w:bCs/>
                <w:sz w:val="18"/>
                <w:szCs w:val="18"/>
              </w:rPr>
              <w:t>Comments/caveats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185A01"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[Indication capacity]:</w:t>
            </w:r>
          </w:p>
          <w:p w14:paraId="2041DA97" w14:textId="77777777" w:rsidR="00DD7675" w:rsidRPr="00C34DE9" w:rsidRDefault="00DD7675" w:rsidP="009A442D">
            <w:pPr>
              <w:numPr>
                <w:ilvl w:val="0"/>
                <w:numId w:val="44"/>
              </w:numPr>
              <w:spacing w:after="60"/>
              <w:contextualSpacing/>
              <w:jc w:val="both"/>
              <w:rPr>
                <w:rFonts w:ascii="Verdana" w:hAnsi="Verdana"/>
                <w:sz w:val="18"/>
                <w:szCs w:val="18"/>
              </w:rPr>
            </w:pPr>
            <w:r w:rsidRPr="00C34DE9">
              <w:rPr>
                <w:rFonts w:ascii="Verdana" w:hAnsi="Verdana"/>
                <w:sz w:val="18"/>
                <w:szCs w:val="18"/>
              </w:rPr>
              <w:t xml:space="preserve">It is acknowledged that agriculture is a main contributor to diffuse nitrates pollution. </w:t>
            </w:r>
          </w:p>
          <w:p w14:paraId="196BA102" w14:textId="77777777" w:rsidR="00DD7675" w:rsidRPr="00C34DE9" w:rsidRDefault="00DD7675" w:rsidP="009A442D">
            <w:pPr>
              <w:numPr>
                <w:ilvl w:val="0"/>
                <w:numId w:val="44"/>
              </w:numPr>
              <w:spacing w:after="60"/>
              <w:contextualSpacing/>
              <w:jc w:val="both"/>
              <w:rPr>
                <w:rFonts w:ascii="Verdana" w:hAnsi="Verdana"/>
                <w:sz w:val="18"/>
                <w:szCs w:val="18"/>
              </w:rPr>
            </w:pPr>
            <w:r w:rsidRPr="00C34DE9">
              <w:rPr>
                <w:rFonts w:ascii="Verdana" w:hAnsi="Verdana"/>
                <w:sz w:val="18"/>
                <w:szCs w:val="18"/>
              </w:rPr>
              <w:t>Inter-annual variation in hydrology may give rise to variation in river nitrate concentrations</w:t>
            </w:r>
            <w:r w:rsidR="00263438">
              <w:rPr>
                <w:rFonts w:ascii="Verdana" w:hAnsi="Verdana"/>
                <w:sz w:val="18"/>
                <w:szCs w:val="18"/>
              </w:rPr>
              <w:t xml:space="preserve"> in surface water bodies</w:t>
            </w:r>
            <w:r w:rsidRPr="00C34DE9">
              <w:rPr>
                <w:rFonts w:ascii="Verdana" w:hAnsi="Verdana"/>
                <w:sz w:val="18"/>
                <w:szCs w:val="18"/>
              </w:rPr>
              <w:t>, but this does not affect long-term trends.</w:t>
            </w:r>
            <w:r w:rsidR="00263438">
              <w:rPr>
                <w:rFonts w:ascii="Verdana" w:hAnsi="Verdana"/>
                <w:sz w:val="18"/>
                <w:szCs w:val="18"/>
              </w:rPr>
              <w:t xml:space="preserve"> Moreover, this indicator refers only to groundwater.</w:t>
            </w:r>
          </w:p>
          <w:p w14:paraId="510C8E83" w14:textId="7ADEBB93" w:rsidR="00DD7675" w:rsidRPr="00C34DE9" w:rsidRDefault="00DD7675" w:rsidP="00E814F5">
            <w:pPr>
              <w:spacing w:after="60"/>
              <w:contextualSpacing/>
              <w:jc w:val="both"/>
            </w:pPr>
          </w:p>
          <w:p w14:paraId="69C407B0"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 xml:space="preserve">[Readily available?]: </w:t>
            </w:r>
          </w:p>
          <w:p w14:paraId="2067CB73" w14:textId="77777777" w:rsidR="00DD7675" w:rsidRDefault="00DD7675" w:rsidP="00DD7675">
            <w:pPr>
              <w:spacing w:after="60"/>
              <w:contextualSpacing/>
              <w:jc w:val="both"/>
              <w:rPr>
                <w:rFonts w:ascii="Verdana" w:hAnsi="Verdana"/>
                <w:sz w:val="18"/>
                <w:szCs w:val="18"/>
              </w:rPr>
            </w:pPr>
            <w:r w:rsidRPr="00C34DE9">
              <w:rPr>
                <w:rFonts w:ascii="Verdana" w:hAnsi="Verdana"/>
                <w:sz w:val="18"/>
                <w:szCs w:val="18"/>
              </w:rPr>
              <w:t>An indicator (AEI 27.1) is available, but has not been updated since 2009, needing checking on the sources of information (unofficial MS’s reporting) used for its estimation. The current AEI 27.1 is built as follows: for groundwater, groundwater monitoring station data are used for the</w:t>
            </w:r>
            <w:r w:rsidR="00AD5017">
              <w:rPr>
                <w:rFonts w:ascii="Verdana" w:hAnsi="Verdana"/>
                <w:sz w:val="18"/>
                <w:szCs w:val="18"/>
              </w:rPr>
              <w:t xml:space="preserve"> </w:t>
            </w:r>
            <w:r w:rsidRPr="00C34DE9">
              <w:rPr>
                <w:rFonts w:ascii="Verdana" w:hAnsi="Verdana"/>
                <w:sz w:val="18"/>
                <w:szCs w:val="18"/>
              </w:rPr>
              <w:t>current situation and groundwater bodies for the time series and trend analysis. However, the density and the stability of the monitoring station networks varies among Member States.</w:t>
            </w:r>
          </w:p>
          <w:p w14:paraId="48F4AC74" w14:textId="77777777" w:rsidR="00263438" w:rsidRDefault="00263438" w:rsidP="00DD7675">
            <w:pPr>
              <w:spacing w:after="60"/>
              <w:contextualSpacing/>
              <w:jc w:val="both"/>
              <w:rPr>
                <w:rFonts w:ascii="Verdana" w:hAnsi="Verdana"/>
                <w:sz w:val="18"/>
                <w:szCs w:val="18"/>
              </w:rPr>
            </w:pPr>
          </w:p>
          <w:p w14:paraId="6D88C863" w14:textId="77777777" w:rsidR="00263438" w:rsidRDefault="00263438" w:rsidP="00263438">
            <w:pPr>
              <w:spacing w:after="60"/>
              <w:contextualSpacing/>
              <w:jc w:val="both"/>
              <w:rPr>
                <w:rFonts w:ascii="Verdana" w:hAnsi="Verdana"/>
                <w:sz w:val="18"/>
                <w:szCs w:val="18"/>
              </w:rPr>
            </w:pPr>
            <w:r>
              <w:rPr>
                <w:rFonts w:ascii="Verdana" w:hAnsi="Verdana"/>
                <w:sz w:val="18"/>
                <w:szCs w:val="18"/>
              </w:rPr>
              <w:t>The 4 yearly Commission reports on the implementation of the Nitrates Directive includes the percentage of stations with average values equal to or exciding 25, 40 or 50 mg nitrate per litter during the reporting period in question as well as previous ones, for each single Member State.</w:t>
            </w:r>
          </w:p>
          <w:p w14:paraId="337C6D89"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[Downscaling</w:t>
            </w:r>
            <w:r w:rsidR="00007995">
              <w:rPr>
                <w:rFonts w:ascii="Verdana" w:hAnsi="Verdana"/>
                <w:sz w:val="18"/>
                <w:szCs w:val="18"/>
              </w:rPr>
              <w:t>:</w:t>
            </w:r>
            <w:r w:rsidRPr="00C34DE9">
              <w:rPr>
                <w:rFonts w:ascii="Verdana" w:hAnsi="Verdana"/>
                <w:sz w:val="18"/>
                <w:szCs w:val="18"/>
              </w:rPr>
              <w:t>]</w:t>
            </w:r>
          </w:p>
          <w:p w14:paraId="4782E614"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Nationally averaged groundwater nitrate concentrations are all below the Nitrates and Drinking Water Directives limit of 50 mg NO</w:t>
            </w:r>
            <w:r w:rsidRPr="00C34DE9">
              <w:rPr>
                <w:rFonts w:ascii="Verdana" w:hAnsi="Verdana"/>
                <w:sz w:val="18"/>
                <w:szCs w:val="18"/>
                <w:vertAlign w:val="subscript"/>
              </w:rPr>
              <w:t>3</w:t>
            </w:r>
            <w:r w:rsidRPr="00C34DE9">
              <w:rPr>
                <w:rFonts w:ascii="Verdana" w:hAnsi="Verdana"/>
                <w:sz w:val="18"/>
                <w:szCs w:val="18"/>
              </w:rPr>
              <w:t>/l. National aggregation masks considerable variation at the scale of individual groundwater monitoring stations (e.g. approx.</w:t>
            </w:r>
            <w:r w:rsidR="00AD5017">
              <w:rPr>
                <w:rFonts w:ascii="Verdana" w:hAnsi="Verdana"/>
                <w:sz w:val="18"/>
                <w:szCs w:val="18"/>
              </w:rPr>
              <w:t xml:space="preserve"> </w:t>
            </w:r>
            <w:r w:rsidRPr="00C34DE9">
              <w:rPr>
                <w:rFonts w:ascii="Verdana" w:hAnsi="Verdana"/>
                <w:sz w:val="18"/>
                <w:szCs w:val="18"/>
              </w:rPr>
              <w:t>13</w:t>
            </w:r>
            <w:r w:rsidR="00AD5017">
              <w:rPr>
                <w:rFonts w:ascii="Verdana" w:hAnsi="Verdana"/>
                <w:sz w:val="18"/>
                <w:szCs w:val="18"/>
              </w:rPr>
              <w:t xml:space="preserve"> </w:t>
            </w:r>
            <w:r w:rsidRPr="00C34DE9">
              <w:rPr>
                <w:rFonts w:ascii="Verdana" w:hAnsi="Verdana"/>
                <w:sz w:val="18"/>
                <w:szCs w:val="18"/>
              </w:rPr>
              <w:t>% of groundwater monitoring stations across Europe, in 2009, exceeded the 50 mg NO3/l limit).</w:t>
            </w:r>
          </w:p>
          <w:p w14:paraId="03C167C8"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[Quality</w:t>
            </w:r>
            <w:r w:rsidR="00007995">
              <w:rPr>
                <w:rFonts w:ascii="Verdana" w:hAnsi="Verdana"/>
                <w:sz w:val="18"/>
                <w:szCs w:val="18"/>
              </w:rPr>
              <w:t>:</w:t>
            </w:r>
            <w:r w:rsidRPr="00C34DE9">
              <w:rPr>
                <w:rFonts w:ascii="Verdana" w:hAnsi="Verdana"/>
                <w:sz w:val="18"/>
                <w:szCs w:val="18"/>
              </w:rPr>
              <w:t>]</w:t>
            </w:r>
          </w:p>
          <w:p w14:paraId="2DB72751"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The sampling frequency and density of stations monitored varies between countries.</w:t>
            </w:r>
            <w:r w:rsidRPr="00C34DE9">
              <w:t xml:space="preserve"> </w:t>
            </w:r>
            <w:r w:rsidRPr="00C34DE9">
              <w:rPr>
                <w:rFonts w:ascii="Verdana" w:hAnsi="Verdana"/>
                <w:sz w:val="18"/>
                <w:szCs w:val="18"/>
              </w:rPr>
              <w:t>Similarly, the computation of the percentage of stations above the limit of 50 mg NO3/l is not meaningful if the stations location and sampling frequency is not spatially representative, or changes from one year to another.</w:t>
            </w:r>
          </w:p>
          <w:p w14:paraId="666C2916" w14:textId="77777777" w:rsidR="00DD7675" w:rsidRPr="00C34DE9" w:rsidRDefault="00DD7675" w:rsidP="00DD7675">
            <w:pPr>
              <w:spacing w:after="60"/>
              <w:contextualSpacing/>
              <w:jc w:val="both"/>
              <w:rPr>
                <w:rFonts w:ascii="Verdana" w:hAnsi="Verdana"/>
                <w:sz w:val="18"/>
                <w:szCs w:val="18"/>
              </w:rPr>
            </w:pPr>
            <w:r w:rsidRPr="00C34DE9">
              <w:rPr>
                <w:rFonts w:ascii="Verdana" w:hAnsi="Verdana"/>
                <w:sz w:val="18"/>
                <w:szCs w:val="18"/>
              </w:rPr>
              <w:t>According to reports on Nitrates Directive: ‘efforts are needed to ensure that the turnover of monitoring stations does not affect the accuracy of water quality trends’.</w:t>
            </w:r>
          </w:p>
          <w:p w14:paraId="5E7128F3" w14:textId="77777777" w:rsidR="00DD7675" w:rsidRDefault="00DD7675" w:rsidP="009A0468">
            <w:pPr>
              <w:spacing w:after="60"/>
              <w:contextualSpacing/>
              <w:jc w:val="both"/>
              <w:rPr>
                <w:rFonts w:ascii="Verdana" w:hAnsi="Verdana"/>
                <w:sz w:val="18"/>
                <w:szCs w:val="18"/>
              </w:rPr>
            </w:pPr>
            <w:r w:rsidRPr="00C34DE9">
              <w:rPr>
                <w:rFonts w:ascii="Verdana" w:hAnsi="Verdana"/>
                <w:sz w:val="18"/>
                <w:szCs w:val="18"/>
              </w:rPr>
              <w:t>The data provided via WISE-SoE Groundwater might be for the future combined with the data coming from the Nitrate Directive (which reflect more the impact of agriculture). DG Environment and EEA are together with Member States (MS) working on a streamlining of the different MS reporting on water quality including coordination of WISE-SOE a</w:t>
            </w:r>
            <w:r w:rsidR="009A0468">
              <w:rPr>
                <w:rFonts w:ascii="Verdana" w:hAnsi="Verdana"/>
                <w:sz w:val="18"/>
                <w:szCs w:val="18"/>
              </w:rPr>
              <w:t>nd Nitrate Directive reporting.</w:t>
            </w:r>
          </w:p>
          <w:p w14:paraId="363CEB10" w14:textId="77777777" w:rsidR="00D34F97" w:rsidRDefault="00D34F97" w:rsidP="009A0468">
            <w:pPr>
              <w:spacing w:after="60"/>
              <w:contextualSpacing/>
              <w:jc w:val="both"/>
              <w:rPr>
                <w:rFonts w:ascii="Verdana" w:hAnsi="Verdana"/>
                <w:sz w:val="18"/>
                <w:szCs w:val="18"/>
              </w:rPr>
            </w:pPr>
          </w:p>
          <w:p w14:paraId="5A129728" w14:textId="77777777" w:rsidR="00D34F97" w:rsidRPr="00C34DE9" w:rsidRDefault="00D34F97" w:rsidP="009A0468">
            <w:pPr>
              <w:spacing w:after="60"/>
              <w:contextualSpacing/>
              <w:jc w:val="both"/>
              <w:rPr>
                <w:rFonts w:ascii="Verdana" w:hAnsi="Verdana"/>
                <w:sz w:val="18"/>
                <w:szCs w:val="18"/>
              </w:rPr>
            </w:pPr>
            <w:r w:rsidRPr="5CB4B133">
              <w:rPr>
                <w:rFonts w:ascii="Verdana" w:hAnsi="Verdana"/>
                <w:b/>
                <w:bCs/>
                <w:sz w:val="18"/>
                <w:szCs w:val="18"/>
              </w:rPr>
              <w:t>This indicator has common ground with the one used for the EU reporting on UN Sustainable Development Goals.</w:t>
            </w:r>
          </w:p>
        </w:tc>
      </w:tr>
    </w:tbl>
    <w:p w14:paraId="5BAC0BED" w14:textId="77777777" w:rsidR="00684492" w:rsidRPr="00C34DE9" w:rsidRDefault="00684492" w:rsidP="00544872">
      <w:pPr>
        <w:spacing w:after="60"/>
        <w:rPr>
          <w:rFonts w:ascii="Verdana" w:hAnsi="Verdana"/>
          <w:sz w:val="18"/>
          <w:szCs w:val="18"/>
        </w:rPr>
      </w:pPr>
    </w:p>
    <w:p w14:paraId="72527895" w14:textId="77777777" w:rsidR="00684492" w:rsidRPr="00C34DE9" w:rsidRDefault="00684492" w:rsidP="00544872">
      <w:pPr>
        <w:spacing w:after="60"/>
        <w:rPr>
          <w:rFonts w:ascii="Verdana" w:hAnsi="Verdana"/>
          <w:sz w:val="18"/>
          <w:szCs w:val="18"/>
        </w:rPr>
      </w:pPr>
      <w:r w:rsidRPr="00C34DE9">
        <w:rPr>
          <w:rFonts w:ascii="Verdana" w:hAnsi="Verdana"/>
          <w:sz w:val="18"/>
          <w:szCs w:val="18"/>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935FDB" w:rsidRPr="00C34DE9" w14:paraId="2B1397B0"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60E8E523" w14:textId="0CB4C695" w:rsidR="00935FDB" w:rsidRPr="00C34DE9" w:rsidRDefault="00935FDB" w:rsidP="00340D8D">
            <w:pPr>
              <w:spacing w:after="60"/>
              <w:rPr>
                <w:rFonts w:ascii="Verdana" w:hAnsi="Verdana"/>
                <w:b/>
                <w:bCs/>
                <w:sz w:val="18"/>
                <w:szCs w:val="18"/>
              </w:rPr>
            </w:pPr>
            <w:bookmarkStart w:id="60" w:name="C39"/>
            <w:r w:rsidRPr="5CB4B133">
              <w:rPr>
                <w:rFonts w:ascii="Verdana" w:hAnsi="Verdana"/>
                <w:b/>
                <w:bCs/>
                <w:smallCaps/>
                <w:sz w:val="18"/>
                <w:szCs w:val="18"/>
              </w:rPr>
              <w:lastRenderedPageBreak/>
              <w:t>Indicator C.</w:t>
            </w:r>
            <w:r w:rsidR="00340D8D">
              <w:rPr>
                <w:rFonts w:ascii="Verdana" w:hAnsi="Verdana"/>
                <w:b/>
                <w:bCs/>
                <w:smallCaps/>
                <w:sz w:val="18"/>
                <w:szCs w:val="18"/>
              </w:rPr>
              <w:t>40</w:t>
            </w:r>
            <w:bookmarkEnd w:id="60"/>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61AB570A" w14:textId="77777777" w:rsidR="00935FDB" w:rsidRPr="005274D1" w:rsidRDefault="00935FDB" w:rsidP="5CB4B133">
            <w:pPr>
              <w:spacing w:after="60"/>
              <w:rPr>
                <w:rFonts w:ascii="Verdana" w:hAnsi="Verdana"/>
                <w:b/>
                <w:bCs/>
                <w:caps/>
                <w:sz w:val="18"/>
                <w:szCs w:val="18"/>
              </w:rPr>
            </w:pPr>
            <w:bookmarkStart w:id="61" w:name="I11"/>
            <w:r w:rsidRPr="5CB4B133">
              <w:rPr>
                <w:rFonts w:ascii="Verdana" w:hAnsi="Verdana"/>
                <w:b/>
                <w:bCs/>
                <w:sz w:val="18"/>
                <w:szCs w:val="18"/>
              </w:rPr>
              <w:t>Indicator I.11</w:t>
            </w:r>
            <w:bookmarkEnd w:id="61"/>
            <w:r w:rsidRPr="5CB4B133">
              <w:rPr>
                <w:rFonts w:ascii="Verdana" w:hAnsi="Verdana"/>
                <w:b/>
                <w:bCs/>
                <w:sz w:val="18"/>
                <w:szCs w:val="18"/>
              </w:rPr>
              <w:t xml:space="preserve"> Enhancing carbon sequestration</w:t>
            </w:r>
            <w:r w:rsidRPr="005274D1">
              <w:rPr>
                <w:rFonts w:ascii="Verdana" w:hAnsi="Verdana"/>
                <w:sz w:val="18"/>
                <w:szCs w:val="18"/>
              </w:rPr>
              <w:t>:</w:t>
            </w:r>
            <w:r w:rsidRPr="5CB4B133">
              <w:rPr>
                <w:rFonts w:ascii="Verdana" w:hAnsi="Verdana"/>
                <w:b/>
                <w:bCs/>
                <w:sz w:val="18"/>
                <w:szCs w:val="18"/>
              </w:rPr>
              <w:t xml:space="preserve"> </w:t>
            </w:r>
          </w:p>
          <w:p w14:paraId="053706FC" w14:textId="11415874" w:rsidR="00935FDB" w:rsidRPr="005274D1" w:rsidRDefault="00544397" w:rsidP="008E6BE1">
            <w:pPr>
              <w:spacing w:after="60"/>
              <w:rPr>
                <w:rFonts w:ascii="Verdana" w:hAnsi="Verdana"/>
                <w:caps/>
                <w:sz w:val="18"/>
                <w:szCs w:val="18"/>
              </w:rPr>
            </w:pPr>
            <w:r>
              <w:rPr>
                <w:rFonts w:ascii="Verdana" w:hAnsi="Verdana"/>
                <w:sz w:val="18"/>
                <w:szCs w:val="18"/>
              </w:rPr>
              <w:t>S</w:t>
            </w:r>
            <w:r w:rsidR="00935FDB" w:rsidRPr="005274D1">
              <w:rPr>
                <w:rFonts w:ascii="Verdana" w:hAnsi="Verdana"/>
                <w:sz w:val="18"/>
                <w:szCs w:val="18"/>
              </w:rPr>
              <w:t xml:space="preserve">oil organic carbon </w:t>
            </w:r>
            <w:r>
              <w:rPr>
                <w:rFonts w:ascii="Verdana" w:hAnsi="Verdana"/>
                <w:sz w:val="18"/>
                <w:szCs w:val="18"/>
              </w:rPr>
              <w:t>in agricultural land</w:t>
            </w:r>
          </w:p>
        </w:tc>
      </w:tr>
      <w:tr w:rsidR="00935FDB" w:rsidRPr="00C34DE9" w14:paraId="3A935496"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4B59E38"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 xml:space="preserve">Indicator </w:t>
            </w:r>
            <w:r w:rsidR="00390E12" w:rsidRPr="5CB4B133">
              <w:rPr>
                <w:rFonts w:ascii="Verdana" w:hAnsi="Verdana"/>
                <w:b/>
                <w:bCs/>
                <w:sz w:val="18"/>
                <w:szCs w:val="18"/>
              </w:rPr>
              <w:t>N</w:t>
            </w:r>
            <w:r w:rsidRPr="5CB4B133">
              <w:rPr>
                <w:rFonts w:ascii="Verdana" w:hAnsi="Verdana"/>
                <w:b/>
                <w:bCs/>
                <w:sz w:val="18"/>
                <w:szCs w:val="18"/>
              </w:rPr>
              <w:t>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6836A57" w14:textId="61C3520C" w:rsidR="00935FDB" w:rsidRPr="00C34DE9" w:rsidRDefault="00935FDB" w:rsidP="3F4AE0BD">
            <w:pPr>
              <w:spacing w:after="60"/>
              <w:jc w:val="center"/>
              <w:rPr>
                <w:rFonts w:ascii="Verdana" w:hAnsi="Verdana"/>
                <w:b/>
                <w:bCs/>
                <w:sz w:val="18"/>
                <w:szCs w:val="18"/>
              </w:rPr>
            </w:pPr>
            <w:r w:rsidRPr="3F4AE0BD">
              <w:rPr>
                <w:rFonts w:ascii="Verdana" w:hAnsi="Verdana"/>
                <w:b/>
                <w:bCs/>
                <w:sz w:val="18"/>
                <w:szCs w:val="18"/>
              </w:rPr>
              <w:t>Soil organic</w:t>
            </w:r>
            <w:r w:rsidR="00EC026F" w:rsidRPr="3F4AE0BD">
              <w:rPr>
                <w:rFonts w:ascii="Verdana" w:hAnsi="Verdana"/>
                <w:b/>
                <w:bCs/>
                <w:sz w:val="18"/>
                <w:szCs w:val="18"/>
              </w:rPr>
              <w:t xml:space="preserve"> carbon</w:t>
            </w:r>
            <w:r w:rsidRPr="3F4AE0BD">
              <w:rPr>
                <w:rFonts w:ascii="Verdana" w:hAnsi="Verdana"/>
                <w:b/>
                <w:bCs/>
                <w:sz w:val="18"/>
                <w:szCs w:val="18"/>
              </w:rPr>
              <w:t xml:space="preserve"> in</w:t>
            </w:r>
            <w:r w:rsidR="00EC026F" w:rsidRPr="3F4AE0BD">
              <w:rPr>
                <w:rFonts w:ascii="Verdana" w:hAnsi="Verdana"/>
                <w:b/>
                <w:bCs/>
                <w:sz w:val="18"/>
                <w:szCs w:val="18"/>
              </w:rPr>
              <w:t xml:space="preserve"> agricultural </w:t>
            </w:r>
            <w:r w:rsidRPr="3F4AE0BD">
              <w:rPr>
                <w:rFonts w:ascii="Verdana" w:hAnsi="Verdana"/>
                <w:b/>
                <w:bCs/>
                <w:sz w:val="18"/>
                <w:szCs w:val="18"/>
              </w:rPr>
              <w:t xml:space="preserve">land </w:t>
            </w:r>
          </w:p>
        </w:tc>
      </w:tr>
      <w:tr w:rsidR="00935FDB" w:rsidRPr="00C34DE9" w14:paraId="05AE8571" w14:textId="77777777" w:rsidTr="790C88FB">
        <w:trPr>
          <w:trHeight w:val="558"/>
        </w:trPr>
        <w:tc>
          <w:tcPr>
            <w:tcW w:w="2802" w:type="dxa"/>
            <w:tcBorders>
              <w:top w:val="single" w:sz="4" w:space="0" w:color="auto"/>
              <w:left w:val="single" w:sz="4" w:space="0" w:color="auto"/>
              <w:bottom w:val="single" w:sz="4" w:space="0" w:color="auto"/>
              <w:right w:val="single" w:sz="4" w:space="0" w:color="auto"/>
            </w:tcBorders>
            <w:vAlign w:val="center"/>
          </w:tcPr>
          <w:p w14:paraId="4120D52F"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9F4BFC" w14:textId="77777777" w:rsidR="00935FDB" w:rsidRPr="00C34DE9" w:rsidRDefault="00935FDB" w:rsidP="00B3636B">
            <w:pPr>
              <w:spacing w:after="120" w:line="240" w:lineRule="auto"/>
              <w:rPr>
                <w:rFonts w:ascii="Verdana" w:eastAsia="Times New Roman" w:hAnsi="Verdana" w:cs="Calibri"/>
                <w:sz w:val="18"/>
                <w:szCs w:val="18"/>
              </w:rPr>
            </w:pPr>
            <w:r w:rsidRPr="00C34DE9">
              <w:rPr>
                <w:rFonts w:ascii="Verdana" w:eastAsia="Times New Roman" w:hAnsi="Verdana" w:cs="Calibri"/>
                <w:sz w:val="18"/>
                <w:szCs w:val="18"/>
              </w:rPr>
              <w:t xml:space="preserve">The indicator estimates the </w:t>
            </w:r>
            <w:r w:rsidRPr="5CB4B133">
              <w:rPr>
                <w:rFonts w:ascii="Verdana" w:eastAsia="Times New Roman" w:hAnsi="Verdana" w:cs="Calibri"/>
                <w:b/>
                <w:bCs/>
                <w:sz w:val="18"/>
                <w:szCs w:val="18"/>
              </w:rPr>
              <w:t xml:space="preserve">total organic carbon content in </w:t>
            </w:r>
            <w:r w:rsidR="002057BE" w:rsidRPr="5CB4B133">
              <w:rPr>
                <w:rFonts w:ascii="Verdana" w:eastAsia="Times New Roman" w:hAnsi="Verdana" w:cs="Calibri"/>
                <w:b/>
                <w:bCs/>
                <w:sz w:val="18"/>
                <w:szCs w:val="18"/>
              </w:rPr>
              <w:t xml:space="preserve">soils on </w:t>
            </w:r>
            <w:r w:rsidRPr="5CB4B133">
              <w:rPr>
                <w:rFonts w:ascii="Verdana" w:eastAsia="Times New Roman" w:hAnsi="Verdana" w:cs="Calibri"/>
                <w:b/>
                <w:bCs/>
                <w:sz w:val="18"/>
                <w:szCs w:val="18"/>
              </w:rPr>
              <w:t xml:space="preserve">agricultural </w:t>
            </w:r>
            <w:r w:rsidR="002057BE" w:rsidRPr="5CB4B133">
              <w:rPr>
                <w:rFonts w:ascii="Verdana" w:eastAsia="Times New Roman" w:hAnsi="Verdana" w:cs="Calibri"/>
                <w:b/>
                <w:bCs/>
                <w:sz w:val="18"/>
                <w:szCs w:val="18"/>
              </w:rPr>
              <w:t>land</w:t>
            </w:r>
            <w:r w:rsidRPr="00C34DE9">
              <w:rPr>
                <w:rFonts w:ascii="Verdana" w:eastAsia="Times New Roman" w:hAnsi="Verdana" w:cs="Calibri"/>
                <w:sz w:val="18"/>
                <w:szCs w:val="18"/>
              </w:rPr>
              <w:t>.</w:t>
            </w:r>
          </w:p>
          <w:p w14:paraId="3132C935" w14:textId="77777777" w:rsidR="00935FDB" w:rsidRPr="00C34DE9" w:rsidRDefault="00935FDB" w:rsidP="00B3636B">
            <w:pPr>
              <w:spacing w:after="120" w:line="240" w:lineRule="auto"/>
              <w:jc w:val="both"/>
              <w:rPr>
                <w:rFonts w:ascii="Verdana" w:hAnsi="Verdana" w:cs="Calibri"/>
                <w:sz w:val="18"/>
                <w:szCs w:val="18"/>
              </w:rPr>
            </w:pPr>
            <w:r w:rsidRPr="00C34DE9">
              <w:rPr>
                <w:rFonts w:ascii="Verdana" w:hAnsi="Verdana" w:cs="Calibri"/>
                <w:sz w:val="18"/>
                <w:szCs w:val="18"/>
              </w:rPr>
              <w:t>Soil organic carbon</w:t>
            </w:r>
            <w:r w:rsidR="00D51549">
              <w:rPr>
                <w:rFonts w:ascii="Verdana" w:hAnsi="Verdana" w:cs="Calibri"/>
                <w:sz w:val="18"/>
                <w:szCs w:val="18"/>
              </w:rPr>
              <w:t xml:space="preserve"> (SOC)</w:t>
            </w:r>
            <w:r w:rsidRPr="00C34DE9">
              <w:rPr>
                <w:rFonts w:ascii="Verdana" w:hAnsi="Verdana" w:cs="Calibri"/>
                <w:sz w:val="18"/>
                <w:szCs w:val="18"/>
              </w:rPr>
              <w:t xml:space="preserve">, the major component of soil organic matter, is extremely important in all soil processes. Organic matter in soil is essentially derived from residual plant tissues, while microbial, fungal and animal contributions constitute a small part of its total amount. Microbes, fungi and animals decompose organic matter more or less efficiently depending on temperature, moisture and </w:t>
            </w:r>
            <w:r w:rsidR="00D51549">
              <w:rPr>
                <w:rFonts w:ascii="Verdana" w:hAnsi="Verdana" w:cs="Calibri"/>
                <w:sz w:val="18"/>
                <w:szCs w:val="18"/>
              </w:rPr>
              <w:t>environmental</w:t>
            </w:r>
            <w:r w:rsidR="00D51549" w:rsidRPr="00C34DE9">
              <w:rPr>
                <w:rFonts w:ascii="Verdana" w:hAnsi="Verdana" w:cs="Calibri"/>
                <w:sz w:val="18"/>
                <w:szCs w:val="18"/>
              </w:rPr>
              <w:t xml:space="preserve"> </w:t>
            </w:r>
            <w:r w:rsidRPr="00C34DE9">
              <w:rPr>
                <w:rFonts w:ascii="Verdana" w:hAnsi="Verdana" w:cs="Calibri"/>
                <w:sz w:val="18"/>
                <w:szCs w:val="18"/>
              </w:rPr>
              <w:t>soil conditions</w:t>
            </w:r>
            <w:r w:rsidR="00D51549">
              <w:rPr>
                <w:rFonts w:ascii="Verdana" w:hAnsi="Verdana" w:cs="Calibri"/>
                <w:sz w:val="18"/>
                <w:szCs w:val="18"/>
              </w:rPr>
              <w:t>, which is then stabili</w:t>
            </w:r>
            <w:r w:rsidR="00BC68A7">
              <w:rPr>
                <w:rFonts w:ascii="Verdana" w:hAnsi="Verdana" w:cs="Calibri"/>
                <w:sz w:val="18"/>
                <w:szCs w:val="18"/>
              </w:rPr>
              <w:t>s</w:t>
            </w:r>
            <w:r w:rsidR="00D51549">
              <w:rPr>
                <w:rFonts w:ascii="Verdana" w:hAnsi="Verdana" w:cs="Calibri"/>
                <w:sz w:val="18"/>
                <w:szCs w:val="18"/>
              </w:rPr>
              <w:t>ed with the mineral matrix.</w:t>
            </w:r>
            <w:r w:rsidRPr="00C34DE9">
              <w:rPr>
                <w:rFonts w:ascii="Verdana" w:hAnsi="Verdana" w:cs="Calibri"/>
                <w:sz w:val="18"/>
                <w:szCs w:val="18"/>
              </w:rPr>
              <w:t xml:space="preserve"> The annual </w:t>
            </w:r>
            <w:r w:rsidR="00D51549">
              <w:rPr>
                <w:rFonts w:ascii="Verdana" w:hAnsi="Verdana" w:cs="Calibri"/>
                <w:sz w:val="18"/>
                <w:szCs w:val="18"/>
              </w:rPr>
              <w:t>exchange of carbon between soil and the atmosphere</w:t>
            </w:r>
            <w:r w:rsidRPr="00C34DE9">
              <w:rPr>
                <w:rFonts w:ascii="Verdana" w:hAnsi="Verdana" w:cs="Calibri"/>
                <w:sz w:val="18"/>
                <w:szCs w:val="18"/>
              </w:rPr>
              <w:t xml:space="preserve"> can vary greatly, depending on cultivation practices, the type of plant/crop cover, drainage status of the soil and weather conditions. There are two groups of factors that influence inherent organic matter </w:t>
            </w:r>
            <w:r w:rsidR="00D51549">
              <w:rPr>
                <w:rFonts w:ascii="Verdana" w:hAnsi="Verdana" w:cs="Calibri"/>
                <w:sz w:val="18"/>
                <w:szCs w:val="18"/>
              </w:rPr>
              <w:t xml:space="preserve">content and </w:t>
            </w:r>
            <w:r w:rsidR="002057BE">
              <w:rPr>
                <w:rFonts w:ascii="Verdana" w:hAnsi="Verdana" w:cs="Calibri"/>
                <w:sz w:val="18"/>
                <w:szCs w:val="18"/>
              </w:rPr>
              <w:t>accumulation</w:t>
            </w:r>
            <w:r w:rsidRPr="00C34DE9">
              <w:rPr>
                <w:rFonts w:ascii="Verdana" w:hAnsi="Verdana" w:cs="Calibri"/>
                <w:sz w:val="18"/>
                <w:szCs w:val="18"/>
              </w:rPr>
              <w:t>:</w:t>
            </w:r>
          </w:p>
          <w:p w14:paraId="045DB4C0" w14:textId="77777777" w:rsidR="00935FDB" w:rsidRPr="00C34DE9" w:rsidRDefault="00935FDB" w:rsidP="00A85A9D">
            <w:pPr>
              <w:numPr>
                <w:ilvl w:val="0"/>
                <w:numId w:val="37"/>
              </w:numPr>
              <w:spacing w:after="120" w:line="240" w:lineRule="auto"/>
              <w:jc w:val="both"/>
              <w:rPr>
                <w:rFonts w:ascii="Verdana" w:hAnsi="Verdana" w:cs="Calibri"/>
                <w:sz w:val="18"/>
                <w:szCs w:val="18"/>
              </w:rPr>
            </w:pPr>
            <w:r w:rsidRPr="00C34DE9">
              <w:rPr>
                <w:rFonts w:ascii="Verdana" w:hAnsi="Verdana" w:cs="Calibri"/>
                <w:sz w:val="18"/>
                <w:szCs w:val="18"/>
              </w:rPr>
              <w:t>natural factors (climate, soil parent material, land cover and/or vegetation and topography),</w:t>
            </w:r>
          </w:p>
          <w:p w14:paraId="19EBC999" w14:textId="77777777" w:rsidR="00935FDB" w:rsidRPr="00C34DE9" w:rsidRDefault="00935FDB" w:rsidP="00A85A9D">
            <w:pPr>
              <w:numPr>
                <w:ilvl w:val="0"/>
                <w:numId w:val="37"/>
              </w:numPr>
              <w:spacing w:after="120" w:line="240" w:lineRule="auto"/>
              <w:jc w:val="both"/>
              <w:rPr>
                <w:rFonts w:ascii="Verdana" w:hAnsi="Verdana" w:cs="Calibri"/>
                <w:sz w:val="18"/>
                <w:szCs w:val="18"/>
              </w:rPr>
            </w:pPr>
            <w:r w:rsidRPr="00C34DE9">
              <w:rPr>
                <w:rFonts w:ascii="Verdana" w:hAnsi="Verdana" w:cs="Calibri"/>
                <w:sz w:val="18"/>
                <w:szCs w:val="18"/>
              </w:rPr>
              <w:t xml:space="preserve">and human-induced factors (land use, management and degradation) </w:t>
            </w:r>
          </w:p>
          <w:p w14:paraId="05A1ADA1" w14:textId="79422F5B" w:rsidR="00D51549" w:rsidRDefault="00935FDB" w:rsidP="00B3636B">
            <w:pPr>
              <w:spacing w:after="120" w:line="288" w:lineRule="atLeast"/>
              <w:jc w:val="both"/>
              <w:rPr>
                <w:rFonts w:ascii="Verdana" w:hAnsi="Verdana" w:cs="Calibri"/>
                <w:sz w:val="18"/>
                <w:szCs w:val="18"/>
              </w:rPr>
            </w:pPr>
            <w:r w:rsidRPr="00C34DE9">
              <w:rPr>
                <w:rFonts w:ascii="Verdana" w:hAnsi="Verdana" w:cs="Calibri"/>
                <w:sz w:val="18"/>
                <w:szCs w:val="18"/>
              </w:rPr>
              <w:t xml:space="preserve">The indicator is expressed </w:t>
            </w:r>
            <w:r w:rsidR="005B2FAF">
              <w:rPr>
                <w:rFonts w:ascii="Verdana" w:hAnsi="Verdana" w:cs="Calibri"/>
                <w:sz w:val="18"/>
                <w:szCs w:val="18"/>
              </w:rPr>
              <w:t xml:space="preserve">with </w:t>
            </w:r>
            <w:r w:rsidR="00D27E29">
              <w:rPr>
                <w:rFonts w:ascii="Verdana" w:hAnsi="Verdana" w:cs="Calibri"/>
                <w:sz w:val="18"/>
                <w:szCs w:val="18"/>
              </w:rPr>
              <w:t>3</w:t>
            </w:r>
            <w:r w:rsidR="001E1918">
              <w:rPr>
                <w:rFonts w:ascii="Verdana" w:hAnsi="Verdana" w:cs="Calibri"/>
                <w:sz w:val="18"/>
                <w:szCs w:val="18"/>
              </w:rPr>
              <w:t xml:space="preserve"> </w:t>
            </w:r>
            <w:r w:rsidR="00DD478B">
              <w:rPr>
                <w:rFonts w:ascii="Verdana" w:hAnsi="Verdana" w:cs="Calibri"/>
                <w:sz w:val="18"/>
                <w:szCs w:val="18"/>
              </w:rPr>
              <w:t xml:space="preserve">specific </w:t>
            </w:r>
            <w:r w:rsidR="001E1918">
              <w:rPr>
                <w:rFonts w:ascii="Verdana" w:hAnsi="Verdana" w:cs="Calibri"/>
                <w:sz w:val="18"/>
                <w:szCs w:val="18"/>
              </w:rPr>
              <w:t>indicators</w:t>
            </w:r>
            <w:r w:rsidR="00D51549">
              <w:rPr>
                <w:rFonts w:ascii="Verdana" w:hAnsi="Verdana" w:cs="Calibri"/>
                <w:sz w:val="18"/>
                <w:szCs w:val="18"/>
              </w:rPr>
              <w:t>:</w:t>
            </w:r>
          </w:p>
          <w:p w14:paraId="268EB210" w14:textId="45471B94" w:rsidR="00935FDB" w:rsidRPr="00D27E29" w:rsidRDefault="00935FDB" w:rsidP="00665997">
            <w:pPr>
              <w:pStyle w:val="ListParagraph"/>
              <w:numPr>
                <w:ilvl w:val="0"/>
                <w:numId w:val="60"/>
              </w:numPr>
              <w:spacing w:after="120" w:line="288" w:lineRule="atLeast"/>
              <w:jc w:val="both"/>
              <w:rPr>
                <w:rFonts w:ascii="Verdana" w:hAnsi="Verdana" w:cs="Calibri"/>
                <w:sz w:val="18"/>
                <w:szCs w:val="18"/>
              </w:rPr>
            </w:pPr>
            <w:r w:rsidRPr="3F4AE0BD">
              <w:rPr>
                <w:rFonts w:ascii="Verdana" w:hAnsi="Verdana"/>
                <w:b/>
                <w:bCs/>
                <w:sz w:val="18"/>
                <w:szCs w:val="18"/>
                <w:shd w:val="clear" w:color="auto" w:fill="00B0F0"/>
              </w:rPr>
              <w:t xml:space="preserve">estimate of the total </w:t>
            </w:r>
            <w:r w:rsidR="00D27E29" w:rsidRPr="3F4AE0BD">
              <w:rPr>
                <w:rFonts w:ascii="Verdana" w:hAnsi="Verdana"/>
                <w:b/>
                <w:bCs/>
                <w:sz w:val="18"/>
                <w:szCs w:val="18"/>
                <w:shd w:val="clear" w:color="auto" w:fill="00B0F0"/>
              </w:rPr>
              <w:t>organic carbon content in soils on agricultural land</w:t>
            </w:r>
            <w:r w:rsidR="00D27E29" w:rsidRPr="3F4AE0BD" w:rsidDel="00D27E29">
              <w:rPr>
                <w:rFonts w:ascii="Verdana" w:hAnsi="Verdana" w:cs="Calibri"/>
                <w:b/>
                <w:bCs/>
                <w:sz w:val="18"/>
                <w:szCs w:val="18"/>
              </w:rPr>
              <w:t xml:space="preserve"> </w:t>
            </w:r>
            <w:r w:rsidR="007D3E04" w:rsidRPr="00D27E29">
              <w:rPr>
                <w:rFonts w:ascii="Verdana" w:hAnsi="Verdana" w:cs="Calibri"/>
                <w:sz w:val="18"/>
                <w:szCs w:val="18"/>
              </w:rPr>
              <w:t>of EU Member States</w:t>
            </w:r>
            <w:r w:rsidR="00D27E29" w:rsidRPr="00D27E29">
              <w:rPr>
                <w:rFonts w:ascii="Verdana" w:hAnsi="Verdana" w:cs="Calibri"/>
                <w:sz w:val="18"/>
                <w:szCs w:val="18"/>
              </w:rPr>
              <w:t xml:space="preserve"> (with a breakdown by arable land, grassland and permanent crops)</w:t>
            </w:r>
          </w:p>
          <w:p w14:paraId="4B51C89C" w14:textId="77777777" w:rsidR="00D27E29" w:rsidRPr="007D3E04" w:rsidRDefault="00D27E29" w:rsidP="00665997">
            <w:pPr>
              <w:pStyle w:val="ListParagraph"/>
              <w:numPr>
                <w:ilvl w:val="0"/>
                <w:numId w:val="60"/>
              </w:numPr>
              <w:spacing w:after="120" w:line="288" w:lineRule="atLeast"/>
              <w:jc w:val="both"/>
              <w:rPr>
                <w:rFonts w:ascii="Verdana" w:hAnsi="Verdana" w:cs="Calibri"/>
                <w:b/>
                <w:bCs/>
                <w:sz w:val="18"/>
                <w:szCs w:val="18"/>
              </w:rPr>
            </w:pPr>
            <w:r w:rsidRPr="3F4AE0BD">
              <w:rPr>
                <w:rFonts w:ascii="Verdana" w:hAnsi="Verdana" w:cs="Calibri"/>
                <w:b/>
                <w:bCs/>
                <w:sz w:val="18"/>
                <w:szCs w:val="18"/>
              </w:rPr>
              <w:t>the mean organic carbon content in agricultural land</w:t>
            </w:r>
          </w:p>
          <w:p w14:paraId="1B89D660" w14:textId="53F9D614" w:rsidR="00D51549" w:rsidRPr="007D3E04" w:rsidRDefault="00D51549" w:rsidP="00665997">
            <w:pPr>
              <w:pStyle w:val="ListParagraph"/>
              <w:numPr>
                <w:ilvl w:val="0"/>
                <w:numId w:val="60"/>
              </w:numPr>
              <w:spacing w:after="120" w:line="288" w:lineRule="atLeast"/>
              <w:jc w:val="both"/>
              <w:rPr>
                <w:rFonts w:ascii="Verdana" w:hAnsi="Verdana" w:cs="Calibri"/>
                <w:b/>
                <w:bCs/>
                <w:sz w:val="18"/>
                <w:szCs w:val="18"/>
              </w:rPr>
            </w:pPr>
            <w:r w:rsidRPr="3F4AE0BD">
              <w:rPr>
                <w:rFonts w:ascii="Verdana" w:hAnsi="Verdana" w:cs="Calibri"/>
                <w:b/>
                <w:bCs/>
                <w:sz w:val="18"/>
                <w:szCs w:val="18"/>
              </w:rPr>
              <w:t xml:space="preserve">estimate of SOC changes </w:t>
            </w:r>
            <w:r w:rsidR="00D27E29" w:rsidRPr="3F4AE0BD">
              <w:rPr>
                <w:rFonts w:ascii="Verdana" w:hAnsi="Verdana" w:cs="Calibri"/>
                <w:b/>
                <w:bCs/>
                <w:sz w:val="18"/>
                <w:szCs w:val="18"/>
              </w:rPr>
              <w:t xml:space="preserve">over </w:t>
            </w:r>
            <w:r w:rsidRPr="3F4AE0BD">
              <w:rPr>
                <w:rFonts w:ascii="Verdana" w:hAnsi="Verdana" w:cs="Calibri"/>
                <w:b/>
                <w:bCs/>
                <w:sz w:val="18"/>
                <w:szCs w:val="18"/>
              </w:rPr>
              <w:t>time</w:t>
            </w:r>
          </w:p>
          <w:p w14:paraId="11F1E237" w14:textId="3296AAE3" w:rsidR="001C7416" w:rsidRDefault="001C7416" w:rsidP="001C7416">
            <w:pPr>
              <w:spacing w:after="120"/>
              <w:jc w:val="both"/>
              <w:rPr>
                <w:rFonts w:ascii="Verdana" w:hAnsi="Verdana" w:cs="Calibri"/>
                <w:sz w:val="18"/>
                <w:szCs w:val="18"/>
              </w:rPr>
            </w:pPr>
            <w:r>
              <w:rPr>
                <w:rFonts w:ascii="Verdana" w:hAnsi="Verdana" w:cs="Calibri"/>
                <w:sz w:val="18"/>
                <w:szCs w:val="18"/>
              </w:rPr>
              <w:t xml:space="preserve">The methodology is based on the integration of ground data, from the </w:t>
            </w:r>
            <w:r w:rsidRPr="00C34DE9">
              <w:rPr>
                <w:rFonts w:ascii="Verdana" w:hAnsi="Verdana" w:cs="Calibri"/>
                <w:sz w:val="18"/>
                <w:szCs w:val="18"/>
              </w:rPr>
              <w:t>LUCAS</w:t>
            </w:r>
            <w:r>
              <w:rPr>
                <w:rFonts w:ascii="Verdana" w:hAnsi="Verdana" w:cs="Calibri"/>
                <w:sz w:val="18"/>
                <w:szCs w:val="18"/>
              </w:rPr>
              <w:t xml:space="preserve"> soil survey, with an advanced modelling framework coupling process-based and </w:t>
            </w:r>
            <w:r w:rsidR="00263438">
              <w:rPr>
                <w:rFonts w:ascii="Verdana" w:hAnsi="Verdana" w:cs="Calibri"/>
                <w:sz w:val="18"/>
                <w:szCs w:val="18"/>
              </w:rPr>
              <w:t xml:space="preserve">machine </w:t>
            </w:r>
            <w:r>
              <w:rPr>
                <w:rFonts w:ascii="Verdana" w:hAnsi="Verdana" w:cs="Calibri"/>
                <w:sz w:val="18"/>
                <w:szCs w:val="18"/>
              </w:rPr>
              <w:t>learning models. The model will also include scenarios on actual implementation of practices which are relevant for SOC accumulation.</w:t>
            </w:r>
          </w:p>
          <w:p w14:paraId="07801A72" w14:textId="77777777" w:rsidR="001C7416" w:rsidRDefault="001C7416" w:rsidP="001C7416">
            <w:pPr>
              <w:spacing w:after="120"/>
              <w:jc w:val="both"/>
              <w:rPr>
                <w:rFonts w:ascii="Verdana" w:hAnsi="Verdana" w:cs="Calibri"/>
                <w:sz w:val="18"/>
                <w:szCs w:val="18"/>
              </w:rPr>
            </w:pPr>
            <w:r w:rsidRPr="00C34DE9">
              <w:rPr>
                <w:rFonts w:ascii="Verdana" w:hAnsi="Verdana" w:cs="Calibri"/>
                <w:sz w:val="18"/>
                <w:szCs w:val="18"/>
              </w:rPr>
              <w:t>The LUCAS Land Use and Coverage</w:t>
            </w:r>
            <w:r w:rsidRPr="00C34DE9">
              <w:rPr>
                <w:rFonts w:ascii="Verdana" w:eastAsia="Times New Roman" w:hAnsi="Verdana"/>
                <w:sz w:val="18"/>
                <w:szCs w:val="18"/>
                <w:vertAlign w:val="superscript"/>
              </w:rPr>
              <w:footnoteReference w:id="16"/>
            </w:r>
            <w:r w:rsidRPr="00C34DE9">
              <w:rPr>
                <w:rFonts w:ascii="Verdana" w:hAnsi="Verdana" w:cs="Calibri"/>
                <w:sz w:val="18"/>
                <w:szCs w:val="18"/>
              </w:rPr>
              <w:t xml:space="preserve"> Area provides a pan-European soil component measuring the soil organic carbon content </w:t>
            </w:r>
            <w:r>
              <w:rPr>
                <w:rFonts w:ascii="Verdana" w:hAnsi="Verdana" w:cs="Calibri"/>
                <w:sz w:val="18"/>
                <w:szCs w:val="18"/>
              </w:rPr>
              <w:t xml:space="preserve">(g/kg) </w:t>
            </w:r>
            <w:r w:rsidRPr="00C34DE9">
              <w:rPr>
                <w:rFonts w:ascii="Verdana" w:hAnsi="Verdana" w:cs="Calibri"/>
                <w:sz w:val="18"/>
                <w:szCs w:val="18"/>
              </w:rPr>
              <w:t>in 2</w:t>
            </w:r>
            <w:r>
              <w:rPr>
                <w:rFonts w:ascii="Verdana" w:hAnsi="Verdana" w:cs="Calibri"/>
                <w:sz w:val="18"/>
                <w:szCs w:val="18"/>
              </w:rPr>
              <w:t xml:space="preserve">7 </w:t>
            </w:r>
            <w:r w:rsidRPr="00C34DE9">
              <w:rPr>
                <w:rFonts w:ascii="Verdana" w:hAnsi="Verdana" w:cs="Calibri"/>
                <w:sz w:val="18"/>
                <w:szCs w:val="18"/>
              </w:rPr>
              <w:t>000 topsoil (0-20 cm</w:t>
            </w:r>
            <w:r>
              <w:rPr>
                <w:rFonts w:ascii="Verdana" w:hAnsi="Verdana" w:cs="Calibri"/>
                <w:sz w:val="18"/>
                <w:szCs w:val="18"/>
              </w:rPr>
              <w:t xml:space="preserve"> and 30 cm</w:t>
            </w:r>
            <w:r w:rsidRPr="00C34DE9">
              <w:rPr>
                <w:rFonts w:ascii="Verdana" w:hAnsi="Verdana" w:cs="Calibri"/>
                <w:sz w:val="18"/>
                <w:szCs w:val="18"/>
              </w:rPr>
              <w:t>) samples.</w:t>
            </w:r>
          </w:p>
          <w:p w14:paraId="58833F4F" w14:textId="59269656" w:rsidR="001C7416" w:rsidRDefault="001C7416" w:rsidP="001C7416">
            <w:pPr>
              <w:spacing w:after="120"/>
              <w:jc w:val="both"/>
              <w:rPr>
                <w:rFonts w:ascii="Verdana" w:hAnsi="Verdana" w:cs="Calibri"/>
                <w:sz w:val="18"/>
                <w:szCs w:val="18"/>
              </w:rPr>
            </w:pPr>
            <w:r>
              <w:rPr>
                <w:rFonts w:ascii="Verdana" w:hAnsi="Verdana" w:cs="Calibri"/>
                <w:sz w:val="18"/>
                <w:szCs w:val="18"/>
              </w:rPr>
              <w:t>The LUCAS data are used to inform a biogeochemical model</w:t>
            </w:r>
            <w:r w:rsidRPr="00C34DE9">
              <w:rPr>
                <w:rFonts w:ascii="Verdana" w:eastAsia="Times New Roman" w:hAnsi="Verdana"/>
                <w:sz w:val="18"/>
                <w:szCs w:val="18"/>
                <w:vertAlign w:val="superscript"/>
              </w:rPr>
              <w:footnoteReference w:id="17"/>
            </w:r>
            <w:r>
              <w:rPr>
                <w:rFonts w:ascii="Verdana" w:hAnsi="Verdana" w:cs="Calibri"/>
                <w:sz w:val="18"/>
                <w:szCs w:val="18"/>
              </w:rPr>
              <w:t xml:space="preserve"> which estimates SOC stock values (Mg/ha) in time. The model output are then up-scaled at spatial level by a </w:t>
            </w:r>
            <w:r w:rsidR="00263438">
              <w:rPr>
                <w:rFonts w:ascii="Verdana" w:hAnsi="Verdana" w:cs="Calibri"/>
                <w:sz w:val="18"/>
                <w:szCs w:val="18"/>
              </w:rPr>
              <w:t xml:space="preserve">machine </w:t>
            </w:r>
            <w:r>
              <w:rPr>
                <w:rFonts w:ascii="Verdana" w:hAnsi="Verdana" w:cs="Calibri"/>
                <w:sz w:val="18"/>
                <w:szCs w:val="18"/>
              </w:rPr>
              <w:t>learning approach, up to a resolution of 100 m.</w:t>
            </w:r>
          </w:p>
          <w:p w14:paraId="3E20A6DF" w14:textId="77777777" w:rsidR="00935FDB" w:rsidRPr="00C34DE9" w:rsidRDefault="001C7416" w:rsidP="002F6287">
            <w:pPr>
              <w:spacing w:after="120"/>
              <w:jc w:val="both"/>
              <w:rPr>
                <w:rFonts w:ascii="Verdana" w:hAnsi="Verdana" w:cs="Calibri"/>
                <w:sz w:val="18"/>
                <w:szCs w:val="18"/>
              </w:rPr>
            </w:pPr>
            <w:r>
              <w:rPr>
                <w:rFonts w:ascii="Verdana" w:hAnsi="Verdana" w:cs="Calibri"/>
                <w:sz w:val="18"/>
                <w:szCs w:val="18"/>
              </w:rPr>
              <w:t>The final outputs are maps of SOC stock and changes in time at 100 m resolution, than can be aggregated at any administrative level.</w:t>
            </w:r>
          </w:p>
        </w:tc>
      </w:tr>
      <w:tr w:rsidR="00935FDB" w:rsidRPr="00C34DE9" w14:paraId="5E7D3892"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1341FE05"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5BAC19B" w14:textId="1ECC0543" w:rsidR="00935FDB" w:rsidRDefault="005B2FAF" w:rsidP="00DB4B58">
            <w:pPr>
              <w:spacing w:after="0"/>
              <w:rPr>
                <w:rFonts w:ascii="Verdana" w:hAnsi="Verdana"/>
                <w:sz w:val="18"/>
                <w:szCs w:val="18"/>
              </w:rPr>
            </w:pPr>
            <w:r>
              <w:rPr>
                <w:rFonts w:ascii="Verdana" w:hAnsi="Verdana"/>
                <w:sz w:val="18"/>
                <w:szCs w:val="18"/>
              </w:rPr>
              <w:t xml:space="preserve">1: </w:t>
            </w:r>
            <w:r w:rsidR="00935FDB" w:rsidRPr="00C34DE9">
              <w:rPr>
                <w:rFonts w:ascii="Verdana" w:hAnsi="Verdana"/>
                <w:sz w:val="18"/>
                <w:szCs w:val="18"/>
              </w:rPr>
              <w:t>megatonnes (Mt)</w:t>
            </w:r>
            <w:r>
              <w:rPr>
                <w:rFonts w:ascii="Verdana" w:hAnsi="Verdana"/>
                <w:sz w:val="18"/>
                <w:szCs w:val="18"/>
              </w:rPr>
              <w:t xml:space="preserve"> </w:t>
            </w:r>
            <w:r w:rsidRPr="001E1918">
              <w:rPr>
                <w:rFonts w:cs="Calibri"/>
              </w:rPr>
              <w:t>of C</w:t>
            </w:r>
            <w:r w:rsidR="00935FDB" w:rsidRPr="00C34DE9">
              <w:rPr>
                <w:rFonts w:ascii="Verdana" w:hAnsi="Verdana"/>
                <w:sz w:val="18"/>
                <w:szCs w:val="18"/>
              </w:rPr>
              <w:t>;</w:t>
            </w:r>
          </w:p>
          <w:p w14:paraId="48A25590" w14:textId="77777777" w:rsidR="003B48A5" w:rsidRDefault="005B2FAF" w:rsidP="00DB4B58">
            <w:pPr>
              <w:spacing w:after="0"/>
              <w:rPr>
                <w:rFonts w:ascii="Verdana" w:hAnsi="Verdana" w:cs="Calibri"/>
                <w:sz w:val="18"/>
                <w:szCs w:val="18"/>
              </w:rPr>
            </w:pPr>
            <w:r>
              <w:rPr>
                <w:rFonts w:ascii="Verdana" w:hAnsi="Verdana" w:cs="Calibri"/>
                <w:sz w:val="18"/>
                <w:szCs w:val="18"/>
              </w:rPr>
              <w:t xml:space="preserve">2: </w:t>
            </w:r>
            <w:r w:rsidR="003B48A5">
              <w:rPr>
                <w:rFonts w:ascii="Verdana" w:hAnsi="Verdana" w:cs="Calibri"/>
                <w:sz w:val="18"/>
                <w:szCs w:val="18"/>
              </w:rPr>
              <w:t>g of C / kg</w:t>
            </w:r>
          </w:p>
          <w:p w14:paraId="16B951A1" w14:textId="39425151" w:rsidR="00935FDB" w:rsidRPr="00C34DE9" w:rsidRDefault="003B48A5" w:rsidP="00A57BFC">
            <w:pPr>
              <w:spacing w:after="120"/>
              <w:rPr>
                <w:rFonts w:ascii="Verdana" w:hAnsi="Verdana"/>
                <w:sz w:val="18"/>
                <w:szCs w:val="18"/>
              </w:rPr>
            </w:pPr>
            <w:r>
              <w:rPr>
                <w:rFonts w:ascii="Verdana" w:hAnsi="Verdana" w:cs="Calibri"/>
                <w:sz w:val="18"/>
                <w:szCs w:val="18"/>
              </w:rPr>
              <w:t xml:space="preserve">3: </w:t>
            </w:r>
            <w:r w:rsidR="00A57BFC">
              <w:rPr>
                <w:rFonts w:ascii="Verdana" w:hAnsi="Verdana" w:cs="Calibri"/>
                <w:sz w:val="18"/>
                <w:szCs w:val="18"/>
              </w:rPr>
              <w:t>%</w:t>
            </w:r>
          </w:p>
        </w:tc>
      </w:tr>
      <w:tr w:rsidR="00935FDB" w:rsidRPr="00C34DE9" w14:paraId="052B3828" w14:textId="77777777" w:rsidTr="790C88FB">
        <w:trPr>
          <w:trHeight w:val="217"/>
        </w:trPr>
        <w:tc>
          <w:tcPr>
            <w:tcW w:w="2802" w:type="dxa"/>
            <w:tcBorders>
              <w:top w:val="single" w:sz="4" w:space="0" w:color="auto"/>
              <w:left w:val="single" w:sz="4" w:space="0" w:color="auto"/>
              <w:bottom w:val="single" w:sz="4" w:space="0" w:color="auto"/>
              <w:right w:val="single" w:sz="4" w:space="0" w:color="auto"/>
            </w:tcBorders>
            <w:vAlign w:val="center"/>
          </w:tcPr>
          <w:p w14:paraId="04F023E4" w14:textId="77777777" w:rsidR="00935FDB" w:rsidRPr="00C34DE9" w:rsidRDefault="00935FDB" w:rsidP="790C88FB">
            <w:pPr>
              <w:spacing w:after="60"/>
              <w:rPr>
                <w:rFonts w:ascii="Verdana" w:hAnsi="Verdana"/>
                <w:i/>
                <w:iCs/>
                <w:sz w:val="18"/>
                <w:szCs w:val="18"/>
              </w:rPr>
            </w:pPr>
            <w:r w:rsidRPr="5CB4B133">
              <w:rPr>
                <w:rFonts w:ascii="Verdana" w:hAnsi="Verdana"/>
                <w:b/>
                <w:bCs/>
                <w:sz w:val="18"/>
                <w:szCs w:val="18"/>
              </w:rPr>
              <w:lastRenderedPageBreak/>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B9D960F" w14:textId="77777777" w:rsidR="001C7416" w:rsidRDefault="001C7416" w:rsidP="00A85A9D">
            <w:pPr>
              <w:numPr>
                <w:ilvl w:val="0"/>
                <w:numId w:val="38"/>
              </w:numPr>
              <w:spacing w:after="120"/>
              <w:ind w:left="360"/>
              <w:rPr>
                <w:rFonts w:ascii="Verdana" w:eastAsia="Times New Roman" w:hAnsi="Verdana"/>
                <w:sz w:val="18"/>
                <w:szCs w:val="18"/>
              </w:rPr>
            </w:pPr>
            <w:r>
              <w:rPr>
                <w:rFonts w:ascii="Verdana" w:eastAsia="Times New Roman" w:hAnsi="Verdana"/>
                <w:sz w:val="18"/>
                <w:szCs w:val="18"/>
              </w:rPr>
              <w:t>High resolution map (100 m) of SOC stock in agricultural soils (in preparation by JRC)</w:t>
            </w:r>
          </w:p>
          <w:p w14:paraId="379261B7" w14:textId="4036646C" w:rsidR="001C7416" w:rsidRDefault="001C7416" w:rsidP="00A85A9D">
            <w:pPr>
              <w:numPr>
                <w:ilvl w:val="0"/>
                <w:numId w:val="38"/>
              </w:numPr>
              <w:spacing w:after="120"/>
              <w:ind w:left="360"/>
              <w:rPr>
                <w:rFonts w:ascii="Verdana" w:eastAsia="Times New Roman" w:hAnsi="Verdana"/>
                <w:sz w:val="18"/>
                <w:szCs w:val="18"/>
              </w:rPr>
            </w:pPr>
            <w:r>
              <w:rPr>
                <w:rFonts w:ascii="Verdana" w:eastAsia="Times New Roman" w:hAnsi="Verdana"/>
                <w:sz w:val="18"/>
                <w:szCs w:val="18"/>
              </w:rPr>
              <w:t>Stock estimates in time (2009-2</w:t>
            </w:r>
            <w:r w:rsidR="000211DF">
              <w:rPr>
                <w:rFonts w:ascii="Verdana" w:eastAsia="Times New Roman" w:hAnsi="Verdana"/>
                <w:sz w:val="18"/>
                <w:szCs w:val="18"/>
              </w:rPr>
              <w:t>0</w:t>
            </w:r>
            <w:r>
              <w:rPr>
                <w:rFonts w:ascii="Verdana" w:eastAsia="Times New Roman" w:hAnsi="Verdana"/>
                <w:sz w:val="18"/>
                <w:szCs w:val="18"/>
              </w:rPr>
              <w:t>10) in LUCAS points by a biogeochemical modelling approach</w:t>
            </w:r>
          </w:p>
          <w:p w14:paraId="05BB8007" w14:textId="77777777" w:rsidR="00935FDB" w:rsidRPr="00C34DE9" w:rsidRDefault="00935FDB" w:rsidP="00A85A9D">
            <w:pPr>
              <w:numPr>
                <w:ilvl w:val="0"/>
                <w:numId w:val="38"/>
              </w:numPr>
              <w:spacing w:after="120"/>
              <w:ind w:left="360"/>
              <w:rPr>
                <w:rFonts w:ascii="Verdana" w:eastAsia="Times New Roman" w:hAnsi="Verdana"/>
                <w:sz w:val="18"/>
                <w:szCs w:val="18"/>
              </w:rPr>
            </w:pPr>
            <w:r w:rsidRPr="00C34DE9">
              <w:rPr>
                <w:rFonts w:ascii="Verdana" w:eastAsia="Times New Roman" w:hAnsi="Verdana"/>
                <w:sz w:val="18"/>
                <w:szCs w:val="18"/>
              </w:rPr>
              <w:t xml:space="preserve">Joint Research Centre (JRC Ispra) – </w:t>
            </w:r>
            <w:r w:rsidR="001C7416">
              <w:rPr>
                <w:rFonts w:ascii="Verdana" w:eastAsia="Times New Roman" w:hAnsi="Verdana"/>
                <w:sz w:val="18"/>
                <w:szCs w:val="18"/>
              </w:rPr>
              <w:t xml:space="preserve">LUCAS </w:t>
            </w:r>
            <w:r w:rsidRPr="00C34DE9">
              <w:rPr>
                <w:rFonts w:ascii="Verdana" w:eastAsia="Times New Roman" w:hAnsi="Verdana"/>
                <w:sz w:val="18"/>
                <w:szCs w:val="18"/>
              </w:rPr>
              <w:t xml:space="preserve">dataset (2015), consisting on 27.000 top-soil samples across Europe, </w:t>
            </w:r>
            <w:r w:rsidR="001C7416">
              <w:rPr>
                <w:rFonts w:ascii="Verdana" w:eastAsia="Times New Roman" w:hAnsi="Verdana"/>
                <w:sz w:val="18"/>
                <w:szCs w:val="18"/>
              </w:rPr>
              <w:t>of</w:t>
            </w:r>
            <w:r w:rsidRPr="00C34DE9">
              <w:rPr>
                <w:rFonts w:ascii="Verdana" w:eastAsia="Times New Roman" w:hAnsi="Verdana"/>
                <w:sz w:val="18"/>
                <w:szCs w:val="18"/>
              </w:rPr>
              <w:t xml:space="preserve"> Topsoil Soil Organic Carbon </w:t>
            </w:r>
            <w:r w:rsidR="001C7416">
              <w:rPr>
                <w:rFonts w:ascii="Verdana" w:eastAsia="Times New Roman" w:hAnsi="Verdana"/>
                <w:sz w:val="18"/>
                <w:szCs w:val="18"/>
              </w:rPr>
              <w:t xml:space="preserve">content </w:t>
            </w:r>
            <w:r w:rsidRPr="00C34DE9">
              <w:rPr>
                <w:rFonts w:ascii="Verdana" w:eastAsia="Times New Roman" w:hAnsi="Verdana"/>
                <w:sz w:val="18"/>
                <w:szCs w:val="18"/>
              </w:rPr>
              <w:t xml:space="preserve">in EU-25 </w:t>
            </w:r>
            <w:r w:rsidR="001C7416">
              <w:rPr>
                <w:rFonts w:ascii="Verdana" w:eastAsia="Times New Roman" w:hAnsi="Verdana"/>
                <w:sz w:val="18"/>
                <w:szCs w:val="18"/>
              </w:rPr>
              <w:t xml:space="preserve">in </w:t>
            </w:r>
            <w:r w:rsidRPr="00C34DE9">
              <w:rPr>
                <w:rFonts w:ascii="Verdana" w:eastAsia="Times New Roman" w:hAnsi="Verdana"/>
                <w:sz w:val="18"/>
                <w:szCs w:val="18"/>
              </w:rPr>
              <w:t>2009</w:t>
            </w:r>
            <w:r w:rsidR="001C7416">
              <w:rPr>
                <w:rFonts w:ascii="Verdana" w:eastAsia="Times New Roman" w:hAnsi="Verdana"/>
                <w:sz w:val="18"/>
                <w:szCs w:val="18"/>
              </w:rPr>
              <w:t xml:space="preserve">. </w:t>
            </w:r>
            <w:r w:rsidRPr="00C34DE9">
              <w:rPr>
                <w:rFonts w:ascii="Verdana" w:eastAsia="Times New Roman" w:hAnsi="Verdana"/>
                <w:sz w:val="18"/>
                <w:szCs w:val="18"/>
              </w:rPr>
              <w:t>The LUCAS soil Component was extended to Bulgaria and Romania in 2012</w:t>
            </w:r>
            <w:r w:rsidR="001C7416">
              <w:rPr>
                <w:rFonts w:ascii="Verdana" w:eastAsia="Times New Roman" w:hAnsi="Verdana"/>
                <w:sz w:val="18"/>
                <w:szCs w:val="18"/>
              </w:rPr>
              <w:t xml:space="preserve"> and repeated in 2015 (+ Croatia, Malta and Cyprus) </w:t>
            </w:r>
            <w:r w:rsidR="001C7416" w:rsidRPr="001F6170">
              <w:rPr>
                <w:rFonts w:ascii="Verdana" w:eastAsia="Times New Roman" w:hAnsi="Verdana"/>
                <w:sz w:val="18"/>
                <w:szCs w:val="18"/>
              </w:rPr>
              <w:t>and 2018.</w:t>
            </w:r>
          </w:p>
        </w:tc>
      </w:tr>
      <w:tr w:rsidR="00935FDB" w:rsidRPr="00693B7B" w14:paraId="5FDB7E68"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6615FF11"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4E71347" w14:textId="77777777" w:rsidR="00935FDB" w:rsidRPr="00564156" w:rsidRDefault="00935FDB" w:rsidP="5CB4B133">
            <w:pPr>
              <w:numPr>
                <w:ilvl w:val="0"/>
                <w:numId w:val="39"/>
              </w:numPr>
              <w:spacing w:after="120"/>
              <w:ind w:left="360"/>
              <w:rPr>
                <w:rFonts w:ascii="Verdana" w:hAnsi="Verdana"/>
                <w:sz w:val="18"/>
                <w:szCs w:val="18"/>
                <w:u w:val="single"/>
                <w:lang w:val="it-IT"/>
              </w:rPr>
            </w:pPr>
            <w:r w:rsidRPr="00C34DE9">
              <w:rPr>
                <w:rFonts w:ascii="Verdana" w:eastAsia="Times New Roman" w:hAnsi="Verdana"/>
                <w:sz w:val="18"/>
                <w:szCs w:val="18"/>
                <w:lang w:val="it-IT"/>
              </w:rPr>
              <w:t>European Soil Data Centre (ESDAC) -</w:t>
            </w:r>
            <w:r w:rsidRPr="00C34DE9">
              <w:rPr>
                <w:rFonts w:ascii="Verdana" w:eastAsia="Times New Roman" w:hAnsi="Verdana"/>
                <w:color w:val="0000FF"/>
                <w:sz w:val="18"/>
                <w:szCs w:val="18"/>
                <w:u w:val="single"/>
                <w:lang w:val="it-IT"/>
              </w:rPr>
              <w:t xml:space="preserve"> </w:t>
            </w:r>
            <w:hyperlink r:id="rId188" w:history="1">
              <w:r w:rsidRPr="00C34DE9">
                <w:rPr>
                  <w:rFonts w:ascii="Verdana" w:eastAsia="Times New Roman" w:hAnsi="Verdana"/>
                  <w:color w:val="0000FF"/>
                  <w:sz w:val="18"/>
                  <w:szCs w:val="18"/>
                  <w:u w:val="single"/>
                  <w:lang w:val="it-IT"/>
                </w:rPr>
                <w:t>https://esdac.jrc.ec.europa.eu/</w:t>
              </w:r>
            </w:hyperlink>
            <w:r w:rsidRPr="00C34DE9">
              <w:rPr>
                <w:rFonts w:ascii="Verdana" w:eastAsia="Times New Roman" w:hAnsi="Verdana"/>
                <w:color w:val="0000FF"/>
                <w:sz w:val="18"/>
                <w:szCs w:val="18"/>
                <w:u w:val="single"/>
                <w:lang w:val="it-IT"/>
              </w:rPr>
              <w:t xml:space="preserve"> </w:t>
            </w:r>
          </w:p>
        </w:tc>
      </w:tr>
      <w:tr w:rsidR="00935FDB" w:rsidRPr="00C34DE9" w14:paraId="026CF26A"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028D401D"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AD5017" w:rsidRPr="5CB4B133">
              <w:rPr>
                <w:rFonts w:ascii="Verdana" w:hAnsi="Verdana"/>
                <w:b/>
                <w:bCs/>
                <w:sz w:val="18"/>
                <w:szCs w:val="18"/>
              </w:rPr>
              <w:t>/</w:t>
            </w:r>
            <w:r w:rsidR="00CE27E0" w:rsidRPr="5CB4B133">
              <w:rPr>
                <w:rFonts w:ascii="Verdana" w:hAnsi="Verdana"/>
                <w:b/>
                <w:bCs/>
                <w:sz w:val="18"/>
                <w:szCs w:val="18"/>
              </w:rPr>
              <w:t xml:space="preserve"> </w:t>
            </w:r>
            <w:r w:rsidR="00AD5017" w:rsidRPr="5CB4B133">
              <w:rPr>
                <w:rFonts w:ascii="Verdana" w:hAnsi="Verdana"/>
                <w:b/>
                <w:bCs/>
                <w:sz w:val="18"/>
                <w:szCs w:val="18"/>
              </w:rPr>
              <w:t xml:space="preserve">dissemination </w:t>
            </w:r>
            <w:r w:rsidRPr="5CB4B133">
              <w:rPr>
                <w:rFonts w:ascii="Verdana" w:hAnsi="Verdana"/>
                <w:b/>
                <w:bCs/>
                <w:sz w:val="18"/>
                <w:szCs w:val="18"/>
              </w:rPr>
              <w:t>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FE15453" w14:textId="1D2F7FC9" w:rsidR="00935FDB" w:rsidRPr="00C34DE9" w:rsidDel="00F9611E" w:rsidRDefault="00B5103A" w:rsidP="00B3636B">
            <w:pPr>
              <w:spacing w:after="120"/>
              <w:rPr>
                <w:rFonts w:ascii="Verdana" w:hAnsi="Verdana"/>
                <w:sz w:val="18"/>
                <w:szCs w:val="18"/>
              </w:rPr>
            </w:pPr>
            <w:r>
              <w:rPr>
                <w:rFonts w:ascii="Verdana" w:hAnsi="Verdana"/>
                <w:sz w:val="18"/>
                <w:szCs w:val="18"/>
              </w:rPr>
              <w:t xml:space="preserve">EU, </w:t>
            </w:r>
            <w:r w:rsidR="00935FDB" w:rsidRPr="00C34DE9">
              <w:rPr>
                <w:rFonts w:ascii="Verdana" w:hAnsi="Verdana"/>
                <w:sz w:val="18"/>
                <w:szCs w:val="18"/>
              </w:rPr>
              <w:t>National (NUTS 0)</w:t>
            </w:r>
            <w:r w:rsidR="000D3211">
              <w:rPr>
                <w:rFonts w:ascii="Verdana" w:hAnsi="Verdana"/>
                <w:sz w:val="18"/>
                <w:szCs w:val="18"/>
              </w:rPr>
              <w:t>, NUTS2</w:t>
            </w:r>
          </w:p>
        </w:tc>
      </w:tr>
      <w:tr w:rsidR="00935FDB" w:rsidRPr="00C34DE9" w14:paraId="7E1930F1" w14:textId="77777777" w:rsidTr="790C88FB">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289C7319"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4F84E78" w14:textId="77777777" w:rsidR="00935FDB" w:rsidRDefault="00935FDB" w:rsidP="00B3636B">
            <w:pPr>
              <w:spacing w:after="120"/>
              <w:rPr>
                <w:rFonts w:ascii="Verdana" w:hAnsi="Verdana" w:cs="Calibri"/>
                <w:sz w:val="18"/>
                <w:szCs w:val="18"/>
              </w:rPr>
            </w:pPr>
            <w:r w:rsidRPr="00C34DE9">
              <w:rPr>
                <w:rFonts w:ascii="Verdana" w:hAnsi="Verdana" w:cs="Calibri"/>
                <w:sz w:val="18"/>
                <w:szCs w:val="18"/>
              </w:rPr>
              <w:t>Currently, datasets for 2009-2012 and 2015 are available and completed, while data of 2018 campaign are under analysis.</w:t>
            </w:r>
          </w:p>
          <w:p w14:paraId="14E7078C" w14:textId="77777777" w:rsidR="00935FDB" w:rsidRPr="00C34DE9" w:rsidRDefault="001C7416" w:rsidP="00B3636B">
            <w:pPr>
              <w:spacing w:after="120"/>
              <w:rPr>
                <w:rFonts w:ascii="Verdana" w:eastAsia="Times New Roman" w:hAnsi="Verdana"/>
                <w:sz w:val="18"/>
                <w:szCs w:val="18"/>
              </w:rPr>
            </w:pPr>
            <w:r>
              <w:rPr>
                <w:rFonts w:ascii="Verdana" w:hAnsi="Verdana" w:cs="Calibri"/>
                <w:sz w:val="18"/>
                <w:szCs w:val="18"/>
              </w:rPr>
              <w:t>Planning is underway for a new campaign in 2022.</w:t>
            </w:r>
          </w:p>
        </w:tc>
      </w:tr>
      <w:tr w:rsidR="00935FDB" w:rsidRPr="00C34DE9" w14:paraId="59FB334F" w14:textId="77777777" w:rsidTr="790C88FB">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27777866"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D52BBCB" w14:textId="77777777" w:rsidR="00935FDB" w:rsidRPr="00C34DE9" w:rsidRDefault="001C7416" w:rsidP="00B3636B">
            <w:pPr>
              <w:spacing w:after="120"/>
              <w:rPr>
                <w:rFonts w:ascii="Verdana" w:hAnsi="Verdana"/>
                <w:sz w:val="18"/>
                <w:szCs w:val="18"/>
                <w:lang w:val="en-US"/>
              </w:rPr>
            </w:pPr>
            <w:r>
              <w:rPr>
                <w:rFonts w:ascii="Verdana" w:hAnsi="Verdana" w:cs="Calibri"/>
                <w:sz w:val="18"/>
                <w:szCs w:val="18"/>
              </w:rPr>
              <w:t xml:space="preserve">While the data-model framework is update according to LUCAS frequency, the output can be delivered any time and in the future under climatic projections and scenario analysis and implementation of practices relevant for SOC. </w:t>
            </w:r>
          </w:p>
        </w:tc>
      </w:tr>
      <w:tr w:rsidR="00935FDB" w:rsidRPr="00C34DE9" w14:paraId="40D1AD6B"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14EC525E"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208C81" w14:textId="77777777" w:rsidR="00935FDB" w:rsidRPr="00C34DE9" w:rsidRDefault="00935FDB" w:rsidP="00B3636B">
            <w:pPr>
              <w:spacing w:after="120"/>
              <w:jc w:val="both"/>
              <w:rPr>
                <w:rFonts w:ascii="Verdana" w:hAnsi="Verdana"/>
                <w:sz w:val="18"/>
                <w:szCs w:val="18"/>
              </w:rPr>
            </w:pPr>
            <w:r w:rsidRPr="00C34DE9">
              <w:rPr>
                <w:rFonts w:ascii="Verdana" w:hAnsi="Verdana"/>
                <w:color w:val="365F91"/>
                <w:sz w:val="18"/>
                <w:szCs w:val="18"/>
              </w:rPr>
              <w:t>[</w:t>
            </w:r>
            <w:r w:rsidRPr="00C34DE9">
              <w:rPr>
                <w:rFonts w:ascii="Verdana" w:hAnsi="Verdana"/>
                <w:sz w:val="18"/>
                <w:szCs w:val="18"/>
              </w:rPr>
              <w:t>Indication capacity</w:t>
            </w:r>
            <w:r w:rsidR="00007995">
              <w:rPr>
                <w:rFonts w:ascii="Verdana" w:hAnsi="Verdana"/>
                <w:sz w:val="18"/>
                <w:szCs w:val="18"/>
              </w:rPr>
              <w:t>:</w:t>
            </w:r>
            <w:r w:rsidRPr="00C34DE9">
              <w:rPr>
                <w:rFonts w:ascii="Verdana" w:hAnsi="Verdana"/>
                <w:sz w:val="18"/>
                <w:szCs w:val="18"/>
              </w:rPr>
              <w:t>] Assessing the soil organic carbon is essential as this is a basis for all soil processes. However it can vary highly depending on natural (climate, land cover, soil parent material, etc.) and human induced factors such as land use and management.</w:t>
            </w:r>
          </w:p>
          <w:p w14:paraId="00BB1F16" w14:textId="77777777" w:rsidR="00935FDB" w:rsidRDefault="00935FDB" w:rsidP="00B3636B">
            <w:pPr>
              <w:spacing w:after="120"/>
              <w:jc w:val="both"/>
              <w:rPr>
                <w:rFonts w:ascii="Verdana" w:hAnsi="Verdana"/>
                <w:sz w:val="18"/>
                <w:szCs w:val="18"/>
              </w:rPr>
            </w:pPr>
            <w:r w:rsidRPr="00C34DE9">
              <w:rPr>
                <w:rFonts w:ascii="Verdana" w:hAnsi="Verdana"/>
                <w:sz w:val="18"/>
                <w:szCs w:val="18"/>
              </w:rPr>
              <w:t xml:space="preserve">It is important that the uncertainty associated with the predicted values is understood by the end-users and should encourage careful use and interpretation of the </w:t>
            </w:r>
            <w:r w:rsidR="002057BE">
              <w:rPr>
                <w:rFonts w:ascii="Verdana" w:hAnsi="Verdana"/>
                <w:sz w:val="18"/>
                <w:szCs w:val="18"/>
              </w:rPr>
              <w:t xml:space="preserve">higher resolution </w:t>
            </w:r>
            <w:r w:rsidRPr="00C34DE9">
              <w:rPr>
                <w:rFonts w:ascii="Verdana" w:hAnsi="Verdana"/>
                <w:sz w:val="18"/>
                <w:szCs w:val="18"/>
              </w:rPr>
              <w:t>spatial values.</w:t>
            </w:r>
          </w:p>
          <w:p w14:paraId="25A449E3" w14:textId="77777777" w:rsidR="00FB35BD" w:rsidRDefault="00935FDB" w:rsidP="00B3636B">
            <w:pPr>
              <w:spacing w:after="120"/>
              <w:jc w:val="both"/>
              <w:rPr>
                <w:rFonts w:ascii="Verdana" w:hAnsi="Verdana"/>
                <w:sz w:val="18"/>
                <w:szCs w:val="18"/>
              </w:rPr>
            </w:pPr>
            <w:r>
              <w:rPr>
                <w:rFonts w:ascii="Verdana" w:hAnsi="Verdana"/>
                <w:sz w:val="18"/>
                <w:szCs w:val="18"/>
              </w:rPr>
              <w:t>As the indicator is an estimate of the topsoil only, the total SOC in agricultural soils is underestimated. Nevertheless, it can give a good indication on the change.</w:t>
            </w:r>
          </w:p>
          <w:p w14:paraId="2AB35A77" w14:textId="77777777" w:rsidR="00935FDB" w:rsidRPr="00C34DE9" w:rsidRDefault="00935FDB" w:rsidP="00B3636B">
            <w:pPr>
              <w:spacing w:after="120"/>
              <w:jc w:val="both"/>
              <w:rPr>
                <w:rFonts w:ascii="Verdana" w:hAnsi="Verdana"/>
                <w:sz w:val="18"/>
                <w:szCs w:val="18"/>
              </w:rPr>
            </w:pPr>
            <w:r w:rsidRPr="00C34DE9">
              <w:rPr>
                <w:rFonts w:ascii="Verdana" w:hAnsi="Verdana"/>
                <w:sz w:val="18"/>
                <w:szCs w:val="18"/>
              </w:rPr>
              <w:t xml:space="preserve">[Readily available?]: The indicator is available.  </w:t>
            </w:r>
          </w:p>
          <w:p w14:paraId="3DA253C5" w14:textId="77777777" w:rsidR="001C7416" w:rsidRDefault="00935FDB" w:rsidP="00B3636B">
            <w:pPr>
              <w:spacing w:after="120"/>
              <w:jc w:val="both"/>
              <w:rPr>
                <w:rFonts w:ascii="Verdana" w:hAnsi="Verdana"/>
                <w:sz w:val="18"/>
                <w:szCs w:val="18"/>
              </w:rPr>
            </w:pPr>
            <w:r>
              <w:rPr>
                <w:rFonts w:ascii="Verdana" w:hAnsi="Verdana"/>
                <w:sz w:val="18"/>
                <w:szCs w:val="18"/>
              </w:rPr>
              <w:t>[Downscaling</w:t>
            </w:r>
            <w:r w:rsidR="00007995">
              <w:rPr>
                <w:rFonts w:ascii="Verdana" w:hAnsi="Verdana"/>
                <w:sz w:val="18"/>
                <w:szCs w:val="18"/>
              </w:rPr>
              <w:t>:</w:t>
            </w:r>
            <w:r>
              <w:rPr>
                <w:rFonts w:ascii="Verdana" w:hAnsi="Verdana"/>
                <w:sz w:val="18"/>
                <w:szCs w:val="18"/>
              </w:rPr>
              <w:t>]</w:t>
            </w:r>
            <w:r w:rsidR="001C7416">
              <w:rPr>
                <w:rFonts w:ascii="Verdana" w:hAnsi="Verdana"/>
                <w:sz w:val="18"/>
                <w:szCs w:val="18"/>
              </w:rPr>
              <w:t xml:space="preserve"> The </w:t>
            </w:r>
            <w:r w:rsidR="001C7416" w:rsidRPr="00C34DE9">
              <w:rPr>
                <w:rFonts w:ascii="Verdana" w:hAnsi="Verdana"/>
                <w:sz w:val="18"/>
                <w:szCs w:val="18"/>
              </w:rPr>
              <w:t xml:space="preserve">indicator </w:t>
            </w:r>
            <w:r w:rsidR="001C7416">
              <w:rPr>
                <w:rFonts w:ascii="Verdana" w:hAnsi="Verdana"/>
                <w:sz w:val="18"/>
                <w:szCs w:val="18"/>
              </w:rPr>
              <w:t>is downscaled</w:t>
            </w:r>
            <w:r w:rsidR="001C7416" w:rsidRPr="00C34DE9">
              <w:rPr>
                <w:rFonts w:ascii="Verdana" w:hAnsi="Verdana"/>
                <w:sz w:val="18"/>
                <w:szCs w:val="18"/>
              </w:rPr>
              <w:t xml:space="preserve"> </w:t>
            </w:r>
            <w:r w:rsidR="001C7416">
              <w:rPr>
                <w:rFonts w:ascii="Verdana" w:hAnsi="Verdana"/>
                <w:sz w:val="18"/>
                <w:szCs w:val="18"/>
              </w:rPr>
              <w:t>at 100 m resolution and uncertainty of the estimation provided.</w:t>
            </w:r>
          </w:p>
          <w:p w14:paraId="1774882B" w14:textId="77777777" w:rsidR="00935FDB" w:rsidRPr="00C34DE9" w:rsidRDefault="00935FDB" w:rsidP="00A85A9D">
            <w:pPr>
              <w:spacing w:after="60"/>
              <w:rPr>
                <w:rFonts w:ascii="Verdana" w:hAnsi="Verdana"/>
                <w:sz w:val="18"/>
                <w:szCs w:val="18"/>
              </w:rPr>
            </w:pPr>
            <w:r w:rsidRPr="00C34DE9">
              <w:rPr>
                <w:rFonts w:ascii="Verdana" w:hAnsi="Verdana"/>
                <w:sz w:val="18"/>
                <w:szCs w:val="18"/>
              </w:rPr>
              <w:t xml:space="preserve">[Quality:] The map produced gives the most up-to-date </w:t>
            </w:r>
            <w:r w:rsidR="001C7416">
              <w:rPr>
                <w:rFonts w:ascii="Verdana" w:hAnsi="Verdana"/>
                <w:sz w:val="18"/>
                <w:szCs w:val="18"/>
              </w:rPr>
              <w:t>and harmoni</w:t>
            </w:r>
            <w:r w:rsidR="00390E12">
              <w:rPr>
                <w:rFonts w:ascii="Verdana" w:hAnsi="Verdana"/>
                <w:sz w:val="18"/>
                <w:szCs w:val="18"/>
              </w:rPr>
              <w:t>s</w:t>
            </w:r>
            <w:r w:rsidR="001C7416">
              <w:rPr>
                <w:rFonts w:ascii="Verdana" w:hAnsi="Verdana"/>
                <w:sz w:val="18"/>
                <w:szCs w:val="18"/>
              </w:rPr>
              <w:t xml:space="preserve">ed </w:t>
            </w:r>
            <w:r w:rsidR="001C7416" w:rsidRPr="00C34DE9">
              <w:rPr>
                <w:rFonts w:ascii="Verdana" w:hAnsi="Verdana"/>
                <w:sz w:val="18"/>
                <w:szCs w:val="18"/>
              </w:rPr>
              <w:t xml:space="preserve">picture of topsoil organic carbon </w:t>
            </w:r>
            <w:r w:rsidR="001C7416">
              <w:rPr>
                <w:rFonts w:ascii="Verdana" w:hAnsi="Verdana"/>
                <w:sz w:val="18"/>
                <w:szCs w:val="18"/>
              </w:rPr>
              <w:t>stock</w:t>
            </w:r>
            <w:r w:rsidR="001C7416" w:rsidRPr="00C34DE9">
              <w:rPr>
                <w:rFonts w:ascii="Verdana" w:hAnsi="Verdana"/>
                <w:sz w:val="18"/>
                <w:szCs w:val="18"/>
              </w:rPr>
              <w:t xml:space="preserve"> at the European Union scale. The </w:t>
            </w:r>
            <w:r w:rsidR="001C7416">
              <w:rPr>
                <w:rFonts w:ascii="Verdana" w:hAnsi="Verdana"/>
                <w:sz w:val="18"/>
                <w:szCs w:val="18"/>
              </w:rPr>
              <w:t>combination of ground data with different model approaches, allows to filter out the inherent survey variability. Anyway, the uncertainty estimates it’s always associated to the outcomes provided.</w:t>
            </w:r>
          </w:p>
          <w:p w14:paraId="6C98A273" w14:textId="77777777" w:rsidR="00935FDB" w:rsidRPr="00C34DE9" w:rsidRDefault="00935FDB" w:rsidP="00B3636B">
            <w:pPr>
              <w:spacing w:after="120"/>
              <w:jc w:val="both"/>
              <w:rPr>
                <w:rFonts w:ascii="Verdana" w:hAnsi="Verdana"/>
                <w:sz w:val="18"/>
                <w:szCs w:val="18"/>
              </w:rPr>
            </w:pPr>
            <w:r w:rsidRPr="00C34DE9">
              <w:rPr>
                <w:rFonts w:ascii="Verdana" w:hAnsi="Verdana"/>
                <w:sz w:val="18"/>
                <w:szCs w:val="18"/>
              </w:rPr>
              <w:t xml:space="preserve">This method is </w:t>
            </w:r>
            <w:r w:rsidR="002057BE">
              <w:rPr>
                <w:rFonts w:ascii="Verdana" w:hAnsi="Verdana"/>
                <w:sz w:val="18"/>
                <w:szCs w:val="18"/>
              </w:rPr>
              <w:t>complementary to</w:t>
            </w:r>
            <w:r w:rsidRPr="00C34DE9">
              <w:rPr>
                <w:rFonts w:ascii="Verdana" w:hAnsi="Verdana"/>
                <w:sz w:val="18"/>
                <w:szCs w:val="18"/>
              </w:rPr>
              <w:t xml:space="preserve"> national scale or local maps that are </w:t>
            </w:r>
            <w:r w:rsidR="002057BE">
              <w:rPr>
                <w:rFonts w:ascii="Verdana" w:hAnsi="Verdana"/>
                <w:sz w:val="18"/>
                <w:szCs w:val="18"/>
              </w:rPr>
              <w:t xml:space="preserve">often </w:t>
            </w:r>
            <w:r w:rsidRPr="00C34DE9">
              <w:rPr>
                <w:rFonts w:ascii="Verdana" w:hAnsi="Verdana"/>
                <w:sz w:val="18"/>
                <w:szCs w:val="18"/>
              </w:rPr>
              <w:t>based on more detailed information</w:t>
            </w:r>
            <w:r w:rsidR="002057BE">
              <w:rPr>
                <w:rFonts w:ascii="Verdana" w:hAnsi="Verdana"/>
                <w:sz w:val="18"/>
                <w:szCs w:val="18"/>
              </w:rPr>
              <w:t>, and sometimes spatialised</w:t>
            </w:r>
            <w:r w:rsidRPr="00C34DE9">
              <w:rPr>
                <w:rFonts w:ascii="Verdana" w:hAnsi="Verdana"/>
                <w:sz w:val="18"/>
                <w:szCs w:val="18"/>
              </w:rPr>
              <w:t>.</w:t>
            </w:r>
            <w:r w:rsidR="002057BE">
              <w:rPr>
                <w:rFonts w:ascii="Verdana" w:hAnsi="Verdana"/>
                <w:sz w:val="18"/>
                <w:szCs w:val="18"/>
              </w:rPr>
              <w:t xml:space="preserve"> Member States have used LUCAS, combined with national data, to enhance estimates within Member State inventories</w:t>
            </w:r>
            <w:r w:rsidRPr="00C34DE9">
              <w:rPr>
                <w:rFonts w:ascii="Verdana" w:hAnsi="Verdana"/>
                <w:sz w:val="18"/>
                <w:szCs w:val="18"/>
              </w:rPr>
              <w:t xml:space="preserve">. </w:t>
            </w:r>
          </w:p>
          <w:p w14:paraId="369D04E6" w14:textId="77777777" w:rsidR="00935FDB" w:rsidRPr="00C34DE9" w:rsidRDefault="00935FDB" w:rsidP="00B3636B">
            <w:pPr>
              <w:spacing w:after="120"/>
              <w:jc w:val="both"/>
              <w:rPr>
                <w:rFonts w:ascii="Verdana" w:hAnsi="Verdana"/>
                <w:sz w:val="18"/>
                <w:szCs w:val="18"/>
              </w:rPr>
            </w:pPr>
            <w:r w:rsidRPr="00C34DE9">
              <w:rPr>
                <w:rFonts w:ascii="Verdana" w:hAnsi="Verdana"/>
                <w:sz w:val="18"/>
                <w:szCs w:val="18"/>
              </w:rPr>
              <w:t xml:space="preserve">[Baseline:] The Commission is currently analysing the LUCAS Soil Organic Carbon data comparing LUCAS 2015 data with previous data sets (LUCAS 2009 and 2012). This analysis will provide more information on the soil organic carbon trends in arable land and grassland in particular and this could serve as baseline or if available, the results of the LUCAS survey of 2018. </w:t>
            </w:r>
            <w:r w:rsidRPr="00C34DE9">
              <w:t xml:space="preserve"> </w:t>
            </w:r>
          </w:p>
        </w:tc>
      </w:tr>
    </w:tbl>
    <w:p w14:paraId="46F6AEBF" w14:textId="510BA500" w:rsidR="002D6AF6" w:rsidRPr="00C34DE9" w:rsidRDefault="002D6AF6" w:rsidP="00544872">
      <w:pPr>
        <w:spacing w:after="60"/>
        <w:rPr>
          <w:rFonts w:ascii="Verdana" w:hAnsi="Verdana"/>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737624" w:rsidRPr="00C34DE9" w14:paraId="3C5848E9"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009ABD2B" w14:textId="71B87CEB" w:rsidR="00737624" w:rsidRPr="00C34DE9" w:rsidRDefault="004F1648" w:rsidP="00340D8D">
            <w:pPr>
              <w:spacing w:after="60"/>
              <w:rPr>
                <w:rFonts w:ascii="Verdana" w:hAnsi="Verdana"/>
                <w:b/>
                <w:bCs/>
                <w:sz w:val="18"/>
                <w:szCs w:val="18"/>
              </w:rPr>
            </w:pPr>
            <w:r w:rsidRPr="00C34DE9">
              <w:rPr>
                <w:rFonts w:ascii="Verdana" w:hAnsi="Verdana"/>
                <w:sz w:val="18"/>
                <w:szCs w:val="18"/>
              </w:rPr>
              <w:br w:type="page"/>
            </w:r>
            <w:bookmarkStart w:id="62" w:name="C40"/>
            <w:r w:rsidR="00737624" w:rsidRPr="5CB4B133">
              <w:rPr>
                <w:rFonts w:ascii="Verdana" w:hAnsi="Verdana"/>
                <w:b/>
                <w:bCs/>
                <w:smallCaps/>
                <w:sz w:val="18"/>
                <w:szCs w:val="18"/>
              </w:rPr>
              <w:t>Indicator C.4</w:t>
            </w:r>
            <w:r w:rsidR="00340D8D">
              <w:rPr>
                <w:rFonts w:ascii="Verdana" w:hAnsi="Verdana"/>
                <w:b/>
                <w:bCs/>
                <w:smallCaps/>
                <w:sz w:val="18"/>
                <w:szCs w:val="18"/>
              </w:rPr>
              <w:t>1</w:t>
            </w:r>
            <w:bookmarkEnd w:id="62"/>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4B57BDB0" w14:textId="77777777" w:rsidR="005274D1" w:rsidRPr="005274D1" w:rsidRDefault="005274D1" w:rsidP="5CB4B133">
            <w:pPr>
              <w:shd w:val="clear" w:color="auto" w:fill="00B0F0"/>
              <w:spacing w:after="60"/>
              <w:rPr>
                <w:rFonts w:ascii="Verdana" w:hAnsi="Verdana"/>
                <w:b/>
                <w:bCs/>
                <w:caps/>
                <w:sz w:val="18"/>
                <w:szCs w:val="18"/>
              </w:rPr>
            </w:pPr>
            <w:bookmarkStart w:id="63" w:name="I13"/>
            <w:r w:rsidRPr="5CB4B133">
              <w:rPr>
                <w:rFonts w:ascii="Verdana" w:hAnsi="Verdana"/>
                <w:b/>
                <w:bCs/>
                <w:sz w:val="18"/>
                <w:szCs w:val="18"/>
              </w:rPr>
              <w:t>Indicator I.13</w:t>
            </w:r>
            <w:bookmarkEnd w:id="63"/>
            <w:r w:rsidRPr="5CB4B133">
              <w:rPr>
                <w:rFonts w:ascii="Verdana" w:hAnsi="Verdana"/>
                <w:b/>
                <w:bCs/>
                <w:sz w:val="18"/>
                <w:szCs w:val="18"/>
              </w:rPr>
              <w:t xml:space="preserve"> Reducing soil erosion:</w:t>
            </w:r>
          </w:p>
          <w:p w14:paraId="0014E315" w14:textId="42460B4D" w:rsidR="00737624" w:rsidRPr="00C34DE9" w:rsidRDefault="005274D1" w:rsidP="3B80D187">
            <w:pPr>
              <w:shd w:val="clear" w:color="auto" w:fill="00B0F0"/>
              <w:spacing w:after="60"/>
              <w:rPr>
                <w:rFonts w:ascii="Verdana" w:hAnsi="Verdana"/>
                <w:b/>
                <w:bCs/>
                <w:caps/>
                <w:sz w:val="18"/>
                <w:szCs w:val="18"/>
              </w:rPr>
            </w:pPr>
            <w:r>
              <w:rPr>
                <w:rFonts w:ascii="Verdana" w:hAnsi="Verdana"/>
                <w:sz w:val="18"/>
                <w:szCs w:val="18"/>
              </w:rPr>
              <w:t>P</w:t>
            </w:r>
            <w:r w:rsidRPr="005274D1">
              <w:rPr>
                <w:rFonts w:ascii="Verdana" w:hAnsi="Verdana"/>
                <w:sz w:val="18"/>
                <w:szCs w:val="18"/>
              </w:rPr>
              <w:t xml:space="preserve">ercentage of </w:t>
            </w:r>
            <w:r w:rsidR="0037595B">
              <w:rPr>
                <w:rFonts w:ascii="Verdana" w:hAnsi="Verdana"/>
                <w:sz w:val="18"/>
                <w:szCs w:val="18"/>
              </w:rPr>
              <w:t xml:space="preserve">agricultural </w:t>
            </w:r>
            <w:r w:rsidRPr="005274D1">
              <w:rPr>
                <w:rFonts w:ascii="Verdana" w:hAnsi="Verdana"/>
                <w:sz w:val="18"/>
                <w:szCs w:val="18"/>
              </w:rPr>
              <w:t>land in moderate and severe soil erosion</w:t>
            </w:r>
          </w:p>
        </w:tc>
      </w:tr>
      <w:tr w:rsidR="00737624" w:rsidRPr="00C34DE9" w14:paraId="61795CED"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1533DFE4"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t xml:space="preserve">Indicator </w:t>
            </w:r>
            <w:r w:rsidR="00390E12" w:rsidRPr="5CB4B133">
              <w:rPr>
                <w:rFonts w:ascii="Verdana" w:hAnsi="Verdana"/>
                <w:b/>
                <w:bCs/>
                <w:sz w:val="18"/>
                <w:szCs w:val="18"/>
              </w:rPr>
              <w:t>N</w:t>
            </w:r>
            <w:r w:rsidRPr="5CB4B133">
              <w:rPr>
                <w:rFonts w:ascii="Verdana" w:hAnsi="Verdana"/>
                <w:b/>
                <w:bCs/>
                <w:sz w:val="18"/>
                <w:szCs w:val="18"/>
              </w:rPr>
              <w:t>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220D937" w14:textId="77777777" w:rsidR="00737624" w:rsidRPr="00C34DE9" w:rsidRDefault="00737624" w:rsidP="5CB4B133">
            <w:pPr>
              <w:spacing w:after="60"/>
              <w:jc w:val="center"/>
              <w:rPr>
                <w:rFonts w:ascii="Verdana" w:hAnsi="Verdana"/>
                <w:b/>
                <w:bCs/>
                <w:sz w:val="18"/>
                <w:szCs w:val="18"/>
              </w:rPr>
            </w:pPr>
            <w:r w:rsidRPr="5CB4B133">
              <w:rPr>
                <w:rFonts w:ascii="Verdana" w:hAnsi="Verdana"/>
                <w:b/>
                <w:bCs/>
                <w:sz w:val="18"/>
                <w:szCs w:val="18"/>
              </w:rPr>
              <w:t xml:space="preserve">Soil erosion by water </w:t>
            </w:r>
          </w:p>
          <w:p w14:paraId="4139CCFA" w14:textId="142C552D" w:rsidR="00737624" w:rsidRPr="00C34DE9" w:rsidRDefault="00737624" w:rsidP="3B80D187">
            <w:pPr>
              <w:spacing w:after="60"/>
              <w:jc w:val="center"/>
              <w:rPr>
                <w:rFonts w:ascii="Verdana" w:hAnsi="Verdana"/>
                <w:b/>
                <w:bCs/>
                <w:color w:val="808080"/>
                <w:sz w:val="18"/>
                <w:szCs w:val="18"/>
              </w:rPr>
            </w:pPr>
            <w:r w:rsidRPr="3B80D187">
              <w:rPr>
                <w:rFonts w:ascii="Verdana" w:hAnsi="Verdana"/>
                <w:b/>
                <w:bCs/>
                <w:sz w:val="18"/>
                <w:szCs w:val="18"/>
              </w:rPr>
              <w:t xml:space="preserve">Percentage of </w:t>
            </w:r>
            <w:r w:rsidR="0037595B" w:rsidRPr="3B80D187">
              <w:rPr>
                <w:rFonts w:ascii="Verdana" w:hAnsi="Verdana"/>
                <w:b/>
                <w:bCs/>
                <w:sz w:val="18"/>
                <w:szCs w:val="18"/>
              </w:rPr>
              <w:t xml:space="preserve">agricultural </w:t>
            </w:r>
            <w:r w:rsidRPr="3B80D187">
              <w:rPr>
                <w:rFonts w:ascii="Verdana" w:hAnsi="Verdana"/>
                <w:b/>
                <w:bCs/>
                <w:sz w:val="18"/>
                <w:szCs w:val="18"/>
              </w:rPr>
              <w:t>land in moderate and severe soil erosion</w:t>
            </w:r>
          </w:p>
        </w:tc>
      </w:tr>
      <w:tr w:rsidR="00737624" w:rsidRPr="00C34DE9" w14:paraId="6F098305" w14:textId="77777777" w:rsidTr="790C88FB">
        <w:trPr>
          <w:trHeight w:val="175"/>
        </w:trPr>
        <w:tc>
          <w:tcPr>
            <w:tcW w:w="2802" w:type="dxa"/>
            <w:tcBorders>
              <w:top w:val="single" w:sz="4" w:space="0" w:color="auto"/>
              <w:left w:val="single" w:sz="4" w:space="0" w:color="auto"/>
              <w:bottom w:val="single" w:sz="4" w:space="0" w:color="auto"/>
              <w:right w:val="single" w:sz="4" w:space="0" w:color="auto"/>
            </w:tcBorders>
            <w:vAlign w:val="center"/>
          </w:tcPr>
          <w:p w14:paraId="07EED33B"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2A3DD2" w14:textId="77777777" w:rsidR="00737624" w:rsidRPr="00C34DE9" w:rsidRDefault="00737624" w:rsidP="00D6784D">
            <w:pPr>
              <w:pStyle w:val="RD-Indicatortabletext"/>
              <w:spacing w:after="60"/>
              <w:rPr>
                <w:rFonts w:cs="Calibri"/>
                <w:sz w:val="18"/>
                <w:szCs w:val="18"/>
              </w:rPr>
            </w:pPr>
            <w:r w:rsidRPr="00C34DE9">
              <w:rPr>
                <w:rFonts w:cs="Calibri"/>
                <w:sz w:val="18"/>
                <w:szCs w:val="18"/>
              </w:rPr>
              <w:t xml:space="preserve">This indicator consists of </w:t>
            </w:r>
            <w:r w:rsidRPr="007C2BEC">
              <w:rPr>
                <w:rFonts w:cs="Calibri"/>
                <w:sz w:val="18"/>
                <w:szCs w:val="18"/>
              </w:rPr>
              <w:t xml:space="preserve">2 </w:t>
            </w:r>
            <w:r w:rsidR="00DD478B">
              <w:rPr>
                <w:rFonts w:cs="Calibri"/>
                <w:sz w:val="18"/>
                <w:szCs w:val="18"/>
              </w:rPr>
              <w:t>specific indicators</w:t>
            </w:r>
            <w:r w:rsidRPr="00C34DE9">
              <w:rPr>
                <w:rFonts w:cs="Calibri"/>
                <w:sz w:val="18"/>
                <w:szCs w:val="18"/>
              </w:rPr>
              <w:t>:</w:t>
            </w:r>
          </w:p>
          <w:p w14:paraId="1F9294C2" w14:textId="01B74E77" w:rsidR="00737624" w:rsidRPr="00A85A9D" w:rsidRDefault="00644674" w:rsidP="3F4AE0BD">
            <w:pPr>
              <w:pStyle w:val="ListParagraph"/>
              <w:numPr>
                <w:ilvl w:val="0"/>
                <w:numId w:val="33"/>
              </w:numPr>
              <w:spacing w:after="60"/>
              <w:rPr>
                <w:rFonts w:ascii="Verdana" w:hAnsi="Verdana"/>
                <w:b/>
                <w:bCs/>
                <w:sz w:val="18"/>
                <w:szCs w:val="18"/>
              </w:rPr>
            </w:pPr>
            <w:r w:rsidRPr="3F4AE0BD">
              <w:rPr>
                <w:rFonts w:ascii="Verdana" w:hAnsi="Verdana"/>
                <w:b/>
                <w:bCs/>
                <w:sz w:val="18"/>
                <w:szCs w:val="18"/>
              </w:rPr>
              <w:t>e</w:t>
            </w:r>
            <w:r w:rsidR="00737624" w:rsidRPr="3F4AE0BD">
              <w:rPr>
                <w:rFonts w:ascii="Verdana" w:hAnsi="Verdana"/>
                <w:b/>
                <w:bCs/>
                <w:sz w:val="18"/>
                <w:szCs w:val="18"/>
              </w:rPr>
              <w:t>stimated rat</w:t>
            </w:r>
            <w:r w:rsidR="007D3E04" w:rsidRPr="3F4AE0BD">
              <w:rPr>
                <w:rFonts w:ascii="Verdana" w:hAnsi="Verdana"/>
                <w:b/>
                <w:bCs/>
                <w:sz w:val="18"/>
                <w:szCs w:val="18"/>
              </w:rPr>
              <w:t>e of soil loss by water erosion</w:t>
            </w:r>
            <w:r w:rsidR="00737624" w:rsidRPr="3F4AE0BD">
              <w:rPr>
                <w:rFonts w:ascii="Verdana" w:hAnsi="Verdana"/>
                <w:b/>
                <w:bCs/>
                <w:sz w:val="18"/>
                <w:szCs w:val="18"/>
              </w:rPr>
              <w:t xml:space="preserve"> </w:t>
            </w:r>
          </w:p>
          <w:p w14:paraId="55618681" w14:textId="1A009E35" w:rsidR="00737624" w:rsidRPr="00232F4E" w:rsidRDefault="00DE27F1" w:rsidP="3F4AE0BD">
            <w:pPr>
              <w:numPr>
                <w:ilvl w:val="0"/>
                <w:numId w:val="33"/>
              </w:numPr>
              <w:shd w:val="clear" w:color="auto" w:fill="00B0F0"/>
              <w:spacing w:after="60"/>
              <w:rPr>
                <w:rFonts w:ascii="Verdana" w:hAnsi="Verdana"/>
                <w:b/>
                <w:bCs/>
                <w:sz w:val="18"/>
                <w:szCs w:val="18"/>
              </w:rPr>
            </w:pPr>
            <w:r w:rsidRPr="3F4AE0BD">
              <w:rPr>
                <w:rFonts w:ascii="Verdana" w:hAnsi="Verdana"/>
                <w:b/>
                <w:bCs/>
                <w:sz w:val="18"/>
                <w:szCs w:val="18"/>
              </w:rPr>
              <w:t xml:space="preserve">percentage </w:t>
            </w:r>
            <w:r w:rsidR="00737624" w:rsidRPr="3F4AE0BD">
              <w:rPr>
                <w:rFonts w:ascii="Verdana" w:hAnsi="Verdana"/>
                <w:b/>
                <w:bCs/>
                <w:sz w:val="18"/>
                <w:szCs w:val="18"/>
              </w:rPr>
              <w:t xml:space="preserve">of agricultural </w:t>
            </w:r>
            <w:r w:rsidRPr="3F4AE0BD">
              <w:rPr>
                <w:rFonts w:ascii="Verdana" w:hAnsi="Verdana"/>
                <w:b/>
                <w:bCs/>
                <w:sz w:val="18"/>
                <w:szCs w:val="18"/>
              </w:rPr>
              <w:t xml:space="preserve">land </w:t>
            </w:r>
            <w:r w:rsidR="0071288B" w:rsidRPr="3F4AE0BD">
              <w:rPr>
                <w:rFonts w:ascii="Verdana" w:hAnsi="Verdana"/>
                <w:b/>
                <w:bCs/>
                <w:sz w:val="18"/>
                <w:szCs w:val="18"/>
              </w:rPr>
              <w:t>at risk of moderate and severe soil erosion</w:t>
            </w:r>
          </w:p>
          <w:p w14:paraId="1971ED44" w14:textId="16BD7499" w:rsidR="00737624" w:rsidRPr="00C34DE9" w:rsidRDefault="00737624" w:rsidP="00D6784D">
            <w:pPr>
              <w:pStyle w:val="RD-Indicatortabletext"/>
              <w:spacing w:after="60"/>
              <w:jc w:val="both"/>
              <w:rPr>
                <w:rFonts w:cs="Calibri"/>
                <w:sz w:val="18"/>
                <w:szCs w:val="18"/>
              </w:rPr>
            </w:pPr>
            <w:r w:rsidRPr="00C34DE9">
              <w:rPr>
                <w:rFonts w:cs="Calibri"/>
                <w:sz w:val="18"/>
                <w:szCs w:val="18"/>
              </w:rPr>
              <w:t xml:space="preserve">These </w:t>
            </w:r>
            <w:r w:rsidR="0026688A" w:rsidRPr="00C34DE9">
              <w:rPr>
                <w:rFonts w:cs="Calibri"/>
                <w:sz w:val="18"/>
                <w:szCs w:val="18"/>
              </w:rPr>
              <w:t>s</w:t>
            </w:r>
            <w:r w:rsidR="00DD478B">
              <w:rPr>
                <w:rFonts w:cs="Calibri"/>
                <w:sz w:val="18"/>
                <w:szCs w:val="18"/>
              </w:rPr>
              <w:t>pecific</w:t>
            </w:r>
            <w:r w:rsidR="0026688A" w:rsidRPr="00C34DE9">
              <w:rPr>
                <w:rFonts w:cs="Calibri"/>
                <w:sz w:val="18"/>
                <w:szCs w:val="18"/>
              </w:rPr>
              <w:t xml:space="preserve"> indicators</w:t>
            </w:r>
            <w:r w:rsidRPr="00C34DE9">
              <w:rPr>
                <w:rFonts w:cs="Calibri"/>
                <w:sz w:val="18"/>
                <w:szCs w:val="18"/>
              </w:rPr>
              <w:t xml:space="preserve"> assess potential soil loss by water erosion processes (rain splash, sheetwash and rills) and identify the agricultural areas susceptible to a rate of soil erosion considered </w:t>
            </w:r>
            <w:r w:rsidR="0026688A" w:rsidRPr="00C34DE9">
              <w:rPr>
                <w:rFonts w:cs="Calibri"/>
                <w:sz w:val="18"/>
                <w:szCs w:val="18"/>
              </w:rPr>
              <w:t>unsustainable</w:t>
            </w:r>
            <w:r w:rsidRPr="00C34DE9">
              <w:rPr>
                <w:rFonts w:cs="Calibri"/>
                <w:sz w:val="18"/>
                <w:szCs w:val="18"/>
              </w:rPr>
              <w:t xml:space="preserve">, within the following thresholds: (moderate i.e. &gt;5 t/ha/year to severe and severe i.e. &gt;10 t/ha/year).  </w:t>
            </w:r>
          </w:p>
          <w:p w14:paraId="42A7FA7B" w14:textId="77777777" w:rsidR="00737624" w:rsidRPr="00C34DE9" w:rsidRDefault="00737624" w:rsidP="00D6784D">
            <w:pPr>
              <w:pStyle w:val="RD-Indicatortabletext"/>
              <w:spacing w:after="60"/>
              <w:jc w:val="both"/>
              <w:rPr>
                <w:rFonts w:cs="Calibri"/>
                <w:sz w:val="18"/>
                <w:szCs w:val="18"/>
              </w:rPr>
            </w:pPr>
            <w:r w:rsidRPr="00C34DE9">
              <w:rPr>
                <w:rFonts w:cs="Calibri"/>
                <w:sz w:val="18"/>
                <w:szCs w:val="18"/>
              </w:rPr>
              <w:t xml:space="preserve">The two soil erosion </w:t>
            </w:r>
            <w:r w:rsidR="00DD478B">
              <w:rPr>
                <w:rFonts w:cs="Calibri"/>
                <w:sz w:val="18"/>
                <w:szCs w:val="18"/>
              </w:rPr>
              <w:t xml:space="preserve">specific </w:t>
            </w:r>
            <w:r w:rsidRPr="00C34DE9">
              <w:rPr>
                <w:rFonts w:cs="Calibri"/>
                <w:sz w:val="18"/>
                <w:szCs w:val="18"/>
              </w:rPr>
              <w:t>indicators have been produced by the Joint Research Center of the European Commission (JRC-Ispra), on the basis of an empirical computer model. Assessments of soil erosion are based on the output of an enhanced version of the Revised Universal Soil Loss Equation model (named RUSLE2015) (JRC-Ispra) which was developed to evaluate soil erosion by water in the European Union</w:t>
            </w:r>
            <w:r w:rsidRPr="00C34DE9">
              <w:rPr>
                <w:rStyle w:val="FootnoteReference"/>
                <w:rFonts w:cs="Calibri"/>
                <w:sz w:val="18"/>
                <w:szCs w:val="18"/>
              </w:rPr>
              <w:footnoteReference w:id="18"/>
            </w:r>
            <w:r w:rsidRPr="00C34DE9">
              <w:rPr>
                <w:rFonts w:cs="Calibri"/>
                <w:sz w:val="18"/>
                <w:szCs w:val="18"/>
              </w:rPr>
              <w:t xml:space="preserve">. The model provides an estimate of soil erosion by water on the basis of scientific knowledge, peer review published manuscripts, technical judgment and input datasets. </w:t>
            </w:r>
          </w:p>
          <w:p w14:paraId="4141240A" w14:textId="31857DD2" w:rsidR="00737624" w:rsidRPr="00C34DE9" w:rsidRDefault="00737624" w:rsidP="00D6784D">
            <w:pPr>
              <w:pStyle w:val="RD-Indicatortabletext"/>
              <w:spacing w:after="60"/>
              <w:jc w:val="both"/>
              <w:rPr>
                <w:rFonts w:cs="Calibri"/>
                <w:sz w:val="18"/>
                <w:szCs w:val="18"/>
              </w:rPr>
            </w:pPr>
            <w:r w:rsidRPr="00C34DE9">
              <w:rPr>
                <w:rFonts w:cs="Calibri"/>
                <w:sz w:val="18"/>
                <w:szCs w:val="18"/>
              </w:rPr>
              <w:t>RUSLE2015 improves the quality of estimation by introducing updated (2010), high-resolution (100m) and peer-reviewed input layers of rainfall erosivity, soil erodibility, slope steepness and slope length, Land Cover and management and the support practices applied to control erosion. The Rainfall Erosivity was calculated based on high-resolution temporal rainfall data (5, 10, 15, 30 and 60 minutes) collected from 1</w:t>
            </w:r>
            <w:r w:rsidR="00232F4E">
              <w:rPr>
                <w:rFonts w:cs="Calibri"/>
                <w:sz w:val="18"/>
                <w:szCs w:val="18"/>
              </w:rPr>
              <w:t> </w:t>
            </w:r>
            <w:r w:rsidRPr="00C34DE9">
              <w:rPr>
                <w:rFonts w:cs="Calibri"/>
                <w:sz w:val="18"/>
                <w:szCs w:val="18"/>
              </w:rPr>
              <w:t>541 well-distributed precipitation stations across Europe. The Soil erodibility is estimated for the 20</w:t>
            </w:r>
            <w:r w:rsidR="00232F4E">
              <w:rPr>
                <w:rFonts w:cs="Calibri"/>
                <w:sz w:val="18"/>
                <w:szCs w:val="18"/>
              </w:rPr>
              <w:t> </w:t>
            </w:r>
            <w:r w:rsidRPr="00C34DE9">
              <w:rPr>
                <w:rFonts w:cs="Calibri"/>
                <w:sz w:val="18"/>
                <w:szCs w:val="18"/>
              </w:rPr>
              <w:t>000 field sampling points included in the Land Use/Cover Area frame (LUCAS) survey. The Slope Steepness and Slope Length have been calculated using the latest Digital Elevation Model (DEM) at 25</w:t>
            </w:r>
            <w:r w:rsidR="00232F4E">
              <w:rPr>
                <w:rFonts w:cs="Calibri"/>
                <w:sz w:val="18"/>
                <w:szCs w:val="18"/>
              </w:rPr>
              <w:t xml:space="preserve"> </w:t>
            </w:r>
            <w:r w:rsidRPr="00C34DE9">
              <w:rPr>
                <w:rFonts w:cs="Calibri"/>
                <w:sz w:val="18"/>
                <w:szCs w:val="18"/>
              </w:rPr>
              <w:t xml:space="preserve">m. </w:t>
            </w:r>
          </w:p>
          <w:p w14:paraId="7B1067ED" w14:textId="77777777" w:rsidR="00737624" w:rsidRPr="003D760E" w:rsidRDefault="00737624" w:rsidP="00D6784D">
            <w:pPr>
              <w:pStyle w:val="RD-Indicatortabletext"/>
              <w:spacing w:after="60"/>
              <w:jc w:val="both"/>
              <w:rPr>
                <w:rFonts w:cs="Calibri"/>
                <w:sz w:val="18"/>
                <w:szCs w:val="18"/>
              </w:rPr>
            </w:pPr>
            <w:r w:rsidRPr="00C34DE9">
              <w:rPr>
                <w:rFonts w:cs="Calibri"/>
                <w:sz w:val="18"/>
                <w:szCs w:val="18"/>
              </w:rPr>
              <w:t xml:space="preserve">Only </w:t>
            </w:r>
            <w:r w:rsidRPr="003D760E">
              <w:rPr>
                <w:rFonts w:cs="Calibri"/>
                <w:sz w:val="18"/>
                <w:szCs w:val="18"/>
              </w:rPr>
              <w:t>soil erosion resulting from rains plash, overland flow (also known as sheetwash) and rill formation are considered. Soil loss caused by gully erosion</w:t>
            </w:r>
            <w:r w:rsidR="003A714B" w:rsidRPr="003D760E">
              <w:rPr>
                <w:rFonts w:cs="Calibri"/>
                <w:sz w:val="18"/>
                <w:szCs w:val="18"/>
              </w:rPr>
              <w:t xml:space="preserve"> or wind erosion</w:t>
            </w:r>
            <w:r w:rsidRPr="003D760E">
              <w:rPr>
                <w:rFonts w:cs="Calibri"/>
                <w:sz w:val="18"/>
                <w:szCs w:val="18"/>
              </w:rPr>
              <w:t xml:space="preserve"> is not predicted by RUSLE.</w:t>
            </w:r>
          </w:p>
          <w:p w14:paraId="3F6FD633" w14:textId="77777777" w:rsidR="00737624" w:rsidRPr="00C34DE9" w:rsidRDefault="00737624" w:rsidP="00D6784D">
            <w:pPr>
              <w:pStyle w:val="RD-Indicatortabletext"/>
              <w:spacing w:after="60"/>
              <w:jc w:val="both"/>
              <w:rPr>
                <w:rFonts w:cs="Calibri"/>
                <w:sz w:val="18"/>
                <w:szCs w:val="18"/>
              </w:rPr>
            </w:pPr>
            <w:r w:rsidRPr="003D760E">
              <w:rPr>
                <w:rFonts w:cs="Calibri"/>
                <w:sz w:val="18"/>
                <w:szCs w:val="18"/>
              </w:rPr>
              <w:t>The total area</w:t>
            </w:r>
            <w:r w:rsidRPr="00C34DE9">
              <w:rPr>
                <w:rFonts w:cs="Calibri"/>
                <w:sz w:val="18"/>
                <w:szCs w:val="18"/>
              </w:rPr>
              <w:t xml:space="preserve"> of agricultural land has been defined on the basis of 2012 Corine Land Cover (CLC) classes and includes the area of arable and permanent crops, pastures and permanent grasslands.</w:t>
            </w:r>
          </w:p>
          <w:p w14:paraId="407939F8" w14:textId="77777777" w:rsidR="00737624" w:rsidRDefault="00737624" w:rsidP="00D6784D">
            <w:pPr>
              <w:pStyle w:val="RD-Indicatortabletext"/>
              <w:spacing w:after="60"/>
              <w:jc w:val="both"/>
              <w:rPr>
                <w:rFonts w:cs="Calibri"/>
                <w:sz w:val="18"/>
                <w:szCs w:val="18"/>
              </w:rPr>
            </w:pPr>
            <w:r w:rsidRPr="00C34DE9">
              <w:rPr>
                <w:rFonts w:cs="Calibri"/>
                <w:sz w:val="18"/>
                <w:szCs w:val="18"/>
              </w:rPr>
              <w:t xml:space="preserve">Estimated data on soil erosion are published following a qualitative assessment and compared with EIONET country estimates (available for 9 countries) showing that the model output matches general erosion patterns across Europe. A quantitative validation is foreseen to take place against field measurements on long-term erosion plots. </w:t>
            </w:r>
          </w:p>
          <w:p w14:paraId="05B1B7F6" w14:textId="77777777" w:rsidR="00232F4E" w:rsidRPr="00C34DE9" w:rsidRDefault="00232F4E" w:rsidP="00D6784D">
            <w:pPr>
              <w:pStyle w:val="RD-Indicatortabletext"/>
              <w:spacing w:after="60"/>
              <w:jc w:val="both"/>
              <w:rPr>
                <w:rFonts w:cs="Calibri"/>
                <w:sz w:val="18"/>
                <w:szCs w:val="18"/>
              </w:rPr>
            </w:pPr>
            <w:r w:rsidRPr="00C34DE9">
              <w:rPr>
                <w:rFonts w:cs="Calibri"/>
                <w:sz w:val="18"/>
                <w:szCs w:val="18"/>
              </w:rPr>
              <w:t>Estimates of soil loss by water erosi</w:t>
            </w:r>
            <w:r>
              <w:rPr>
                <w:rFonts w:cs="Calibri"/>
                <w:sz w:val="18"/>
                <w:szCs w:val="18"/>
              </w:rPr>
              <w:t>on in Europe are expressed in t/</w:t>
            </w:r>
            <w:r w:rsidRPr="00C34DE9">
              <w:rPr>
                <w:rFonts w:cs="Calibri"/>
                <w:sz w:val="18"/>
                <w:szCs w:val="18"/>
              </w:rPr>
              <w:t>ha</w:t>
            </w:r>
            <w:r w:rsidRPr="00232F4E">
              <w:rPr>
                <w:rFonts w:cs="Calibri"/>
                <w:sz w:val="18"/>
                <w:szCs w:val="18"/>
              </w:rPr>
              <w:t>/</w:t>
            </w:r>
            <w:r w:rsidRPr="00C34DE9">
              <w:rPr>
                <w:rFonts w:cs="Calibri"/>
                <w:sz w:val="18"/>
                <w:szCs w:val="18"/>
              </w:rPr>
              <w:t>year for cells of 100m x 100m for the EU</w:t>
            </w:r>
            <w:r>
              <w:rPr>
                <w:rFonts w:cs="Calibri"/>
                <w:sz w:val="18"/>
                <w:szCs w:val="18"/>
              </w:rPr>
              <w:t>.</w:t>
            </w:r>
          </w:p>
          <w:p w14:paraId="0DEB1C2E" w14:textId="6938C0D2" w:rsidR="00737624" w:rsidRPr="00C34DE9" w:rsidRDefault="00737624" w:rsidP="00D6784D">
            <w:pPr>
              <w:pStyle w:val="RD-Indicatortabletext"/>
              <w:spacing w:after="60"/>
              <w:jc w:val="both"/>
              <w:rPr>
                <w:rFonts w:cs="Calibri"/>
                <w:sz w:val="18"/>
                <w:szCs w:val="18"/>
              </w:rPr>
            </w:pPr>
            <w:r w:rsidRPr="00C34DE9">
              <w:rPr>
                <w:rFonts w:cs="Calibri"/>
                <w:sz w:val="18"/>
                <w:szCs w:val="18"/>
              </w:rPr>
              <w:t>The following indicators</w:t>
            </w:r>
            <w:r w:rsidR="000211DF">
              <w:rPr>
                <w:rFonts w:cs="Calibri"/>
                <w:sz w:val="18"/>
                <w:szCs w:val="18"/>
              </w:rPr>
              <w:t xml:space="preserve"> are based on the JRC data/indicator</w:t>
            </w:r>
            <w:r w:rsidRPr="00C34DE9">
              <w:rPr>
                <w:rFonts w:cs="Calibri"/>
                <w:sz w:val="18"/>
                <w:szCs w:val="18"/>
              </w:rPr>
              <w:t>:</w:t>
            </w:r>
          </w:p>
          <w:p w14:paraId="0FA4D2F3" w14:textId="77777777" w:rsidR="00737624" w:rsidRPr="009D51B4" w:rsidRDefault="00737624" w:rsidP="00A85A9D">
            <w:pPr>
              <w:pStyle w:val="RD-Indicatortabletext"/>
              <w:numPr>
                <w:ilvl w:val="0"/>
                <w:numId w:val="36"/>
              </w:numPr>
              <w:spacing w:after="60"/>
              <w:jc w:val="both"/>
              <w:rPr>
                <w:rFonts w:cs="Calibri"/>
                <w:sz w:val="18"/>
                <w:szCs w:val="18"/>
              </w:rPr>
            </w:pPr>
            <w:r w:rsidRPr="00C34DE9">
              <w:rPr>
                <w:rFonts w:cs="Calibri"/>
                <w:sz w:val="18"/>
                <w:szCs w:val="18"/>
                <w:lang w:val="es-ES"/>
              </w:rPr>
              <w:t>Agr</w:t>
            </w:r>
            <w:r w:rsidR="00964944">
              <w:rPr>
                <w:rFonts w:cs="Calibri"/>
                <w:sz w:val="18"/>
                <w:szCs w:val="18"/>
                <w:lang w:val="es-ES"/>
              </w:rPr>
              <w:t>i</w:t>
            </w:r>
            <w:r w:rsidRPr="00C34DE9">
              <w:rPr>
                <w:rFonts w:cs="Calibri"/>
                <w:sz w:val="18"/>
                <w:szCs w:val="18"/>
                <w:lang w:val="es-ES"/>
              </w:rPr>
              <w:t xml:space="preserve">-environmental indicator (AEI) 21 – Soil erosion. </w:t>
            </w:r>
            <w:hyperlink r:id="rId189" w:history="1">
              <w:r w:rsidRPr="00390E12">
                <w:rPr>
                  <w:rStyle w:val="Hyperlink"/>
                  <w:rFonts w:cs="Calibri"/>
                  <w:sz w:val="18"/>
                  <w:szCs w:val="18"/>
                </w:rPr>
                <w:t>https://ec.europa.eu/eurostat/statistics-explained/index.php/Agri-environmental_indicator_-_soil_erosion</w:t>
              </w:r>
            </w:hyperlink>
            <w:r w:rsidRPr="00390E12">
              <w:rPr>
                <w:rFonts w:cs="Calibri"/>
                <w:sz w:val="18"/>
                <w:szCs w:val="18"/>
              </w:rPr>
              <w:t xml:space="preserve"> </w:t>
            </w:r>
          </w:p>
          <w:p w14:paraId="413D7DA2" w14:textId="77777777" w:rsidR="00737624" w:rsidRPr="00C34DE9" w:rsidRDefault="00357841" w:rsidP="00A85A9D">
            <w:pPr>
              <w:pStyle w:val="RD-Indicatortabletext"/>
              <w:numPr>
                <w:ilvl w:val="0"/>
                <w:numId w:val="36"/>
              </w:numPr>
              <w:spacing w:after="60"/>
              <w:jc w:val="both"/>
              <w:rPr>
                <w:rFonts w:cs="Calibri"/>
                <w:sz w:val="18"/>
                <w:szCs w:val="18"/>
              </w:rPr>
            </w:pPr>
            <w:r w:rsidRPr="002F6287">
              <w:rPr>
                <w:rFonts w:cs="Calibri"/>
                <w:sz w:val="18"/>
                <w:szCs w:val="18"/>
              </w:rPr>
              <w:t xml:space="preserve">An SDG indicator on severe soil loss </w:t>
            </w:r>
            <w:hyperlink r:id="rId190" w:anchor="Estimated_soil_erosion_by_water" w:history="1">
              <w:r w:rsidRPr="002F6287">
                <w:rPr>
                  <w:rStyle w:val="Hyperlink"/>
                  <w:rFonts w:cs="Calibri"/>
                  <w:sz w:val="18"/>
                  <w:szCs w:val="18"/>
                </w:rPr>
                <w:t>https://ec.europa.eu/eurostat/statistics-explained/index.php?title=SDG_15_-_Life_on_land_(statistical_annex)#Estimated_soil_erosion_by_water</w:t>
              </w:r>
            </w:hyperlink>
            <w:r w:rsidRPr="002F6287">
              <w:rPr>
                <w:rFonts w:cs="Calibri"/>
                <w:sz w:val="18"/>
                <w:szCs w:val="18"/>
              </w:rPr>
              <w:t xml:space="preserve"> </w:t>
            </w:r>
          </w:p>
        </w:tc>
      </w:tr>
      <w:tr w:rsidR="00737624" w:rsidRPr="00C34DE9" w14:paraId="647F7940"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5AF4487B"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lastRenderedPageBreak/>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8D85A6" w14:textId="0DC4762A" w:rsidR="00737624" w:rsidRPr="00C34DE9" w:rsidRDefault="00644674" w:rsidP="00644674">
            <w:pPr>
              <w:spacing w:after="60"/>
              <w:jc w:val="both"/>
              <w:rPr>
                <w:rFonts w:ascii="Verdana" w:eastAsia="Times New Roman" w:hAnsi="Verdana" w:cs="Calibri"/>
                <w:sz w:val="18"/>
                <w:szCs w:val="18"/>
              </w:rPr>
            </w:pPr>
            <w:r>
              <w:rPr>
                <w:rFonts w:ascii="Verdana" w:hAnsi="Verdana"/>
                <w:sz w:val="18"/>
                <w:szCs w:val="18"/>
              </w:rPr>
              <w:t xml:space="preserve">1: </w:t>
            </w:r>
            <w:r w:rsidR="00737624" w:rsidRPr="00C34DE9">
              <w:rPr>
                <w:rFonts w:ascii="Verdana" w:hAnsi="Verdana"/>
                <w:sz w:val="18"/>
                <w:szCs w:val="18"/>
              </w:rPr>
              <w:t xml:space="preserve">t/ha/year </w:t>
            </w:r>
          </w:p>
          <w:p w14:paraId="184D31E2" w14:textId="0FB36136" w:rsidR="00737624" w:rsidRPr="00C34DE9" w:rsidRDefault="00644674" w:rsidP="0071288B">
            <w:pPr>
              <w:spacing w:after="60"/>
              <w:jc w:val="both"/>
              <w:rPr>
                <w:rFonts w:ascii="Verdana" w:eastAsia="Times New Roman" w:hAnsi="Verdana" w:cs="Calibri"/>
                <w:sz w:val="18"/>
                <w:szCs w:val="18"/>
              </w:rPr>
            </w:pPr>
            <w:r>
              <w:rPr>
                <w:rFonts w:ascii="Verdana" w:eastAsia="Times New Roman" w:hAnsi="Verdana" w:cs="Calibri"/>
                <w:sz w:val="18"/>
                <w:szCs w:val="18"/>
              </w:rPr>
              <w:t xml:space="preserve">2: </w:t>
            </w:r>
            <w:r w:rsidR="0071288B">
              <w:rPr>
                <w:rFonts w:ascii="Verdana" w:eastAsia="Times New Roman" w:hAnsi="Verdana" w:cs="Calibri"/>
                <w:sz w:val="18"/>
                <w:szCs w:val="18"/>
              </w:rPr>
              <w:t>%</w:t>
            </w:r>
          </w:p>
        </w:tc>
      </w:tr>
      <w:tr w:rsidR="00737624" w:rsidRPr="00C34DE9" w14:paraId="7B883EB6" w14:textId="77777777" w:rsidTr="790C88FB">
        <w:trPr>
          <w:trHeight w:val="675"/>
        </w:trPr>
        <w:tc>
          <w:tcPr>
            <w:tcW w:w="2802" w:type="dxa"/>
            <w:tcBorders>
              <w:top w:val="single" w:sz="4" w:space="0" w:color="auto"/>
              <w:left w:val="single" w:sz="4" w:space="0" w:color="auto"/>
              <w:bottom w:val="single" w:sz="4" w:space="0" w:color="auto"/>
              <w:right w:val="single" w:sz="4" w:space="0" w:color="auto"/>
            </w:tcBorders>
            <w:vAlign w:val="center"/>
          </w:tcPr>
          <w:p w14:paraId="095B7767" w14:textId="77777777" w:rsidR="00737624" w:rsidRPr="00C34DE9" w:rsidRDefault="00737624" w:rsidP="790C88FB">
            <w:pPr>
              <w:spacing w:after="60"/>
              <w:rPr>
                <w:rFonts w:ascii="Verdana" w:hAnsi="Verdana"/>
                <w:i/>
                <w:iCs/>
                <w:sz w:val="18"/>
                <w:szCs w:val="18"/>
              </w:rPr>
            </w:pPr>
            <w:r w:rsidRPr="5CB4B133">
              <w:rPr>
                <w:rFonts w:ascii="Verdana" w:hAnsi="Verdana"/>
                <w:b/>
                <w:bCs/>
                <w:sz w:val="18"/>
                <w:szCs w:val="18"/>
              </w:rPr>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5005428" w14:textId="77777777" w:rsidR="00737624" w:rsidRPr="003D760E" w:rsidRDefault="00737624" w:rsidP="00A85A9D">
            <w:pPr>
              <w:numPr>
                <w:ilvl w:val="0"/>
                <w:numId w:val="34"/>
              </w:numPr>
              <w:spacing w:before="120" w:after="0"/>
              <w:ind w:left="714" w:hanging="357"/>
              <w:jc w:val="both"/>
              <w:rPr>
                <w:rFonts w:ascii="Verdana" w:hAnsi="Verdana"/>
                <w:sz w:val="18"/>
                <w:szCs w:val="18"/>
              </w:rPr>
            </w:pPr>
            <w:r w:rsidRPr="003D760E">
              <w:rPr>
                <w:rFonts w:ascii="Verdana" w:hAnsi="Verdana"/>
                <w:sz w:val="18"/>
                <w:szCs w:val="18"/>
              </w:rPr>
              <w:t>Joint Research Centre (JRC) – European Soil Data Centre (ESDAC);</w:t>
            </w:r>
          </w:p>
          <w:p w14:paraId="48A93CAD" w14:textId="77777777" w:rsidR="00737624" w:rsidRPr="003D760E" w:rsidRDefault="00737624" w:rsidP="00A85A9D">
            <w:pPr>
              <w:numPr>
                <w:ilvl w:val="0"/>
                <w:numId w:val="34"/>
              </w:numPr>
              <w:spacing w:before="120" w:after="0"/>
              <w:ind w:left="714" w:hanging="357"/>
              <w:jc w:val="both"/>
              <w:rPr>
                <w:rFonts w:ascii="Verdana" w:hAnsi="Verdana"/>
                <w:sz w:val="18"/>
                <w:szCs w:val="18"/>
              </w:rPr>
            </w:pPr>
            <w:r w:rsidRPr="003D760E">
              <w:rPr>
                <w:rFonts w:ascii="Verdana" w:hAnsi="Verdana"/>
                <w:sz w:val="18"/>
                <w:szCs w:val="18"/>
              </w:rPr>
              <w:t>Input data sources used for the model: LUCAS Topsoil 2009, European Soil Database, Corine Land Cover 2006/2012, Rainfall Erosivity Database in Europe (REDES), Copernicus Remote Sensing, Eurostat Statistics, Digital Elevation Model (DEM), Good Agricultural Environmental Conditions (GAEC), Lucas Earth Observations 2009/2012</w:t>
            </w:r>
            <w:r w:rsidR="003A714B" w:rsidRPr="003D760E">
              <w:rPr>
                <w:rFonts w:ascii="Verdana" w:hAnsi="Verdana"/>
                <w:sz w:val="18"/>
                <w:szCs w:val="18"/>
              </w:rPr>
              <w:t>/2015, Farm Field Survey (FSS) statistical data 2010/2016 (source: Eurostat).</w:t>
            </w:r>
          </w:p>
          <w:p w14:paraId="1F8990E4" w14:textId="77777777" w:rsidR="00737624" w:rsidRPr="003D760E" w:rsidRDefault="00737624" w:rsidP="00A85A9D">
            <w:pPr>
              <w:numPr>
                <w:ilvl w:val="0"/>
                <w:numId w:val="34"/>
              </w:numPr>
              <w:spacing w:after="0"/>
              <w:ind w:left="714" w:hanging="357"/>
              <w:jc w:val="both"/>
              <w:rPr>
                <w:rFonts w:ascii="Verdana" w:eastAsia="Times New Roman" w:hAnsi="Verdana"/>
                <w:sz w:val="18"/>
                <w:szCs w:val="18"/>
              </w:rPr>
            </w:pPr>
            <w:r w:rsidRPr="003D760E">
              <w:rPr>
                <w:rFonts w:ascii="Verdana" w:hAnsi="Verdana"/>
                <w:sz w:val="18"/>
                <w:szCs w:val="18"/>
              </w:rPr>
              <w:t>Potential sources available at national level (studies, surveys, reports) can be explored and used.</w:t>
            </w:r>
          </w:p>
        </w:tc>
      </w:tr>
      <w:tr w:rsidR="00737624" w:rsidRPr="00C34DE9" w14:paraId="636FE93A"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34DABBB0"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65F143F" w14:textId="77777777" w:rsidR="00737624" w:rsidRPr="00E814F5" w:rsidRDefault="00737624" w:rsidP="00D320C1">
            <w:pPr>
              <w:spacing w:before="120" w:after="60"/>
              <w:jc w:val="both"/>
              <w:rPr>
                <w:rFonts w:ascii="Verdana" w:hAnsi="Verdana"/>
                <w:sz w:val="18"/>
                <w:szCs w:val="18"/>
              </w:rPr>
            </w:pPr>
            <w:r w:rsidRPr="00E814F5">
              <w:rPr>
                <w:rFonts w:ascii="Verdana" w:hAnsi="Verdana"/>
                <w:sz w:val="18"/>
                <w:szCs w:val="18"/>
              </w:rPr>
              <w:t xml:space="preserve">Joint Research Centre (JRC) </w:t>
            </w:r>
          </w:p>
          <w:p w14:paraId="48988F66" w14:textId="77777777" w:rsidR="00390E12" w:rsidRPr="00E814F5" w:rsidRDefault="00737624" w:rsidP="00A85A9D">
            <w:pPr>
              <w:numPr>
                <w:ilvl w:val="0"/>
                <w:numId w:val="35"/>
              </w:numPr>
              <w:spacing w:before="120" w:after="60"/>
              <w:jc w:val="both"/>
              <w:rPr>
                <w:rFonts w:ascii="Verdana" w:hAnsi="Verdana"/>
                <w:sz w:val="18"/>
                <w:szCs w:val="18"/>
                <w:lang w:val="it-IT"/>
              </w:rPr>
            </w:pPr>
            <w:r w:rsidRPr="00E814F5">
              <w:rPr>
                <w:rFonts w:ascii="Verdana" w:hAnsi="Verdana"/>
                <w:sz w:val="18"/>
                <w:szCs w:val="18"/>
                <w:lang w:val="it-IT"/>
              </w:rPr>
              <w:t xml:space="preserve">European Soil Data Centre (ESDAC) </w:t>
            </w:r>
            <w:hyperlink r:id="rId191" w:history="1">
              <w:r w:rsidR="00390E12" w:rsidRPr="00E814F5">
                <w:rPr>
                  <w:rStyle w:val="Hyperlink"/>
                  <w:rFonts w:ascii="Verdana" w:hAnsi="Verdana"/>
                  <w:sz w:val="18"/>
                  <w:szCs w:val="18"/>
                  <w:lang w:val="it-IT"/>
                </w:rPr>
                <w:t>https://esdac.jrc.ec.europa.eu/</w:t>
              </w:r>
            </w:hyperlink>
          </w:p>
          <w:p w14:paraId="1FC22615" w14:textId="77777777" w:rsidR="00737624" w:rsidRPr="00E814F5" w:rsidRDefault="00737624" w:rsidP="00E814F5">
            <w:pPr>
              <w:spacing w:before="120" w:after="60"/>
              <w:jc w:val="both"/>
              <w:rPr>
                <w:rFonts w:ascii="Verdana" w:hAnsi="Verdana"/>
                <w:sz w:val="18"/>
                <w:szCs w:val="18"/>
                <w:lang w:val="it-IT"/>
              </w:rPr>
            </w:pPr>
            <w:r w:rsidRPr="00E814F5">
              <w:rPr>
                <w:rFonts w:ascii="Verdana" w:hAnsi="Verdana"/>
                <w:sz w:val="18"/>
                <w:szCs w:val="18"/>
                <w:lang w:val="it-IT"/>
              </w:rPr>
              <w:t>Eurostat</w:t>
            </w:r>
          </w:p>
          <w:p w14:paraId="763BA7ED" w14:textId="29065476" w:rsidR="00737624" w:rsidRPr="00E814F5" w:rsidRDefault="00A600C2" w:rsidP="00A600C2">
            <w:pPr>
              <w:numPr>
                <w:ilvl w:val="0"/>
                <w:numId w:val="35"/>
              </w:numPr>
              <w:spacing w:before="120" w:after="60"/>
              <w:jc w:val="both"/>
              <w:rPr>
                <w:rFonts w:ascii="Verdana" w:hAnsi="Verdana"/>
                <w:sz w:val="18"/>
                <w:szCs w:val="18"/>
                <w:lang w:val="nn-NO"/>
              </w:rPr>
            </w:pPr>
            <w:r w:rsidRPr="00A600C2">
              <w:rPr>
                <w:rFonts w:ascii="Verdana" w:hAnsi="Verdana"/>
                <w:sz w:val="18"/>
                <w:szCs w:val="18"/>
                <w:lang w:val="nn-NO"/>
              </w:rPr>
              <w:t>[</w:t>
            </w:r>
            <w:hyperlink r:id="rId192" w:history="1">
              <w:r w:rsidRPr="00A600C2">
                <w:rPr>
                  <w:rStyle w:val="Hyperlink"/>
                  <w:rFonts w:ascii="Verdana" w:hAnsi="Verdana"/>
                  <w:sz w:val="18"/>
                  <w:szCs w:val="18"/>
                  <w:lang w:val="nn-NO"/>
                </w:rPr>
                <w:t>aei_pr_soiler</w:t>
              </w:r>
            </w:hyperlink>
            <w:r w:rsidRPr="00A600C2">
              <w:rPr>
                <w:rFonts w:ascii="Verdana" w:hAnsi="Verdana"/>
                <w:sz w:val="18"/>
                <w:szCs w:val="18"/>
                <w:lang w:val="nn-NO"/>
              </w:rPr>
              <w:t xml:space="preserve">] </w:t>
            </w:r>
            <w:r w:rsidR="00737624" w:rsidRPr="00E814F5">
              <w:rPr>
                <w:rFonts w:ascii="Verdana" w:hAnsi="Verdana"/>
                <w:sz w:val="18"/>
                <w:szCs w:val="18"/>
                <w:lang w:val="nn-NO"/>
              </w:rPr>
              <w:t>(full data set)</w:t>
            </w:r>
          </w:p>
          <w:p w14:paraId="69A6270E" w14:textId="72E3019D" w:rsidR="00737624" w:rsidRPr="00E814F5" w:rsidRDefault="00737624" w:rsidP="00A600C2">
            <w:pPr>
              <w:numPr>
                <w:ilvl w:val="0"/>
                <w:numId w:val="35"/>
              </w:numPr>
              <w:spacing w:before="120" w:after="60"/>
              <w:jc w:val="both"/>
              <w:rPr>
                <w:rFonts w:ascii="Verdana" w:hAnsi="Verdana"/>
                <w:sz w:val="18"/>
                <w:szCs w:val="18"/>
                <w:lang w:val="en-US"/>
              </w:rPr>
            </w:pPr>
            <w:r w:rsidRPr="00E814F5">
              <w:rPr>
                <w:rFonts w:ascii="Verdana" w:hAnsi="Verdana"/>
                <w:sz w:val="18"/>
                <w:szCs w:val="18"/>
                <w:lang w:val="en-US"/>
              </w:rPr>
              <w:t xml:space="preserve"> </w:t>
            </w:r>
            <w:r w:rsidR="00A600C2">
              <w:rPr>
                <w:rFonts w:ascii="Verdana" w:hAnsi="Verdana"/>
                <w:sz w:val="18"/>
                <w:szCs w:val="18"/>
                <w:lang w:val="en-US"/>
              </w:rPr>
              <w:t>[</w:t>
            </w:r>
            <w:hyperlink r:id="rId193" w:history="1">
              <w:r w:rsidR="00A600C2" w:rsidRPr="00A600C2">
                <w:rPr>
                  <w:rStyle w:val="Hyperlink"/>
                  <w:rFonts w:ascii="Verdana" w:hAnsi="Verdana"/>
                  <w:sz w:val="18"/>
                  <w:szCs w:val="18"/>
                  <w:lang w:val="en-US"/>
                </w:rPr>
                <w:t>sdg_15_50</w:t>
              </w:r>
            </w:hyperlink>
            <w:r w:rsidR="00A600C2">
              <w:rPr>
                <w:rFonts w:ascii="Verdana" w:hAnsi="Verdana"/>
                <w:sz w:val="18"/>
                <w:szCs w:val="18"/>
                <w:lang w:val="en-US"/>
              </w:rPr>
              <w:t>]</w:t>
            </w:r>
            <w:r w:rsidR="00A600C2" w:rsidRPr="00A600C2">
              <w:rPr>
                <w:rFonts w:ascii="Verdana" w:hAnsi="Verdana"/>
                <w:sz w:val="18"/>
                <w:szCs w:val="18"/>
                <w:lang w:val="en-US"/>
              </w:rPr>
              <w:t xml:space="preserve"> </w:t>
            </w:r>
            <w:r w:rsidRPr="00E814F5">
              <w:rPr>
                <w:rFonts w:ascii="Verdana" w:hAnsi="Verdana"/>
                <w:sz w:val="18"/>
                <w:szCs w:val="18"/>
                <w:lang w:val="en-US"/>
              </w:rPr>
              <w:t>(indicator table)</w:t>
            </w:r>
          </w:p>
          <w:p w14:paraId="26353CF2" w14:textId="77777777" w:rsidR="00737624" w:rsidRPr="003D760E" w:rsidRDefault="00737624" w:rsidP="00D320C1">
            <w:pPr>
              <w:spacing w:after="60"/>
              <w:jc w:val="both"/>
              <w:rPr>
                <w:rFonts w:ascii="Verdana" w:eastAsia="Times New Roman" w:hAnsi="Verdana"/>
                <w:color w:val="0000FF"/>
                <w:sz w:val="18"/>
                <w:szCs w:val="18"/>
                <w:u w:val="single"/>
              </w:rPr>
            </w:pPr>
            <w:r w:rsidRPr="00E814F5">
              <w:rPr>
                <w:rFonts w:ascii="Verdana" w:hAnsi="Verdana"/>
                <w:sz w:val="18"/>
                <w:szCs w:val="18"/>
              </w:rPr>
              <w:t>National studies, surveys, reports.</w:t>
            </w:r>
          </w:p>
        </w:tc>
      </w:tr>
      <w:tr w:rsidR="00737624" w:rsidRPr="00C34DE9" w14:paraId="54F862F3"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575343B0"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390E12" w:rsidRPr="5CB4B133">
              <w:rPr>
                <w:rFonts w:ascii="Verdana" w:hAnsi="Verdana"/>
                <w:b/>
                <w:bCs/>
                <w:sz w:val="18"/>
                <w:szCs w:val="18"/>
              </w:rPr>
              <w:t>/</w:t>
            </w:r>
            <w:r w:rsidR="00CE27E0" w:rsidRPr="5CB4B133">
              <w:rPr>
                <w:rFonts w:ascii="Verdana" w:hAnsi="Verdana"/>
                <w:b/>
                <w:bCs/>
                <w:sz w:val="18"/>
                <w:szCs w:val="18"/>
              </w:rPr>
              <w:t xml:space="preserve"> </w:t>
            </w:r>
            <w:r w:rsidR="00390E12" w:rsidRPr="5CB4B133">
              <w:rPr>
                <w:rFonts w:ascii="Verdana" w:hAnsi="Verdana"/>
                <w:b/>
                <w:bCs/>
                <w:sz w:val="18"/>
                <w:szCs w:val="18"/>
              </w:rPr>
              <w:t>dissemination</w:t>
            </w:r>
            <w:r w:rsidRPr="5CB4B133">
              <w:rPr>
                <w:rFonts w:ascii="Verdana" w:hAnsi="Verdana"/>
                <w:b/>
                <w:bCs/>
                <w:sz w:val="18"/>
                <w:szCs w:val="18"/>
              </w:rPr>
              <w:t xml:space="preserve"> 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58AD2D" w14:textId="77777777" w:rsidR="00737624" w:rsidRPr="003D760E" w:rsidDel="00F9611E" w:rsidRDefault="00737624" w:rsidP="00D6784D">
            <w:pPr>
              <w:spacing w:after="0"/>
              <w:rPr>
                <w:rFonts w:ascii="Verdana" w:hAnsi="Verdana"/>
                <w:sz w:val="18"/>
                <w:szCs w:val="18"/>
              </w:rPr>
            </w:pPr>
            <w:r w:rsidRPr="003D760E">
              <w:rPr>
                <w:rFonts w:ascii="Verdana" w:hAnsi="Verdana"/>
                <w:sz w:val="18"/>
                <w:szCs w:val="18"/>
              </w:rPr>
              <w:t>National (NUTS 0)</w:t>
            </w:r>
            <w:r w:rsidR="00390E12" w:rsidRPr="003D760E">
              <w:rPr>
                <w:rFonts w:ascii="Verdana" w:hAnsi="Verdana"/>
                <w:sz w:val="18"/>
                <w:szCs w:val="18"/>
              </w:rPr>
              <w:t>,</w:t>
            </w:r>
            <w:r w:rsidRPr="003D760E">
              <w:rPr>
                <w:rFonts w:ascii="Verdana" w:hAnsi="Verdana"/>
                <w:sz w:val="18"/>
                <w:szCs w:val="18"/>
              </w:rPr>
              <w:t xml:space="preserve"> </w:t>
            </w:r>
            <w:r w:rsidR="00390E12" w:rsidRPr="003D760E">
              <w:rPr>
                <w:rFonts w:ascii="Verdana" w:hAnsi="Verdana"/>
                <w:sz w:val="18"/>
                <w:szCs w:val="18"/>
              </w:rPr>
              <w:t>R</w:t>
            </w:r>
            <w:r w:rsidRPr="003D760E">
              <w:rPr>
                <w:rFonts w:ascii="Verdana" w:hAnsi="Verdana"/>
                <w:sz w:val="18"/>
                <w:szCs w:val="18"/>
              </w:rPr>
              <w:t>egional (NUTS 2-3) level (based on 100m cell – model output).</w:t>
            </w:r>
          </w:p>
        </w:tc>
      </w:tr>
      <w:tr w:rsidR="00737624" w:rsidRPr="00C34DE9" w14:paraId="2F616B03" w14:textId="77777777" w:rsidTr="790C88FB">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57F8E8AE" w14:textId="77777777" w:rsidR="00737624" w:rsidRPr="00C34DE9" w:rsidRDefault="00737624" w:rsidP="790C88FB">
            <w:pPr>
              <w:spacing w:after="60"/>
              <w:rPr>
                <w:rFonts w:ascii="Verdana" w:hAnsi="Verdana"/>
                <w:b/>
                <w:bCs/>
                <w:i/>
                <w:iCs/>
                <w:sz w:val="18"/>
                <w:szCs w:val="18"/>
              </w:rPr>
            </w:pPr>
            <w:r w:rsidRPr="5CB4B133">
              <w:rPr>
                <w:rFonts w:ascii="Verdana" w:hAnsi="Verdana"/>
                <w:b/>
                <w:bCs/>
                <w:sz w:val="18"/>
                <w:szCs w:val="18"/>
              </w:rPr>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3034457" w14:textId="77777777" w:rsidR="00737624" w:rsidRPr="003D760E" w:rsidRDefault="00737624" w:rsidP="00D6784D">
            <w:pPr>
              <w:spacing w:after="0"/>
              <w:jc w:val="both"/>
              <w:rPr>
                <w:rFonts w:ascii="Verdana" w:hAnsi="Verdana"/>
                <w:sz w:val="18"/>
                <w:szCs w:val="18"/>
              </w:rPr>
            </w:pPr>
            <w:r w:rsidRPr="003D760E">
              <w:rPr>
                <w:rFonts w:ascii="Verdana" w:hAnsi="Verdana"/>
                <w:sz w:val="18"/>
                <w:szCs w:val="18"/>
              </w:rPr>
              <w:t>Every 3</w:t>
            </w:r>
            <w:r w:rsidR="003A714B" w:rsidRPr="003D760E">
              <w:rPr>
                <w:rFonts w:ascii="Verdana" w:hAnsi="Verdana"/>
                <w:sz w:val="18"/>
                <w:szCs w:val="18"/>
              </w:rPr>
              <w:t>-4 years depending</w:t>
            </w:r>
            <w:r w:rsidR="003A714B" w:rsidRPr="003D760E">
              <w:rPr>
                <w:rFonts w:ascii="Verdana" w:hAnsi="Verdana"/>
                <w:color w:val="FF0000"/>
                <w:sz w:val="18"/>
                <w:szCs w:val="18"/>
              </w:rPr>
              <w:t xml:space="preserve"> </w:t>
            </w:r>
            <w:r w:rsidR="003A714B" w:rsidRPr="003D760E">
              <w:rPr>
                <w:rFonts w:ascii="Verdana" w:hAnsi="Verdana"/>
                <w:sz w:val="18"/>
                <w:szCs w:val="18"/>
              </w:rPr>
              <w:t>on the data input availability</w:t>
            </w:r>
          </w:p>
        </w:tc>
      </w:tr>
      <w:tr w:rsidR="00737624" w:rsidRPr="00C34DE9" w14:paraId="0C08F0E3" w14:textId="77777777" w:rsidTr="790C88FB">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47532EC7"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366D38" w14:textId="77777777" w:rsidR="00737624" w:rsidRPr="003D760E" w:rsidRDefault="00737624" w:rsidP="00D6784D">
            <w:pPr>
              <w:spacing w:after="0"/>
              <w:rPr>
                <w:rFonts w:ascii="Verdana" w:hAnsi="Verdana"/>
                <w:sz w:val="18"/>
                <w:szCs w:val="18"/>
                <w:lang w:val="en-US"/>
              </w:rPr>
            </w:pPr>
            <w:r w:rsidRPr="003D760E">
              <w:rPr>
                <w:rFonts w:ascii="Verdana" w:hAnsi="Verdana"/>
                <w:sz w:val="18"/>
                <w:szCs w:val="18"/>
                <w:lang w:val="en-US"/>
              </w:rPr>
              <w:t xml:space="preserve">3 years delay between sampling </w:t>
            </w:r>
            <w:r w:rsidR="003A714B" w:rsidRPr="003D760E">
              <w:rPr>
                <w:rFonts w:ascii="Verdana" w:hAnsi="Verdana"/>
                <w:sz w:val="18"/>
                <w:szCs w:val="18"/>
                <w:lang w:val="en-US"/>
              </w:rPr>
              <w:t xml:space="preserve">(or surveying) </w:t>
            </w:r>
            <w:r w:rsidRPr="003D760E">
              <w:rPr>
                <w:rFonts w:ascii="Verdana" w:hAnsi="Verdana"/>
                <w:sz w:val="18"/>
                <w:szCs w:val="18"/>
                <w:lang w:val="en-US"/>
              </w:rPr>
              <w:t>and publication.</w:t>
            </w:r>
          </w:p>
        </w:tc>
      </w:tr>
      <w:tr w:rsidR="00737624" w:rsidRPr="00C34DE9" w14:paraId="0038F46F"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4E0DEB63" w14:textId="77777777" w:rsidR="00737624" w:rsidRPr="00C34DE9" w:rsidRDefault="00737624" w:rsidP="5CB4B133">
            <w:pPr>
              <w:spacing w:after="60"/>
              <w:rPr>
                <w:rFonts w:ascii="Verdana" w:hAnsi="Verdana"/>
                <w:b/>
                <w:bCs/>
                <w:sz w:val="18"/>
                <w:szCs w:val="18"/>
              </w:rPr>
            </w:pPr>
            <w:r w:rsidRPr="5CB4B133">
              <w:rPr>
                <w:rFonts w:ascii="Verdana" w:hAnsi="Verdana"/>
                <w:b/>
                <w:bCs/>
                <w:sz w:val="18"/>
                <w:szCs w:val="18"/>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70C1447" w14:textId="77777777" w:rsidR="00737624" w:rsidRPr="003D760E" w:rsidRDefault="00737624" w:rsidP="00D6784D">
            <w:pPr>
              <w:spacing w:after="60"/>
              <w:jc w:val="both"/>
              <w:rPr>
                <w:rFonts w:ascii="Verdana" w:eastAsia="Times New Roman" w:hAnsi="Verdana" w:cs="Calibri"/>
                <w:sz w:val="18"/>
                <w:szCs w:val="18"/>
              </w:rPr>
            </w:pPr>
            <w:r w:rsidRPr="003D760E">
              <w:rPr>
                <w:rFonts w:ascii="Verdana" w:hAnsi="Verdana"/>
                <w:sz w:val="18"/>
                <w:szCs w:val="18"/>
              </w:rPr>
              <w:t>[Indication capacity</w:t>
            </w:r>
            <w:r w:rsidR="00007995" w:rsidRPr="003D760E">
              <w:rPr>
                <w:rFonts w:ascii="Verdana" w:hAnsi="Verdana"/>
                <w:sz w:val="18"/>
                <w:szCs w:val="18"/>
              </w:rPr>
              <w:t>:</w:t>
            </w:r>
            <w:r w:rsidRPr="003D760E">
              <w:rPr>
                <w:rFonts w:ascii="Verdana" w:hAnsi="Verdana"/>
                <w:sz w:val="18"/>
                <w:szCs w:val="18"/>
              </w:rPr>
              <w:t xml:space="preserve">] </w:t>
            </w:r>
            <w:r w:rsidRPr="003D760E">
              <w:rPr>
                <w:rFonts w:ascii="Verdana" w:eastAsia="Times New Roman" w:hAnsi="Verdana" w:cs="Calibri"/>
                <w:sz w:val="18"/>
                <w:szCs w:val="18"/>
              </w:rPr>
              <w:t xml:space="preserve">Assessing the state and total soil erosion is important as soil degradation results in loss of soil fertility, loss of carbon and biodiversity, lowers the water retention capacity and makes </w:t>
            </w:r>
            <w:r w:rsidR="009A0468" w:rsidRPr="003D760E">
              <w:rPr>
                <w:rFonts w:ascii="Verdana" w:eastAsia="Times New Roman" w:hAnsi="Verdana" w:cs="Calibri"/>
                <w:sz w:val="18"/>
                <w:szCs w:val="18"/>
              </w:rPr>
              <w:t>disruption</w:t>
            </w:r>
            <w:r w:rsidRPr="003D760E">
              <w:rPr>
                <w:rFonts w:ascii="Verdana" w:eastAsia="Times New Roman" w:hAnsi="Verdana" w:cs="Calibri"/>
                <w:sz w:val="18"/>
                <w:szCs w:val="18"/>
              </w:rPr>
              <w:t xml:space="preserve"> of gas and nutrient cycles. Soil erosion rates may change due to change in land cover or soil management (farming) practices (e.g. soil cover, reduced tillage, contour farming, terraces, grass margins). To evaluate significant changes in soil erosion over time it should be noted that an analysis over a time period of at least 10-15 years would be necessary (e.g. comparing the current situation to the 2000s by </w:t>
            </w:r>
            <w:r w:rsidR="009A0468" w:rsidRPr="003D760E">
              <w:rPr>
                <w:rFonts w:ascii="Verdana" w:eastAsia="Times New Roman" w:hAnsi="Verdana" w:cs="Calibri"/>
                <w:sz w:val="18"/>
                <w:szCs w:val="18"/>
              </w:rPr>
              <w:t>retrospective</w:t>
            </w:r>
            <w:r w:rsidRPr="003D760E">
              <w:rPr>
                <w:rFonts w:ascii="Verdana" w:eastAsia="Times New Roman" w:hAnsi="Verdana" w:cs="Calibri"/>
                <w:sz w:val="18"/>
                <w:szCs w:val="18"/>
              </w:rPr>
              <w:t xml:space="preserve"> modelling and time series). The time interval of 6 years (e.g. 2000-2006-2012 for which data are available) is limited and differences are primarily due to changes in land cover (as indicated by Corine Land Cover data) </w:t>
            </w:r>
            <w:r w:rsidR="003A714B" w:rsidRPr="003D760E">
              <w:rPr>
                <w:rFonts w:ascii="Verdana" w:eastAsia="Times New Roman" w:hAnsi="Verdana" w:cs="Calibri"/>
                <w:sz w:val="18"/>
                <w:szCs w:val="18"/>
              </w:rPr>
              <w:t xml:space="preserve">and/or management practices (as indicated in the </w:t>
            </w:r>
            <w:r w:rsidR="00263438">
              <w:rPr>
                <w:rFonts w:ascii="Verdana" w:eastAsia="Times New Roman" w:hAnsi="Verdana" w:cs="Calibri"/>
                <w:sz w:val="18"/>
                <w:szCs w:val="18"/>
              </w:rPr>
              <w:t xml:space="preserve"> </w:t>
            </w:r>
            <w:r w:rsidR="003A714B" w:rsidRPr="003D760E">
              <w:rPr>
                <w:rFonts w:ascii="Verdana" w:eastAsia="Times New Roman" w:hAnsi="Verdana" w:cs="Calibri"/>
                <w:sz w:val="18"/>
                <w:szCs w:val="18"/>
              </w:rPr>
              <w:t xml:space="preserve">Farm </w:t>
            </w:r>
            <w:r w:rsidR="00263438">
              <w:rPr>
                <w:rFonts w:ascii="Verdana" w:eastAsia="Times New Roman" w:hAnsi="Verdana" w:cs="Calibri"/>
                <w:sz w:val="18"/>
                <w:szCs w:val="18"/>
              </w:rPr>
              <w:t xml:space="preserve">Structure </w:t>
            </w:r>
            <w:r w:rsidR="003A714B" w:rsidRPr="003D760E">
              <w:rPr>
                <w:rFonts w:ascii="Verdana" w:eastAsia="Times New Roman" w:hAnsi="Verdana" w:cs="Calibri"/>
                <w:sz w:val="18"/>
                <w:szCs w:val="18"/>
              </w:rPr>
              <w:t xml:space="preserve">Survey and LUCAS </w:t>
            </w:r>
            <w:r w:rsidR="00263438">
              <w:rPr>
                <w:rFonts w:ascii="Verdana" w:eastAsia="Times New Roman" w:hAnsi="Verdana" w:cs="Calibri"/>
                <w:sz w:val="18"/>
                <w:szCs w:val="18"/>
              </w:rPr>
              <w:t>survey</w:t>
            </w:r>
            <w:r w:rsidR="003A714B" w:rsidRPr="003D760E">
              <w:rPr>
                <w:rFonts w:ascii="Verdana" w:eastAsia="Times New Roman" w:hAnsi="Verdana" w:cs="Calibri"/>
                <w:sz w:val="18"/>
                <w:szCs w:val="18"/>
              </w:rPr>
              <w:t xml:space="preserve">). </w:t>
            </w:r>
            <w:r w:rsidRPr="003D760E">
              <w:rPr>
                <w:rFonts w:ascii="Verdana" w:eastAsia="Times New Roman" w:hAnsi="Verdana" w:cs="Calibri"/>
                <w:sz w:val="18"/>
                <w:szCs w:val="18"/>
              </w:rPr>
              <w:t>Therefore, any conclusion must be drawn with caution.</w:t>
            </w:r>
          </w:p>
          <w:p w14:paraId="75729D10" w14:textId="77777777" w:rsidR="00737624" w:rsidRPr="003D760E" w:rsidRDefault="00737624" w:rsidP="00D6784D">
            <w:pPr>
              <w:spacing w:after="60"/>
              <w:jc w:val="both"/>
              <w:rPr>
                <w:rFonts w:ascii="Verdana" w:hAnsi="Verdana"/>
                <w:sz w:val="18"/>
                <w:szCs w:val="18"/>
              </w:rPr>
            </w:pPr>
            <w:r w:rsidRPr="003D760E">
              <w:rPr>
                <w:rFonts w:ascii="Verdana" w:hAnsi="Verdana"/>
                <w:sz w:val="18"/>
                <w:szCs w:val="18"/>
              </w:rPr>
              <w:t xml:space="preserve">[Readily available?]: The indicator is available.  </w:t>
            </w:r>
          </w:p>
          <w:p w14:paraId="490074A2" w14:textId="77777777" w:rsidR="00737624" w:rsidRPr="003D760E" w:rsidRDefault="00737624" w:rsidP="00D6784D">
            <w:pPr>
              <w:pStyle w:val="RD-Indicatortabletext"/>
              <w:spacing w:after="60"/>
              <w:jc w:val="both"/>
              <w:rPr>
                <w:rFonts w:cs="Calibri"/>
                <w:sz w:val="18"/>
                <w:szCs w:val="18"/>
              </w:rPr>
            </w:pPr>
            <w:r w:rsidRPr="003D760E">
              <w:rPr>
                <w:sz w:val="18"/>
                <w:szCs w:val="18"/>
              </w:rPr>
              <w:t>[Downscaling</w:t>
            </w:r>
            <w:r w:rsidR="00007995" w:rsidRPr="003D760E">
              <w:rPr>
                <w:sz w:val="18"/>
                <w:szCs w:val="18"/>
              </w:rPr>
              <w:t>:</w:t>
            </w:r>
            <w:r w:rsidRPr="003D760E">
              <w:rPr>
                <w:sz w:val="18"/>
                <w:szCs w:val="18"/>
              </w:rPr>
              <w:t xml:space="preserve">] </w:t>
            </w:r>
            <w:r w:rsidRPr="003D760E">
              <w:rPr>
                <w:rFonts w:cs="Calibri"/>
                <w:sz w:val="18"/>
                <w:szCs w:val="18"/>
              </w:rPr>
              <w:t xml:space="preserve">The results of the soil erosion indicators are aggregated at NUTS 3 and NUTS 2 level and Member State level. </w:t>
            </w:r>
          </w:p>
          <w:p w14:paraId="31875494" w14:textId="77777777" w:rsidR="003A714B" w:rsidRPr="003D760E" w:rsidRDefault="00737624" w:rsidP="003A714B">
            <w:pPr>
              <w:spacing w:after="60"/>
              <w:jc w:val="both"/>
              <w:rPr>
                <w:rFonts w:ascii="Verdana" w:hAnsi="Verdana"/>
                <w:sz w:val="18"/>
                <w:szCs w:val="18"/>
              </w:rPr>
            </w:pPr>
            <w:r w:rsidRPr="003D760E">
              <w:rPr>
                <w:rFonts w:ascii="Verdana" w:hAnsi="Verdana"/>
                <w:sz w:val="18"/>
                <w:szCs w:val="18"/>
              </w:rPr>
              <w:lastRenderedPageBreak/>
              <w:t xml:space="preserve">[Quality:] </w:t>
            </w:r>
            <w:r w:rsidR="003A714B" w:rsidRPr="003D760E">
              <w:rPr>
                <w:rFonts w:ascii="Verdana" w:hAnsi="Verdana"/>
                <w:sz w:val="18"/>
                <w:szCs w:val="18"/>
                <w:lang w:val="en-US"/>
              </w:rPr>
              <w:t>The soil erosion map provides the most updated and harmoni</w:t>
            </w:r>
            <w:r w:rsidR="00390E12" w:rsidRPr="003D760E">
              <w:rPr>
                <w:rFonts w:ascii="Verdana" w:hAnsi="Verdana"/>
                <w:sz w:val="18"/>
                <w:szCs w:val="18"/>
                <w:lang w:val="en-US"/>
              </w:rPr>
              <w:t>s</w:t>
            </w:r>
            <w:r w:rsidR="003A714B" w:rsidRPr="003D760E">
              <w:rPr>
                <w:rFonts w:ascii="Verdana" w:hAnsi="Verdana"/>
                <w:sz w:val="18"/>
                <w:szCs w:val="18"/>
                <w:lang w:val="en-US"/>
              </w:rPr>
              <w:t xml:space="preserve">ed picture of water erosion in EU based on the best available input factors. </w:t>
            </w:r>
            <w:r w:rsidRPr="003D760E">
              <w:rPr>
                <w:rFonts w:ascii="Verdana" w:hAnsi="Verdana"/>
                <w:sz w:val="18"/>
                <w:szCs w:val="18"/>
              </w:rPr>
              <w:t>The soil erodi</w:t>
            </w:r>
            <w:r w:rsidR="003A714B" w:rsidRPr="003D760E">
              <w:rPr>
                <w:rFonts w:ascii="Verdana" w:hAnsi="Verdana"/>
                <w:sz w:val="18"/>
                <w:szCs w:val="18"/>
              </w:rPr>
              <w:t>bili</w:t>
            </w:r>
            <w:r w:rsidRPr="003D760E">
              <w:rPr>
                <w:rFonts w:ascii="Verdana" w:hAnsi="Verdana"/>
                <w:sz w:val="18"/>
                <w:szCs w:val="18"/>
              </w:rPr>
              <w:t>ty is estimated for the 20</w:t>
            </w:r>
            <w:r w:rsidR="00390E12" w:rsidRPr="003D760E">
              <w:rPr>
                <w:rFonts w:ascii="Verdana" w:hAnsi="Verdana"/>
                <w:sz w:val="18"/>
                <w:szCs w:val="18"/>
              </w:rPr>
              <w:t xml:space="preserve"> </w:t>
            </w:r>
            <w:r w:rsidRPr="003D760E">
              <w:rPr>
                <w:rFonts w:ascii="Verdana" w:hAnsi="Verdana"/>
                <w:sz w:val="18"/>
                <w:szCs w:val="18"/>
              </w:rPr>
              <w:t xml:space="preserve">000 field sampling points </w:t>
            </w:r>
            <w:r w:rsidR="009A0468" w:rsidRPr="003D760E">
              <w:rPr>
                <w:rFonts w:ascii="Verdana" w:hAnsi="Verdana"/>
                <w:sz w:val="18"/>
                <w:szCs w:val="18"/>
              </w:rPr>
              <w:t>included</w:t>
            </w:r>
            <w:r w:rsidRPr="003D760E">
              <w:rPr>
                <w:rFonts w:ascii="Verdana" w:hAnsi="Verdana"/>
                <w:sz w:val="18"/>
                <w:szCs w:val="18"/>
              </w:rPr>
              <w:t xml:space="preserve"> in the Land Use/Cover area frame (LUCAS) survey. LUCAS provides harmonised and comparable statistics across the EU. Results of LUCAS survey are subject of multi-steps quality assurance system.</w:t>
            </w:r>
            <w:r w:rsidR="003A714B" w:rsidRPr="003D760E">
              <w:rPr>
                <w:rFonts w:ascii="Verdana" w:hAnsi="Verdana"/>
                <w:sz w:val="18"/>
                <w:szCs w:val="18"/>
              </w:rPr>
              <w:t xml:space="preserve"> The Land cover data are inputs taken by CORINE LC (subject to QA) and Farm </w:t>
            </w:r>
            <w:r w:rsidR="00263438">
              <w:rPr>
                <w:rFonts w:ascii="Verdana" w:hAnsi="Verdana"/>
                <w:sz w:val="18"/>
                <w:szCs w:val="18"/>
              </w:rPr>
              <w:t xml:space="preserve">Structure </w:t>
            </w:r>
            <w:r w:rsidR="003A714B" w:rsidRPr="003D760E">
              <w:rPr>
                <w:rFonts w:ascii="Verdana" w:hAnsi="Verdana"/>
                <w:sz w:val="18"/>
                <w:szCs w:val="18"/>
              </w:rPr>
              <w:t>Survey (source: Eurostat).</w:t>
            </w:r>
          </w:p>
          <w:p w14:paraId="2FC4708F" w14:textId="77777777" w:rsidR="003A714B" w:rsidRPr="003D760E" w:rsidRDefault="003A714B" w:rsidP="003A714B">
            <w:pPr>
              <w:spacing w:after="60"/>
              <w:jc w:val="both"/>
              <w:rPr>
                <w:rFonts w:ascii="Verdana" w:hAnsi="Verdana"/>
                <w:sz w:val="18"/>
                <w:szCs w:val="18"/>
              </w:rPr>
            </w:pPr>
            <w:r w:rsidRPr="003D760E">
              <w:rPr>
                <w:rFonts w:ascii="Verdana" w:hAnsi="Verdana"/>
                <w:sz w:val="18"/>
                <w:szCs w:val="18"/>
              </w:rPr>
              <w:t>The proposed map is not intended to substitute any national or local erosion map which is based on more detailed spatial data.</w:t>
            </w:r>
          </w:p>
          <w:p w14:paraId="1E1ED9AB" w14:textId="77777777" w:rsidR="00737624" w:rsidRPr="003D760E" w:rsidRDefault="00737624" w:rsidP="00D6784D">
            <w:pPr>
              <w:spacing w:after="60"/>
              <w:jc w:val="both"/>
              <w:rPr>
                <w:rFonts w:ascii="Verdana" w:hAnsi="Verdana"/>
                <w:sz w:val="18"/>
                <w:szCs w:val="18"/>
              </w:rPr>
            </w:pPr>
            <w:r w:rsidRPr="003D760E">
              <w:rPr>
                <w:rFonts w:ascii="Verdana" w:hAnsi="Verdana"/>
                <w:sz w:val="18"/>
                <w:szCs w:val="18"/>
              </w:rPr>
              <w:t xml:space="preserve">[Baseline:] An update of the soil erosion dataset to be published by JRC in </w:t>
            </w:r>
            <w:r w:rsidR="003A714B" w:rsidRPr="003D760E">
              <w:rPr>
                <w:rFonts w:ascii="Verdana" w:hAnsi="Verdana"/>
                <w:sz w:val="18"/>
                <w:szCs w:val="18"/>
              </w:rPr>
              <w:t>Autumn</w:t>
            </w:r>
            <w:r w:rsidR="00390E12" w:rsidRPr="003D760E">
              <w:rPr>
                <w:rFonts w:ascii="Verdana" w:hAnsi="Verdana"/>
                <w:sz w:val="18"/>
                <w:szCs w:val="18"/>
              </w:rPr>
              <w:t xml:space="preserve"> </w:t>
            </w:r>
            <w:r w:rsidRPr="003D760E">
              <w:rPr>
                <w:rFonts w:ascii="Verdana" w:hAnsi="Verdana"/>
                <w:sz w:val="18"/>
                <w:szCs w:val="18"/>
              </w:rPr>
              <w:t xml:space="preserve">2019, based on data from LUCAS 2015 &amp; Farm Structure Survey 2016 could be used as baseline. </w:t>
            </w:r>
          </w:p>
          <w:p w14:paraId="2091460C" w14:textId="77777777" w:rsidR="00D34F97" w:rsidRPr="00FA7243" w:rsidRDefault="00D34F97" w:rsidP="5CB4B133">
            <w:pPr>
              <w:spacing w:after="60"/>
              <w:jc w:val="both"/>
              <w:rPr>
                <w:rFonts w:ascii="Verdana" w:hAnsi="Verdana"/>
                <w:b/>
                <w:bCs/>
                <w:sz w:val="18"/>
                <w:szCs w:val="18"/>
              </w:rPr>
            </w:pPr>
            <w:r w:rsidRPr="5CB4B133">
              <w:rPr>
                <w:rFonts w:ascii="Verdana" w:hAnsi="Verdana"/>
                <w:b/>
                <w:bCs/>
                <w:sz w:val="18"/>
                <w:szCs w:val="18"/>
              </w:rPr>
              <w:t>This indicator has common ground with the one used for the EU reporting on UN Sustainable Development Goals.</w:t>
            </w:r>
          </w:p>
        </w:tc>
      </w:tr>
    </w:tbl>
    <w:p w14:paraId="2405F109" w14:textId="77777777" w:rsidR="00BA49F3" w:rsidRPr="00C34DE9" w:rsidRDefault="00BA49F3">
      <w:pPr>
        <w:rPr>
          <w:rFonts w:ascii="Verdana" w:hAnsi="Verdana"/>
          <w:sz w:val="18"/>
          <w:szCs w:val="18"/>
        </w:rPr>
      </w:pPr>
    </w:p>
    <w:p w14:paraId="12FCAE48" w14:textId="77777777" w:rsidR="00B67ADD" w:rsidRPr="00C34DE9" w:rsidRDefault="00BA49F3">
      <w:pPr>
        <w:rPr>
          <w:rFonts w:ascii="Verdana" w:hAnsi="Verdana"/>
          <w:sz w:val="18"/>
          <w:szCs w:val="18"/>
        </w:rPr>
      </w:pPr>
      <w:r w:rsidRPr="00C34DE9">
        <w:rPr>
          <w:rFonts w:ascii="Verdana" w:hAnsi="Verdana"/>
          <w:sz w:val="18"/>
          <w:szCs w:val="18"/>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B67ADD" w:rsidRPr="00C34DE9" w14:paraId="532C6DAB" w14:textId="77777777" w:rsidTr="240ABBB4">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02B6B103" w14:textId="24C20509" w:rsidR="00B67ADD" w:rsidRPr="00C34DE9" w:rsidRDefault="0078771C" w:rsidP="00340D8D">
            <w:pPr>
              <w:spacing w:after="60"/>
              <w:rPr>
                <w:rFonts w:ascii="Verdana" w:hAnsi="Verdana"/>
                <w:b/>
                <w:bCs/>
                <w:sz w:val="18"/>
                <w:szCs w:val="18"/>
                <w:lang w:val="en-IE"/>
              </w:rPr>
            </w:pPr>
            <w:bookmarkStart w:id="64" w:name="C41"/>
            <w:r w:rsidRPr="5CB4B133">
              <w:rPr>
                <w:rFonts w:ascii="Verdana" w:hAnsi="Verdana"/>
                <w:b/>
                <w:bCs/>
                <w:smallCaps/>
                <w:sz w:val="18"/>
                <w:szCs w:val="18"/>
                <w:lang w:val="en-IE"/>
              </w:rPr>
              <w:lastRenderedPageBreak/>
              <w:t>Indicator C.</w:t>
            </w:r>
            <w:r w:rsidR="00B67ADD" w:rsidRPr="5CB4B133">
              <w:rPr>
                <w:rFonts w:ascii="Verdana" w:hAnsi="Verdana"/>
                <w:b/>
                <w:bCs/>
                <w:smallCaps/>
                <w:sz w:val="18"/>
                <w:szCs w:val="18"/>
                <w:lang w:val="en-IE"/>
              </w:rPr>
              <w:t>4</w:t>
            </w:r>
            <w:r w:rsidR="00340D8D">
              <w:rPr>
                <w:rFonts w:ascii="Verdana" w:hAnsi="Verdana"/>
                <w:b/>
                <w:bCs/>
                <w:smallCaps/>
                <w:sz w:val="18"/>
                <w:szCs w:val="18"/>
                <w:lang w:val="en-IE"/>
              </w:rPr>
              <w:t>2</w:t>
            </w:r>
            <w:bookmarkEnd w:id="64"/>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35B1840D" w14:textId="77777777" w:rsidR="00577ACC" w:rsidRPr="00577ACC" w:rsidRDefault="00D1251C" w:rsidP="5CB4B133">
            <w:pPr>
              <w:spacing w:after="60"/>
              <w:rPr>
                <w:rFonts w:ascii="Verdana" w:hAnsi="Verdana"/>
                <w:b/>
                <w:bCs/>
                <w:caps/>
                <w:sz w:val="18"/>
                <w:szCs w:val="18"/>
                <w:lang w:val="en-IE"/>
              </w:rPr>
            </w:pPr>
            <w:bookmarkStart w:id="65" w:name="I12"/>
            <w:r w:rsidRPr="5CB4B133">
              <w:rPr>
                <w:rFonts w:ascii="Verdana" w:hAnsi="Verdana"/>
                <w:b/>
                <w:bCs/>
                <w:sz w:val="18"/>
                <w:szCs w:val="18"/>
                <w:lang w:val="en-IE"/>
              </w:rPr>
              <w:t>Indicator I.12</w:t>
            </w:r>
            <w:bookmarkEnd w:id="65"/>
            <w:r w:rsidRPr="5CB4B133">
              <w:rPr>
                <w:rFonts w:ascii="Verdana" w:hAnsi="Verdana"/>
                <w:b/>
                <w:bCs/>
                <w:sz w:val="18"/>
                <w:szCs w:val="18"/>
                <w:lang w:val="en-IE"/>
              </w:rPr>
              <w:t xml:space="preserve"> Increasing sustainable energy in agriculture</w:t>
            </w:r>
            <w:r w:rsidRPr="00D1251C">
              <w:rPr>
                <w:rFonts w:ascii="Verdana" w:hAnsi="Verdana"/>
                <w:sz w:val="18"/>
                <w:szCs w:val="18"/>
                <w:lang w:val="en-IE"/>
              </w:rPr>
              <w:t>:</w:t>
            </w:r>
            <w:r w:rsidRPr="5CB4B133">
              <w:rPr>
                <w:rFonts w:ascii="Verdana" w:hAnsi="Verdana"/>
                <w:b/>
                <w:bCs/>
                <w:sz w:val="18"/>
                <w:szCs w:val="18"/>
                <w:lang w:val="en-IE"/>
              </w:rPr>
              <w:t xml:space="preserve"> </w:t>
            </w:r>
          </w:p>
          <w:p w14:paraId="7623B6E5" w14:textId="03CC6EC7" w:rsidR="00B67ADD" w:rsidRPr="00577ACC" w:rsidRDefault="00544397" w:rsidP="00544397">
            <w:pPr>
              <w:spacing w:after="60"/>
              <w:rPr>
                <w:rFonts w:ascii="Verdana" w:hAnsi="Verdana"/>
                <w:caps/>
                <w:sz w:val="18"/>
                <w:szCs w:val="18"/>
                <w:lang w:val="en-IE"/>
              </w:rPr>
            </w:pPr>
            <w:r>
              <w:rPr>
                <w:rFonts w:ascii="Verdana" w:hAnsi="Verdana"/>
                <w:sz w:val="18"/>
                <w:szCs w:val="18"/>
                <w:lang w:val="en-IE"/>
              </w:rPr>
              <w:t>Sustainable p</w:t>
            </w:r>
            <w:r w:rsidR="00D1251C" w:rsidRPr="00577ACC">
              <w:rPr>
                <w:rFonts w:ascii="Verdana" w:hAnsi="Verdana"/>
                <w:sz w:val="18"/>
                <w:szCs w:val="18"/>
                <w:lang w:val="en-IE"/>
              </w:rPr>
              <w:t>roduction of renewable energy from agriculture and forestry</w:t>
            </w:r>
          </w:p>
        </w:tc>
      </w:tr>
      <w:tr w:rsidR="00B67ADD" w:rsidRPr="00C34DE9" w14:paraId="7FBE6597" w14:textId="77777777" w:rsidTr="240ABBB4">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9C33EA9" w14:textId="77777777" w:rsidR="00B67ADD" w:rsidRPr="00C34DE9" w:rsidRDefault="00B67ADD" w:rsidP="790C88FB">
            <w:pPr>
              <w:spacing w:after="60"/>
              <w:rPr>
                <w:rFonts w:ascii="Verdana" w:hAnsi="Verdana"/>
                <w:b/>
                <w:bCs/>
                <w:i/>
                <w:iCs/>
                <w:sz w:val="18"/>
                <w:szCs w:val="18"/>
                <w:lang w:val="en-IE"/>
              </w:rPr>
            </w:pPr>
            <w:r w:rsidRPr="5CB4B133">
              <w:rPr>
                <w:rFonts w:ascii="Verdana" w:hAnsi="Verdana"/>
                <w:b/>
                <w:bCs/>
                <w:sz w:val="18"/>
                <w:szCs w:val="18"/>
                <w:lang w:val="en-IE"/>
              </w:rPr>
              <w:t>Indicator Name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40CF277" w14:textId="416CA4C2" w:rsidR="00B67ADD" w:rsidRPr="00C34DE9" w:rsidRDefault="001B6EB2" w:rsidP="3B80D187">
            <w:pPr>
              <w:spacing w:after="60"/>
              <w:jc w:val="center"/>
              <w:rPr>
                <w:rFonts w:ascii="Verdana" w:hAnsi="Verdana"/>
                <w:b/>
                <w:bCs/>
                <w:color w:val="7F7F7F"/>
                <w:sz w:val="18"/>
                <w:szCs w:val="18"/>
                <w:lang w:val="en-IE"/>
              </w:rPr>
            </w:pPr>
            <w:r w:rsidRPr="3B80D187">
              <w:rPr>
                <w:rFonts w:ascii="Verdana" w:hAnsi="Verdana"/>
                <w:b/>
                <w:bCs/>
                <w:sz w:val="18"/>
                <w:szCs w:val="18"/>
                <w:lang w:val="en-IE"/>
              </w:rPr>
              <w:t>Sustainable p</w:t>
            </w:r>
            <w:r w:rsidR="00B67ADD" w:rsidRPr="3B80D187">
              <w:rPr>
                <w:rFonts w:ascii="Verdana" w:hAnsi="Verdana"/>
                <w:b/>
                <w:bCs/>
                <w:sz w:val="18"/>
                <w:szCs w:val="18"/>
                <w:lang w:val="en-IE"/>
              </w:rPr>
              <w:t>roduction of renewable energy from agriculture and forestry</w:t>
            </w:r>
          </w:p>
        </w:tc>
      </w:tr>
      <w:tr w:rsidR="00B67ADD" w:rsidRPr="00C34DE9" w14:paraId="08C16570" w14:textId="77777777" w:rsidTr="240ABBB4">
        <w:trPr>
          <w:trHeight w:val="894"/>
        </w:trPr>
        <w:tc>
          <w:tcPr>
            <w:tcW w:w="2802" w:type="dxa"/>
            <w:tcBorders>
              <w:top w:val="single" w:sz="4" w:space="0" w:color="auto"/>
              <w:left w:val="single" w:sz="4" w:space="0" w:color="auto"/>
              <w:bottom w:val="single" w:sz="4" w:space="0" w:color="auto"/>
              <w:right w:val="single" w:sz="4" w:space="0" w:color="auto"/>
            </w:tcBorders>
            <w:vAlign w:val="center"/>
          </w:tcPr>
          <w:p w14:paraId="464C520F"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F4DB31" w14:textId="30FE8A2D" w:rsidR="00B67ADD" w:rsidRPr="00C34DE9" w:rsidRDefault="00B67ADD" w:rsidP="001C1C34">
            <w:pPr>
              <w:spacing w:after="120"/>
              <w:jc w:val="both"/>
              <w:rPr>
                <w:rFonts w:ascii="Verdana" w:hAnsi="Verdana"/>
                <w:sz w:val="18"/>
                <w:szCs w:val="18"/>
                <w:lang w:val="en-IE"/>
              </w:rPr>
            </w:pPr>
            <w:r w:rsidRPr="00C34DE9">
              <w:rPr>
                <w:rFonts w:ascii="Verdana" w:hAnsi="Verdana"/>
                <w:sz w:val="18"/>
                <w:szCs w:val="18"/>
                <w:lang w:val="en-IE"/>
              </w:rPr>
              <w:t xml:space="preserve">The indicator is a composite indicator of renewable energy from agriculture and forestry. This indicator </w:t>
            </w:r>
            <w:r w:rsidR="008D25C9">
              <w:rPr>
                <w:rFonts w:ascii="Verdana" w:hAnsi="Verdana"/>
                <w:sz w:val="18"/>
                <w:szCs w:val="18"/>
                <w:lang w:val="en-IE"/>
              </w:rPr>
              <w:t>consist</w:t>
            </w:r>
            <w:r w:rsidR="004F3C5B">
              <w:rPr>
                <w:rFonts w:ascii="Verdana" w:hAnsi="Verdana"/>
                <w:sz w:val="18"/>
                <w:szCs w:val="18"/>
                <w:lang w:val="en-IE"/>
              </w:rPr>
              <w:t>s</w:t>
            </w:r>
            <w:r w:rsidR="007C1225">
              <w:rPr>
                <w:rFonts w:ascii="Verdana" w:hAnsi="Verdana"/>
                <w:sz w:val="18"/>
                <w:szCs w:val="18"/>
                <w:lang w:val="en-IE"/>
              </w:rPr>
              <w:t xml:space="preserve"> of 4</w:t>
            </w:r>
            <w:r w:rsidR="008D25C9">
              <w:rPr>
                <w:rFonts w:ascii="Verdana" w:hAnsi="Verdana"/>
                <w:sz w:val="18"/>
                <w:szCs w:val="18"/>
                <w:lang w:val="en-IE"/>
              </w:rPr>
              <w:t xml:space="preserve"> </w:t>
            </w:r>
            <w:r w:rsidR="00DD478B">
              <w:rPr>
                <w:rFonts w:ascii="Verdana" w:hAnsi="Verdana"/>
                <w:sz w:val="18"/>
                <w:szCs w:val="18"/>
                <w:lang w:val="en-IE"/>
              </w:rPr>
              <w:t xml:space="preserve">specific </w:t>
            </w:r>
            <w:r w:rsidR="008D25C9">
              <w:rPr>
                <w:rFonts w:ascii="Verdana" w:hAnsi="Verdana"/>
                <w:sz w:val="18"/>
                <w:szCs w:val="18"/>
                <w:lang w:val="en-IE"/>
              </w:rPr>
              <w:t>indicators</w:t>
            </w:r>
            <w:r w:rsidRPr="00C34DE9">
              <w:rPr>
                <w:rFonts w:ascii="Verdana" w:hAnsi="Verdana"/>
                <w:sz w:val="18"/>
                <w:szCs w:val="18"/>
                <w:lang w:val="en-IE"/>
              </w:rPr>
              <w:t>:</w:t>
            </w:r>
          </w:p>
          <w:p w14:paraId="6489ED85" w14:textId="6DD0F051" w:rsidR="008D25C9" w:rsidRPr="00A85A9D" w:rsidRDefault="00B67ADD" w:rsidP="00665997">
            <w:pPr>
              <w:pStyle w:val="ListParagraph"/>
              <w:numPr>
                <w:ilvl w:val="0"/>
                <w:numId w:val="93"/>
              </w:numPr>
              <w:spacing w:after="120" w:line="240" w:lineRule="auto"/>
              <w:jc w:val="both"/>
              <w:rPr>
                <w:rFonts w:ascii="Verdana" w:hAnsi="Verdana"/>
                <w:b/>
                <w:bCs/>
                <w:sz w:val="18"/>
                <w:szCs w:val="18"/>
                <w:lang w:val="en-IE"/>
              </w:rPr>
            </w:pPr>
            <w:r w:rsidRPr="3F4AE0BD">
              <w:rPr>
                <w:rFonts w:ascii="Verdana" w:hAnsi="Verdana"/>
                <w:b/>
                <w:bCs/>
                <w:sz w:val="18"/>
                <w:szCs w:val="18"/>
                <w:lang w:val="en-IE"/>
              </w:rPr>
              <w:t>production of renewable energy from agricultur</w:t>
            </w:r>
            <w:r w:rsidR="008D25C9" w:rsidRPr="3F4AE0BD">
              <w:rPr>
                <w:rFonts w:ascii="Verdana" w:hAnsi="Verdana"/>
                <w:b/>
                <w:bCs/>
                <w:sz w:val="18"/>
                <w:szCs w:val="18"/>
                <w:lang w:val="en-IE"/>
              </w:rPr>
              <w:t>al biomass</w:t>
            </w:r>
          </w:p>
          <w:p w14:paraId="1A69F7F0" w14:textId="03A044DF" w:rsidR="002D7218" w:rsidRDefault="008D25C9" w:rsidP="00665997">
            <w:pPr>
              <w:pStyle w:val="ListParagraph"/>
              <w:numPr>
                <w:ilvl w:val="0"/>
                <w:numId w:val="93"/>
              </w:numPr>
              <w:spacing w:after="120" w:line="240" w:lineRule="auto"/>
              <w:jc w:val="both"/>
              <w:rPr>
                <w:rFonts w:ascii="Verdana" w:hAnsi="Verdana"/>
                <w:b/>
                <w:bCs/>
                <w:sz w:val="18"/>
                <w:szCs w:val="18"/>
                <w:lang w:val="en-IE"/>
              </w:rPr>
            </w:pPr>
            <w:r w:rsidRPr="3F4AE0BD">
              <w:rPr>
                <w:rFonts w:ascii="Verdana" w:hAnsi="Verdana"/>
                <w:b/>
                <w:bCs/>
                <w:sz w:val="18"/>
                <w:szCs w:val="18"/>
                <w:lang w:val="en-IE"/>
              </w:rPr>
              <w:t xml:space="preserve">production of renewable energy from </w:t>
            </w:r>
            <w:r w:rsidR="00B67ADD" w:rsidRPr="3F4AE0BD">
              <w:rPr>
                <w:rFonts w:ascii="Verdana" w:hAnsi="Verdana"/>
                <w:b/>
                <w:bCs/>
                <w:sz w:val="18"/>
                <w:szCs w:val="18"/>
                <w:lang w:val="en-IE"/>
              </w:rPr>
              <w:t>forestry</w:t>
            </w:r>
            <w:r w:rsidRPr="3F4AE0BD">
              <w:rPr>
                <w:rFonts w:ascii="Verdana" w:hAnsi="Verdana"/>
                <w:b/>
                <w:bCs/>
                <w:sz w:val="18"/>
                <w:szCs w:val="18"/>
                <w:lang w:val="en-IE"/>
              </w:rPr>
              <w:t xml:space="preserve"> biomass</w:t>
            </w:r>
          </w:p>
          <w:p w14:paraId="6E5965E3" w14:textId="367ED2CA" w:rsidR="00B67ADD" w:rsidRPr="00A85A9D" w:rsidRDefault="002D7218" w:rsidP="00665997">
            <w:pPr>
              <w:pStyle w:val="ListParagraph"/>
              <w:numPr>
                <w:ilvl w:val="0"/>
                <w:numId w:val="93"/>
              </w:numPr>
              <w:shd w:val="clear" w:color="auto" w:fill="00B0F0"/>
              <w:spacing w:after="120" w:line="240" w:lineRule="auto"/>
              <w:jc w:val="both"/>
              <w:rPr>
                <w:rFonts w:ascii="Verdana" w:hAnsi="Verdana"/>
                <w:b/>
                <w:bCs/>
                <w:sz w:val="18"/>
                <w:szCs w:val="18"/>
                <w:lang w:val="en-IE"/>
              </w:rPr>
            </w:pPr>
            <w:r w:rsidRPr="00340D8D">
              <w:rPr>
                <w:rFonts w:ascii="Verdana" w:hAnsi="Verdana"/>
                <w:b/>
                <w:bCs/>
                <w:sz w:val="18"/>
                <w:szCs w:val="18"/>
              </w:rPr>
              <w:t>p</w:t>
            </w:r>
            <w:r w:rsidRPr="3F2573B5">
              <w:rPr>
                <w:rFonts w:ascii="Verdana" w:hAnsi="Verdana"/>
                <w:b/>
                <w:bCs/>
                <w:sz w:val="18"/>
                <w:szCs w:val="18"/>
                <w:lang w:val="en-IE"/>
              </w:rPr>
              <w:t>roduction of renewable energy from agriculture and forestry</w:t>
            </w:r>
          </w:p>
          <w:p w14:paraId="76A69C0A" w14:textId="762AC194" w:rsidR="00B67ADD" w:rsidRDefault="00B67ADD" w:rsidP="00665997">
            <w:pPr>
              <w:pStyle w:val="ListParagraph"/>
              <w:numPr>
                <w:ilvl w:val="0"/>
                <w:numId w:val="93"/>
              </w:numPr>
              <w:spacing w:before="120" w:after="120" w:line="240" w:lineRule="auto"/>
              <w:ind w:left="924" w:hanging="357"/>
              <w:jc w:val="both"/>
              <w:rPr>
                <w:rFonts w:ascii="Verdana" w:hAnsi="Verdana"/>
                <w:sz w:val="18"/>
                <w:szCs w:val="18"/>
                <w:lang w:val="en-IE"/>
              </w:rPr>
            </w:pPr>
            <w:r w:rsidRPr="3F4AE0BD">
              <w:rPr>
                <w:rFonts w:ascii="Verdana" w:hAnsi="Verdana"/>
                <w:b/>
                <w:bCs/>
                <w:sz w:val="18"/>
                <w:szCs w:val="18"/>
                <w:lang w:val="en-IE"/>
              </w:rPr>
              <w:t xml:space="preserve">share of </w:t>
            </w:r>
            <w:r w:rsidR="008D25C9" w:rsidRPr="3F4AE0BD">
              <w:rPr>
                <w:rFonts w:ascii="Verdana" w:hAnsi="Verdana"/>
                <w:b/>
                <w:bCs/>
                <w:sz w:val="18"/>
                <w:szCs w:val="18"/>
                <w:lang w:val="en-IE"/>
              </w:rPr>
              <w:t>the combine</w:t>
            </w:r>
            <w:r w:rsidR="005521C3" w:rsidRPr="3F4AE0BD">
              <w:rPr>
                <w:rFonts w:ascii="Verdana" w:hAnsi="Verdana"/>
                <w:b/>
                <w:bCs/>
                <w:sz w:val="18"/>
                <w:szCs w:val="18"/>
                <w:lang w:val="en-IE"/>
              </w:rPr>
              <w:t>d</w:t>
            </w:r>
            <w:r w:rsidR="008D25C9" w:rsidRPr="3F4AE0BD">
              <w:rPr>
                <w:rFonts w:ascii="Verdana" w:hAnsi="Verdana"/>
                <w:b/>
                <w:bCs/>
                <w:sz w:val="18"/>
                <w:szCs w:val="18"/>
                <w:lang w:val="en-IE"/>
              </w:rPr>
              <w:t xml:space="preserve"> production of renewable energy from agricultural and forestry biomass</w:t>
            </w:r>
            <w:r w:rsidR="008D25C9" w:rsidRPr="00A85A9D">
              <w:rPr>
                <w:rFonts w:ascii="Verdana" w:hAnsi="Verdana"/>
                <w:sz w:val="18"/>
                <w:szCs w:val="18"/>
                <w:lang w:val="en-IE"/>
              </w:rPr>
              <w:t xml:space="preserve"> over</w:t>
            </w:r>
            <w:r w:rsidRPr="00A85A9D">
              <w:rPr>
                <w:rFonts w:ascii="Verdana" w:hAnsi="Verdana"/>
                <w:sz w:val="18"/>
                <w:szCs w:val="18"/>
                <w:lang w:val="en-IE"/>
              </w:rPr>
              <w:t xml:space="preserve"> the total primary energy production of renewable energy</w:t>
            </w:r>
            <w:r w:rsidR="008D25C9" w:rsidRPr="00A85A9D">
              <w:rPr>
                <w:rFonts w:ascii="Verdana" w:hAnsi="Verdana"/>
                <w:sz w:val="18"/>
                <w:szCs w:val="18"/>
                <w:lang w:val="en-IE"/>
              </w:rPr>
              <w:t>.</w:t>
            </w:r>
          </w:p>
          <w:p w14:paraId="70BD1F18" w14:textId="77777777" w:rsidR="0071288B" w:rsidRPr="00A85A9D" w:rsidRDefault="0071288B" w:rsidP="0071288B">
            <w:pPr>
              <w:pStyle w:val="ListParagraph"/>
              <w:spacing w:before="120" w:after="120" w:line="240" w:lineRule="auto"/>
              <w:ind w:left="924"/>
              <w:jc w:val="both"/>
              <w:rPr>
                <w:rFonts w:ascii="Verdana" w:hAnsi="Verdana"/>
                <w:sz w:val="18"/>
                <w:szCs w:val="18"/>
                <w:lang w:val="en-IE"/>
              </w:rPr>
            </w:pPr>
          </w:p>
          <w:p w14:paraId="3B1C4E12" w14:textId="62E7AA5A" w:rsidR="00B67ADD" w:rsidRPr="00E814F5" w:rsidRDefault="00B67ADD" w:rsidP="00665997">
            <w:pPr>
              <w:pStyle w:val="ListParagraph"/>
              <w:numPr>
                <w:ilvl w:val="0"/>
                <w:numId w:val="97"/>
              </w:numPr>
              <w:spacing w:before="120" w:after="120" w:line="240" w:lineRule="auto"/>
              <w:ind w:left="357" w:hanging="357"/>
              <w:jc w:val="both"/>
              <w:rPr>
                <w:rFonts w:ascii="Verdana" w:hAnsi="Verdana"/>
                <w:sz w:val="18"/>
                <w:szCs w:val="18"/>
                <w:lang w:val="en-IE"/>
              </w:rPr>
            </w:pPr>
            <w:r w:rsidRPr="00E814F5">
              <w:rPr>
                <w:rFonts w:ascii="Verdana" w:hAnsi="Verdana"/>
                <w:sz w:val="18"/>
                <w:szCs w:val="18"/>
                <w:lang w:val="en-IE"/>
              </w:rPr>
              <w:t xml:space="preserve">The </w:t>
            </w:r>
            <w:r w:rsidRPr="3F2573B5">
              <w:rPr>
                <w:rFonts w:ascii="Verdana" w:hAnsi="Verdana"/>
                <w:b/>
                <w:bCs/>
                <w:sz w:val="18"/>
                <w:szCs w:val="18"/>
                <w:lang w:val="en-IE"/>
              </w:rPr>
              <w:t xml:space="preserve">production of renewable energy </w:t>
            </w:r>
            <w:r w:rsidRPr="00E814F5">
              <w:rPr>
                <w:rFonts w:ascii="Verdana" w:hAnsi="Verdana"/>
                <w:sz w:val="18"/>
                <w:szCs w:val="18"/>
                <w:lang w:val="en-IE"/>
              </w:rPr>
              <w:t xml:space="preserve">from </w:t>
            </w:r>
            <w:r w:rsidRPr="3F2573B5">
              <w:rPr>
                <w:rFonts w:ascii="Verdana" w:hAnsi="Verdana"/>
                <w:b/>
                <w:bCs/>
                <w:sz w:val="18"/>
                <w:szCs w:val="18"/>
                <w:lang w:val="en-IE"/>
              </w:rPr>
              <w:t xml:space="preserve">agricultural biomass </w:t>
            </w:r>
            <w:r w:rsidRPr="00E814F5">
              <w:rPr>
                <w:rFonts w:ascii="Verdana" w:hAnsi="Verdana"/>
                <w:sz w:val="18"/>
                <w:szCs w:val="18"/>
                <w:lang w:val="en-IE"/>
              </w:rPr>
              <w:t xml:space="preserve">is calculated by summing the amount of energy from the following: </w:t>
            </w:r>
          </w:p>
          <w:p w14:paraId="47EBE7C6"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Biodiesel from oilseeds crops</w:t>
            </w:r>
          </w:p>
          <w:p w14:paraId="40276B99"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Bioethanol from starch/sugar crops</w:t>
            </w:r>
          </w:p>
          <w:p w14:paraId="4357B029"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2</w:t>
            </w:r>
            <w:r w:rsidRPr="00C34DE9">
              <w:rPr>
                <w:rFonts w:ascii="Verdana" w:hAnsi="Verdana"/>
                <w:sz w:val="18"/>
                <w:szCs w:val="18"/>
                <w:vertAlign w:val="superscript"/>
                <w:lang w:val="en-IE"/>
              </w:rPr>
              <w:t>nd</w:t>
            </w:r>
            <w:r w:rsidRPr="00C34DE9">
              <w:rPr>
                <w:rFonts w:ascii="Verdana" w:hAnsi="Verdana"/>
                <w:sz w:val="18"/>
                <w:szCs w:val="18"/>
                <w:lang w:val="en-IE"/>
              </w:rPr>
              <w:t xml:space="preserve"> generation biofuels (from non-food cellulosic materials)</w:t>
            </w:r>
          </w:p>
          <w:p w14:paraId="160DFE19" w14:textId="77777777" w:rsidR="00B67ADD"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sz w:val="18"/>
                <w:szCs w:val="18"/>
                <w:lang w:val="en-IE"/>
              </w:rPr>
              <w:t>Agricultural biogas (livestock manure and energy crops, waste and residues)</w:t>
            </w:r>
          </w:p>
          <w:p w14:paraId="08AC9613" w14:textId="6C7F2711" w:rsidR="008D25C9" w:rsidRPr="00C34DE9" w:rsidRDefault="00B67ADD" w:rsidP="00A85A9D">
            <w:pPr>
              <w:numPr>
                <w:ilvl w:val="0"/>
                <w:numId w:val="40"/>
              </w:numPr>
              <w:spacing w:after="120" w:line="240" w:lineRule="auto"/>
              <w:jc w:val="both"/>
              <w:rPr>
                <w:rFonts w:ascii="Verdana" w:hAnsi="Verdana"/>
                <w:sz w:val="18"/>
                <w:szCs w:val="18"/>
                <w:lang w:val="en-IE"/>
              </w:rPr>
            </w:pPr>
            <w:r w:rsidRPr="00C34DE9">
              <w:rPr>
                <w:rFonts w:ascii="Verdana" w:hAnsi="Verdana"/>
                <w:noProof/>
                <w:sz w:val="18"/>
                <w:szCs w:val="18"/>
                <w:lang w:val="en-IE"/>
              </w:rPr>
              <w:t>Where available,</w:t>
            </w:r>
            <w:r w:rsidRPr="00C34DE9">
              <w:rPr>
                <w:rFonts w:ascii="Verdana" w:hAnsi="Verdana"/>
                <w:b/>
                <w:noProof/>
                <w:sz w:val="18"/>
                <w:szCs w:val="18"/>
                <w:lang w:val="en-IE"/>
              </w:rPr>
              <w:t xml:space="preserve"> </w:t>
            </w:r>
            <w:r w:rsidRPr="00C34DE9">
              <w:rPr>
                <w:rFonts w:ascii="Verdana" w:hAnsi="Verdana"/>
                <w:noProof/>
                <w:sz w:val="18"/>
                <w:szCs w:val="18"/>
                <w:lang w:val="en-IE"/>
              </w:rPr>
              <w:t>energy crops for electricity or heat (including short rotation coppice)</w:t>
            </w:r>
          </w:p>
          <w:p w14:paraId="6005FED6" w14:textId="77777777" w:rsidR="008D25C9" w:rsidRDefault="00B67ADD" w:rsidP="3F4AE0BD">
            <w:pPr>
              <w:spacing w:after="120" w:line="240" w:lineRule="auto"/>
              <w:ind w:left="360"/>
              <w:jc w:val="both"/>
              <w:rPr>
                <w:rFonts w:ascii="Verdana" w:hAnsi="Verdana"/>
                <w:b/>
                <w:bCs/>
                <w:sz w:val="18"/>
                <w:szCs w:val="18"/>
                <w:lang w:val="en-IE"/>
              </w:rPr>
            </w:pPr>
            <w:r w:rsidRPr="008D25C9">
              <w:rPr>
                <w:rFonts w:ascii="Verdana" w:hAnsi="Verdana"/>
                <w:noProof/>
                <w:sz w:val="18"/>
                <w:szCs w:val="18"/>
                <w:lang w:val="en-IE"/>
              </w:rPr>
              <w:t>Where available, Agricultural crop residues for electricity or heat</w:t>
            </w:r>
            <w:r w:rsidR="008D25C9">
              <w:rPr>
                <w:rFonts w:ascii="Verdana" w:hAnsi="Verdana"/>
                <w:noProof/>
                <w:sz w:val="18"/>
                <w:szCs w:val="18"/>
                <w:lang w:val="en-IE"/>
              </w:rPr>
              <w:t>.</w:t>
            </w:r>
          </w:p>
          <w:p w14:paraId="610E50D3" w14:textId="744EAC85" w:rsidR="008D25C9" w:rsidRPr="008D25C9" w:rsidRDefault="008D25C9" w:rsidP="3F2573B5">
            <w:pPr>
              <w:spacing w:after="120" w:line="240" w:lineRule="auto"/>
              <w:ind w:left="360"/>
              <w:jc w:val="both"/>
              <w:rPr>
                <w:rFonts w:ascii="Verdana" w:hAnsi="Verdana"/>
                <w:b/>
                <w:bCs/>
                <w:sz w:val="18"/>
                <w:szCs w:val="18"/>
                <w:lang w:val="en-IE"/>
              </w:rPr>
            </w:pPr>
            <w:r w:rsidRPr="00C34DE9">
              <w:rPr>
                <w:rFonts w:ascii="Verdana" w:hAnsi="Verdana"/>
                <w:sz w:val="18"/>
                <w:szCs w:val="18"/>
                <w:lang w:val="en-IE"/>
              </w:rPr>
              <w:t xml:space="preserve">The total production of renewable energy from agriculture is the sum of biodiesel, bioethanol and biogas </w:t>
            </w:r>
            <w:r w:rsidRPr="00614D7E">
              <w:rPr>
                <w:rFonts w:ascii="Verdana" w:hAnsi="Verdana"/>
                <w:sz w:val="18"/>
                <w:szCs w:val="18"/>
                <w:lang w:val="en-IE"/>
              </w:rPr>
              <w:t>production, agricultural biomass for heat and power all expressed in ktoe (</w:t>
            </w:r>
            <w:r w:rsidRPr="622B9228">
              <w:rPr>
                <w:rFonts w:ascii="Verdana" w:hAnsi="Verdana"/>
                <w:sz w:val="18"/>
                <w:szCs w:val="18"/>
                <w:lang w:val="en-IE"/>
              </w:rPr>
              <w:t>kiloton</w:t>
            </w:r>
            <w:r w:rsidR="00614D7E" w:rsidRPr="622B9228">
              <w:rPr>
                <w:rFonts w:ascii="Verdana" w:hAnsi="Verdana"/>
                <w:sz w:val="18"/>
                <w:szCs w:val="18"/>
                <w:lang w:val="en-IE"/>
              </w:rPr>
              <w:t>ne</w:t>
            </w:r>
            <w:r w:rsidRPr="622B9228">
              <w:rPr>
                <w:rFonts w:ascii="Verdana" w:hAnsi="Verdana"/>
                <w:sz w:val="18"/>
                <w:szCs w:val="18"/>
                <w:lang w:val="en-IE"/>
              </w:rPr>
              <w:t>s of oil equivalent</w:t>
            </w:r>
            <w:r w:rsidRPr="00614D7E">
              <w:rPr>
                <w:rFonts w:ascii="Verdana" w:hAnsi="Verdana"/>
                <w:sz w:val="18"/>
                <w:szCs w:val="18"/>
                <w:lang w:val="en-IE"/>
              </w:rPr>
              <w:t>).</w:t>
            </w:r>
            <w:r w:rsidRPr="00C34DE9">
              <w:rPr>
                <w:rFonts w:ascii="Verdana" w:hAnsi="Verdana"/>
                <w:sz w:val="18"/>
                <w:szCs w:val="18"/>
                <w:lang w:val="en-IE"/>
              </w:rPr>
              <w:t xml:space="preserve"> The following conversion factors, from the EUROSTAT</w:t>
            </w:r>
            <w:r w:rsidRPr="00C34DE9">
              <w:rPr>
                <w:rStyle w:val="FootnoteReference"/>
                <w:rFonts w:ascii="Verdana" w:hAnsi="Verdana"/>
                <w:sz w:val="18"/>
                <w:szCs w:val="18"/>
                <w:lang w:val="en-IE"/>
              </w:rPr>
              <w:footnoteReference w:id="19"/>
            </w:r>
            <w:r w:rsidRPr="00C34DE9">
              <w:rPr>
                <w:rFonts w:ascii="Verdana" w:hAnsi="Verdana"/>
                <w:sz w:val="18"/>
                <w:szCs w:val="18"/>
                <w:lang w:val="en-IE"/>
              </w:rPr>
              <w:t xml:space="preserve"> should be used. If other conversion factors are used, Member State should report the values. </w:t>
            </w:r>
          </w:p>
          <w:p w14:paraId="7D3F9CDE" w14:textId="77777777" w:rsidR="008D25C9" w:rsidRPr="00C34DE9" w:rsidRDefault="008D25C9" w:rsidP="00A85A9D">
            <w:pPr>
              <w:numPr>
                <w:ilvl w:val="0"/>
                <w:numId w:val="41"/>
              </w:numPr>
              <w:spacing w:after="120"/>
              <w:jc w:val="both"/>
              <w:rPr>
                <w:rFonts w:ascii="Verdana" w:hAnsi="Verdana"/>
                <w:sz w:val="18"/>
                <w:szCs w:val="18"/>
                <w:lang w:val="en-IE"/>
              </w:rPr>
            </w:pPr>
            <w:r>
              <w:rPr>
                <w:rFonts w:ascii="Verdana" w:hAnsi="Verdana"/>
                <w:sz w:val="18"/>
                <w:szCs w:val="18"/>
                <w:lang w:val="en-IE"/>
              </w:rPr>
              <w:t>1 t biodiesel = 0.</w:t>
            </w:r>
            <w:r w:rsidRPr="00C34DE9">
              <w:rPr>
                <w:rFonts w:ascii="Verdana" w:hAnsi="Verdana"/>
                <w:sz w:val="18"/>
                <w:szCs w:val="18"/>
                <w:lang w:val="en-IE"/>
              </w:rPr>
              <w:t>86 toe</w:t>
            </w:r>
          </w:p>
          <w:p w14:paraId="0C71F846" w14:textId="77777777" w:rsidR="00B67ADD" w:rsidRPr="008D25C9" w:rsidRDefault="008D25C9" w:rsidP="00A85A9D">
            <w:pPr>
              <w:numPr>
                <w:ilvl w:val="0"/>
                <w:numId w:val="41"/>
              </w:numPr>
              <w:spacing w:after="120"/>
              <w:jc w:val="both"/>
              <w:rPr>
                <w:rFonts w:ascii="Verdana" w:hAnsi="Verdana"/>
                <w:sz w:val="18"/>
                <w:szCs w:val="18"/>
                <w:lang w:val="en-IE"/>
              </w:rPr>
            </w:pPr>
            <w:r>
              <w:rPr>
                <w:rFonts w:ascii="Verdana" w:hAnsi="Verdana"/>
                <w:sz w:val="18"/>
                <w:szCs w:val="18"/>
                <w:lang w:val="en-IE"/>
              </w:rPr>
              <w:t>1 t bioethanol = 0.</w:t>
            </w:r>
            <w:r w:rsidRPr="00C34DE9">
              <w:rPr>
                <w:rFonts w:ascii="Verdana" w:hAnsi="Verdana"/>
                <w:sz w:val="18"/>
                <w:szCs w:val="18"/>
                <w:lang w:val="en-IE"/>
              </w:rPr>
              <w:t>64 toe</w:t>
            </w:r>
          </w:p>
          <w:p w14:paraId="54024CF4" w14:textId="674F343A" w:rsidR="00B67ADD" w:rsidRPr="00A85A9D" w:rsidRDefault="007D3E04" w:rsidP="002D7218">
            <w:pPr>
              <w:rPr>
                <w:lang w:val="en-IE"/>
              </w:rPr>
            </w:pPr>
            <w:r>
              <w:rPr>
                <w:rFonts w:ascii="Verdana" w:hAnsi="Verdana"/>
                <w:sz w:val="18"/>
                <w:szCs w:val="18"/>
                <w:lang w:val="en-IE"/>
              </w:rPr>
              <w:t xml:space="preserve">2. </w:t>
            </w:r>
            <w:r w:rsidR="00E814F5">
              <w:rPr>
                <w:rFonts w:ascii="Verdana" w:hAnsi="Verdana"/>
                <w:sz w:val="18"/>
                <w:szCs w:val="18"/>
                <w:lang w:val="en-IE"/>
              </w:rPr>
              <w:t xml:space="preserve"> </w:t>
            </w:r>
            <w:r w:rsidR="00A85A9D" w:rsidRPr="007D3E04">
              <w:rPr>
                <w:rFonts w:ascii="Verdana" w:hAnsi="Verdana"/>
                <w:sz w:val="18"/>
                <w:szCs w:val="18"/>
                <w:lang w:val="en-IE"/>
              </w:rPr>
              <w:t xml:space="preserve">The </w:t>
            </w:r>
            <w:r w:rsidR="00A85A9D" w:rsidRPr="3F4AE0BD">
              <w:rPr>
                <w:rFonts w:ascii="Verdana" w:hAnsi="Verdana"/>
                <w:b/>
                <w:bCs/>
                <w:sz w:val="18"/>
                <w:szCs w:val="18"/>
                <w:lang w:val="en-IE"/>
              </w:rPr>
              <w:t>p</w:t>
            </w:r>
            <w:r w:rsidR="00B67ADD" w:rsidRPr="3F4AE0BD">
              <w:rPr>
                <w:rFonts w:ascii="Verdana" w:hAnsi="Verdana"/>
                <w:b/>
                <w:bCs/>
                <w:sz w:val="18"/>
                <w:szCs w:val="18"/>
                <w:lang w:val="en-IE"/>
              </w:rPr>
              <w:t>roduction of renewable energy</w:t>
            </w:r>
            <w:r w:rsidR="00B67ADD" w:rsidRPr="007D3E04">
              <w:rPr>
                <w:rFonts w:ascii="Verdana" w:hAnsi="Verdana"/>
                <w:sz w:val="18"/>
                <w:szCs w:val="18"/>
                <w:lang w:val="en-IE"/>
              </w:rPr>
              <w:t xml:space="preserve"> from </w:t>
            </w:r>
            <w:r w:rsidR="00B67ADD" w:rsidRPr="3F4AE0BD">
              <w:rPr>
                <w:rFonts w:ascii="Verdana" w:hAnsi="Verdana"/>
                <w:b/>
                <w:bCs/>
                <w:sz w:val="18"/>
                <w:szCs w:val="18"/>
                <w:lang w:val="en-IE"/>
              </w:rPr>
              <w:t>forestry biomass</w:t>
            </w:r>
            <w:r w:rsidR="00B67ADD" w:rsidRPr="007D3E04">
              <w:rPr>
                <w:rFonts w:ascii="Verdana" w:hAnsi="Verdana"/>
                <w:sz w:val="18"/>
                <w:szCs w:val="18"/>
                <w:lang w:val="en-IE"/>
              </w:rPr>
              <w:t xml:space="preserve"> covers</w:t>
            </w:r>
            <w:r w:rsidR="00A85A9D" w:rsidRPr="00A85A9D">
              <w:rPr>
                <w:lang w:val="en-IE"/>
              </w:rPr>
              <w:t xml:space="preserve"> t</w:t>
            </w:r>
            <w:r w:rsidR="00B67ADD" w:rsidRPr="00A85A9D">
              <w:rPr>
                <w:lang w:val="en-IE"/>
              </w:rPr>
              <w:t>he forest biomass for renewable energy production, calculated by summing the amount of energy from:</w:t>
            </w:r>
          </w:p>
          <w:p w14:paraId="774F17B6" w14:textId="77777777" w:rsidR="00B67ADD" w:rsidRPr="00A85A9D" w:rsidRDefault="00EA116C" w:rsidP="00665997">
            <w:pPr>
              <w:pStyle w:val="ListParagraph"/>
              <w:numPr>
                <w:ilvl w:val="0"/>
                <w:numId w:val="49"/>
              </w:numPr>
              <w:spacing w:after="120"/>
              <w:jc w:val="both"/>
              <w:rPr>
                <w:rFonts w:ascii="Verdana" w:hAnsi="Verdana"/>
                <w:sz w:val="18"/>
                <w:szCs w:val="18"/>
                <w:lang w:val="en-IE"/>
              </w:rPr>
            </w:pPr>
            <w:r w:rsidRPr="00A85A9D">
              <w:rPr>
                <w:rFonts w:ascii="Verdana" w:hAnsi="Verdana"/>
                <w:sz w:val="18"/>
                <w:szCs w:val="18"/>
                <w:lang w:val="en-IE"/>
              </w:rPr>
              <w:t>Wood provided directly</w:t>
            </w:r>
            <w:r w:rsidR="00B67ADD" w:rsidRPr="00A85A9D">
              <w:rPr>
                <w:rFonts w:ascii="Verdana" w:hAnsi="Verdana"/>
                <w:sz w:val="18"/>
                <w:szCs w:val="18"/>
                <w:lang w:val="en-IE"/>
              </w:rPr>
              <w:t xml:space="preserve"> from forestry (fuel wood, wood chips, bark, shavings, forest residues) or transformed from any of the above (pellets, briquettes etc.)</w:t>
            </w:r>
          </w:p>
          <w:p w14:paraId="304D909D" w14:textId="77777777" w:rsidR="008D25C9" w:rsidRPr="00A85A9D" w:rsidRDefault="00B67ADD" w:rsidP="00665997">
            <w:pPr>
              <w:pStyle w:val="ListParagraph"/>
              <w:numPr>
                <w:ilvl w:val="0"/>
                <w:numId w:val="49"/>
              </w:numPr>
              <w:spacing w:after="120"/>
              <w:jc w:val="both"/>
              <w:rPr>
                <w:rFonts w:ascii="Verdana" w:hAnsi="Verdana"/>
                <w:sz w:val="18"/>
                <w:szCs w:val="18"/>
                <w:lang w:val="en-IE"/>
              </w:rPr>
            </w:pPr>
            <w:r w:rsidRPr="00A85A9D">
              <w:rPr>
                <w:rFonts w:ascii="Verdana" w:hAnsi="Verdana"/>
                <w:sz w:val="18"/>
                <w:szCs w:val="18"/>
                <w:lang w:val="en-IE"/>
              </w:rPr>
              <w:t>forest-based industry by- and co-products in EU used for energy production (e.g. sawdust, black liquor)</w:t>
            </w:r>
          </w:p>
          <w:p w14:paraId="2AB1954D" w14:textId="77777777" w:rsidR="008D25C9" w:rsidRPr="00A85A9D" w:rsidRDefault="00D3542A" w:rsidP="007D3E04">
            <w:pPr>
              <w:spacing w:after="120"/>
              <w:jc w:val="both"/>
              <w:rPr>
                <w:rFonts w:ascii="Verdana" w:hAnsi="Verdana"/>
                <w:sz w:val="18"/>
                <w:szCs w:val="18"/>
                <w:lang w:val="en-IE"/>
              </w:rPr>
            </w:pPr>
            <w:r w:rsidRPr="00A85A9D">
              <w:rPr>
                <w:rFonts w:ascii="Verdana" w:hAnsi="Verdana"/>
                <w:sz w:val="18"/>
                <w:szCs w:val="18"/>
                <w:lang w:val="en-IE"/>
              </w:rPr>
              <w:t xml:space="preserve">Member States can use the reporting obligations under the Governance of the Energy Union Regulation and/or the Progress Reports under the Renewable Energy Directive. </w:t>
            </w:r>
          </w:p>
          <w:p w14:paraId="79B982A3" w14:textId="34447C76" w:rsidR="00D3542A" w:rsidRPr="00614D7E" w:rsidRDefault="00D3542A" w:rsidP="007D3E04">
            <w:pPr>
              <w:spacing w:after="120"/>
              <w:jc w:val="both"/>
              <w:rPr>
                <w:rFonts w:ascii="Verdana" w:hAnsi="Verdana"/>
                <w:sz w:val="18"/>
                <w:szCs w:val="18"/>
                <w:lang w:val="en-IE"/>
              </w:rPr>
            </w:pPr>
            <w:r w:rsidRPr="00A85A9D">
              <w:rPr>
                <w:rFonts w:ascii="Verdana" w:hAnsi="Verdana"/>
                <w:sz w:val="18"/>
                <w:szCs w:val="18"/>
                <w:lang w:val="en-IE"/>
              </w:rPr>
              <w:t xml:space="preserve">Primary energy production from forestry biomass is expressed in ktoe </w:t>
            </w:r>
            <w:r w:rsidRPr="00614D7E">
              <w:rPr>
                <w:rFonts w:ascii="Verdana" w:hAnsi="Verdana"/>
                <w:sz w:val="18"/>
                <w:szCs w:val="18"/>
                <w:lang w:val="en-IE"/>
              </w:rPr>
              <w:lastRenderedPageBreak/>
              <w:t>(</w:t>
            </w:r>
            <w:r w:rsidRPr="622B9228">
              <w:rPr>
                <w:rFonts w:ascii="Verdana" w:hAnsi="Verdana"/>
                <w:sz w:val="18"/>
                <w:szCs w:val="18"/>
                <w:lang w:val="en-IE"/>
              </w:rPr>
              <w:t>kiloton</w:t>
            </w:r>
            <w:r w:rsidR="00614D7E" w:rsidRPr="622B9228">
              <w:rPr>
                <w:rFonts w:ascii="Verdana" w:hAnsi="Verdana"/>
                <w:sz w:val="18"/>
                <w:szCs w:val="18"/>
                <w:lang w:val="en-IE"/>
              </w:rPr>
              <w:t>ne</w:t>
            </w:r>
            <w:r w:rsidRPr="622B9228">
              <w:rPr>
                <w:rFonts w:ascii="Verdana" w:hAnsi="Verdana"/>
                <w:sz w:val="18"/>
                <w:szCs w:val="18"/>
                <w:lang w:val="en-IE"/>
              </w:rPr>
              <w:t>s of oil equivalent</w:t>
            </w:r>
            <w:r w:rsidRPr="00614D7E">
              <w:rPr>
                <w:rFonts w:ascii="Verdana" w:hAnsi="Verdana"/>
                <w:sz w:val="18"/>
                <w:szCs w:val="18"/>
                <w:lang w:val="en-IE"/>
              </w:rPr>
              <w:t>).</w:t>
            </w:r>
          </w:p>
          <w:p w14:paraId="5CD594FC" w14:textId="77777777" w:rsidR="00ED1402" w:rsidRPr="00ED1402" w:rsidRDefault="00595D6C" w:rsidP="00ED1402">
            <w:pPr>
              <w:spacing w:after="0" w:line="240" w:lineRule="auto"/>
              <w:jc w:val="both"/>
              <w:rPr>
                <w:rFonts w:ascii="Verdana" w:hAnsi="Verdana"/>
                <w:sz w:val="18"/>
                <w:szCs w:val="18"/>
                <w:lang w:val="en-IE"/>
              </w:rPr>
            </w:pPr>
            <w:r>
              <w:rPr>
                <w:rFonts w:ascii="Verdana" w:hAnsi="Verdana"/>
                <w:sz w:val="18"/>
                <w:szCs w:val="18"/>
                <w:lang w:val="en-IE"/>
              </w:rPr>
              <w:t xml:space="preserve">3. </w:t>
            </w:r>
            <w:r w:rsidRPr="5CB4B133">
              <w:rPr>
                <w:rFonts w:ascii="Verdana" w:hAnsi="Verdana"/>
                <w:b/>
                <w:bCs/>
                <w:sz w:val="18"/>
                <w:szCs w:val="18"/>
                <w:lang w:val="en-IE"/>
              </w:rPr>
              <w:t xml:space="preserve">The production of renewable energy from </w:t>
            </w:r>
            <w:r w:rsidR="00ED1402" w:rsidRPr="5CB4B133">
              <w:rPr>
                <w:rFonts w:ascii="Verdana" w:hAnsi="Verdana"/>
                <w:b/>
                <w:bCs/>
                <w:sz w:val="18"/>
                <w:szCs w:val="18"/>
                <w:lang w:val="en-IE"/>
              </w:rPr>
              <w:t>agricultural and forestry biomass</w:t>
            </w:r>
            <w:r w:rsidR="00ED1402">
              <w:rPr>
                <w:rFonts w:ascii="Verdana" w:hAnsi="Verdana"/>
                <w:sz w:val="18"/>
                <w:szCs w:val="18"/>
                <w:lang w:val="en-IE"/>
              </w:rPr>
              <w:t xml:space="preserve"> is the sum of specific indicators 1 and 2</w:t>
            </w:r>
          </w:p>
        </w:tc>
      </w:tr>
      <w:tr w:rsidR="00B67ADD" w:rsidRPr="00C34DE9" w14:paraId="0A61243A" w14:textId="77777777" w:rsidTr="240ABBB4">
        <w:tc>
          <w:tcPr>
            <w:tcW w:w="2802" w:type="dxa"/>
            <w:tcBorders>
              <w:top w:val="single" w:sz="4" w:space="0" w:color="auto"/>
              <w:left w:val="single" w:sz="4" w:space="0" w:color="auto"/>
              <w:bottom w:val="single" w:sz="4" w:space="0" w:color="auto"/>
              <w:right w:val="single" w:sz="4" w:space="0" w:color="auto"/>
            </w:tcBorders>
            <w:vAlign w:val="center"/>
          </w:tcPr>
          <w:p w14:paraId="7E5D1DA6" w14:textId="77777777" w:rsidR="00B67ADD" w:rsidRPr="00C34DE9" w:rsidRDefault="00B67ADD" w:rsidP="5CB4B133">
            <w:pPr>
              <w:jc w:val="both"/>
              <w:rPr>
                <w:rFonts w:ascii="Verdana" w:hAnsi="Verdana"/>
                <w:b/>
                <w:bCs/>
                <w:sz w:val="18"/>
                <w:szCs w:val="18"/>
                <w:lang w:val="en-IE"/>
              </w:rPr>
            </w:pPr>
            <w:r w:rsidRPr="5CB4B133">
              <w:rPr>
                <w:rFonts w:ascii="Verdana" w:hAnsi="Verdana"/>
                <w:b/>
                <w:bCs/>
                <w:sz w:val="18"/>
                <w:szCs w:val="18"/>
                <w:lang w:val="en-IE"/>
              </w:rPr>
              <w:lastRenderedPageBreak/>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B11A8B3" w14:textId="274C320D" w:rsidR="00D3542A" w:rsidRPr="00A85A9D" w:rsidRDefault="00644674" w:rsidP="00E84146">
            <w:pPr>
              <w:spacing w:after="120"/>
              <w:jc w:val="both"/>
              <w:rPr>
                <w:rFonts w:ascii="Verdana" w:hAnsi="Verdana"/>
                <w:sz w:val="18"/>
                <w:szCs w:val="18"/>
                <w:lang w:val="en-IE"/>
              </w:rPr>
            </w:pPr>
            <w:r>
              <w:rPr>
                <w:lang w:val="en-IE"/>
              </w:rPr>
              <w:t xml:space="preserve">1 – </w:t>
            </w:r>
            <w:r w:rsidR="002D7218">
              <w:rPr>
                <w:lang w:val="en-IE"/>
              </w:rPr>
              <w:t>3</w:t>
            </w:r>
            <w:r>
              <w:rPr>
                <w:lang w:val="en-IE"/>
              </w:rPr>
              <w:t xml:space="preserve">: </w:t>
            </w:r>
            <w:r w:rsidR="00E15F3D" w:rsidRPr="00E15F3D">
              <w:rPr>
                <w:lang w:val="en-IE"/>
              </w:rPr>
              <w:t>ktoe</w:t>
            </w:r>
          </w:p>
          <w:p w14:paraId="5F819C97" w14:textId="08BC0431" w:rsidR="00B67ADD" w:rsidRPr="00644674" w:rsidRDefault="002D7218" w:rsidP="00E15F3D">
            <w:pPr>
              <w:spacing w:after="120"/>
              <w:jc w:val="both"/>
              <w:rPr>
                <w:lang w:val="en-IE"/>
              </w:rPr>
            </w:pPr>
            <w:r>
              <w:rPr>
                <w:lang w:val="en-IE"/>
              </w:rPr>
              <w:t>4</w:t>
            </w:r>
            <w:r w:rsidR="00644674">
              <w:rPr>
                <w:lang w:val="en-IE"/>
              </w:rPr>
              <w:t xml:space="preserve">: </w:t>
            </w:r>
            <w:r w:rsidR="00E15F3D">
              <w:rPr>
                <w:lang w:val="en-IE"/>
              </w:rPr>
              <w:t>%</w:t>
            </w:r>
          </w:p>
        </w:tc>
      </w:tr>
      <w:tr w:rsidR="00B67ADD" w:rsidRPr="00C34DE9" w14:paraId="0048A6A5" w14:textId="77777777" w:rsidTr="240ABBB4">
        <w:trPr>
          <w:trHeight w:val="675"/>
        </w:trPr>
        <w:tc>
          <w:tcPr>
            <w:tcW w:w="2802" w:type="dxa"/>
            <w:tcBorders>
              <w:top w:val="single" w:sz="4" w:space="0" w:color="auto"/>
              <w:left w:val="single" w:sz="4" w:space="0" w:color="auto"/>
              <w:bottom w:val="single" w:sz="4" w:space="0" w:color="auto"/>
              <w:right w:val="single" w:sz="4" w:space="0" w:color="auto"/>
            </w:tcBorders>
            <w:vAlign w:val="center"/>
          </w:tcPr>
          <w:p w14:paraId="4BB7709A"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767B23D"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Eurostat -Energy statistic</w:t>
            </w:r>
          </w:p>
          <w:p w14:paraId="402DB663"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Governance of the Energy Union Reporting, especially:</w:t>
            </w:r>
          </w:p>
          <w:p w14:paraId="34BAC0D8"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Annex IX</w:t>
            </w:r>
          </w:p>
          <w:p w14:paraId="7B84DFE1"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Annex VII, Part 1, paragraph (b) and (g)</w:t>
            </w:r>
          </w:p>
          <w:p w14:paraId="338DAA88"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Annex VII, Part 1, paragraph (m) (1) for forest biomass</w:t>
            </w:r>
          </w:p>
          <w:p w14:paraId="5CD3FD8B" w14:textId="77777777" w:rsidR="00B67ADD" w:rsidRPr="00C34DE9" w:rsidRDefault="00B67ADD" w:rsidP="00A85A9D">
            <w:pPr>
              <w:numPr>
                <w:ilvl w:val="0"/>
                <w:numId w:val="42"/>
              </w:numPr>
              <w:spacing w:after="120"/>
              <w:rPr>
                <w:rFonts w:ascii="Verdana" w:hAnsi="Verdana"/>
                <w:sz w:val="18"/>
                <w:szCs w:val="18"/>
                <w:lang w:val="en-IE"/>
              </w:rPr>
            </w:pPr>
            <w:r w:rsidRPr="00C34DE9">
              <w:rPr>
                <w:rFonts w:ascii="Verdana" w:hAnsi="Verdana"/>
                <w:sz w:val="18"/>
                <w:szCs w:val="18"/>
                <w:lang w:val="en-IE"/>
              </w:rPr>
              <w:t xml:space="preserve">Annex VII, Part 1, paragraph (m) (2) for agricultural biomass for heat and power </w:t>
            </w:r>
          </w:p>
          <w:p w14:paraId="4BB2AB0A" w14:textId="77777777" w:rsidR="00B67ADD" w:rsidRPr="00C34DE9" w:rsidRDefault="00B67ADD" w:rsidP="001C1C34">
            <w:pPr>
              <w:spacing w:after="120"/>
              <w:rPr>
                <w:rFonts w:ascii="Verdana" w:hAnsi="Verdana"/>
                <w:sz w:val="18"/>
                <w:szCs w:val="18"/>
              </w:rPr>
            </w:pPr>
            <w:r w:rsidRPr="00C34DE9">
              <w:rPr>
                <w:rFonts w:ascii="Verdana" w:hAnsi="Verdana"/>
                <w:sz w:val="18"/>
                <w:szCs w:val="18"/>
              </w:rPr>
              <w:t>MS Progress Reports according to Article 22 of Directive 2009/28/EC</w:t>
            </w:r>
          </w:p>
          <w:p w14:paraId="20588DE7" w14:textId="77777777" w:rsidR="00B67ADD" w:rsidRPr="00C34DE9" w:rsidRDefault="00B67ADD" w:rsidP="001C1C34">
            <w:pPr>
              <w:spacing w:after="120" w:line="240" w:lineRule="auto"/>
              <w:rPr>
                <w:rFonts w:ascii="Verdana" w:eastAsia="Times New Roman" w:hAnsi="Verdana" w:cs="Calibri"/>
                <w:sz w:val="18"/>
                <w:szCs w:val="18"/>
                <w:lang w:val="en-IE"/>
              </w:rPr>
            </w:pPr>
            <w:r w:rsidRPr="00C34DE9">
              <w:rPr>
                <w:rFonts w:ascii="Verdana" w:eastAsia="Times New Roman" w:hAnsi="Verdana" w:cs="Calibri"/>
                <w:sz w:val="18"/>
                <w:szCs w:val="18"/>
                <w:lang w:val="en-IE"/>
              </w:rPr>
              <w:t xml:space="preserve">Complete energy balances - annual data </w:t>
            </w:r>
          </w:p>
        </w:tc>
      </w:tr>
      <w:tr w:rsidR="00B67ADD" w:rsidRPr="00C34DE9" w14:paraId="6F34333E" w14:textId="77777777" w:rsidTr="240ABBB4">
        <w:tc>
          <w:tcPr>
            <w:tcW w:w="2802" w:type="dxa"/>
            <w:tcBorders>
              <w:top w:val="single" w:sz="4" w:space="0" w:color="auto"/>
              <w:left w:val="single" w:sz="4" w:space="0" w:color="auto"/>
              <w:bottom w:val="single" w:sz="4" w:space="0" w:color="auto"/>
              <w:right w:val="single" w:sz="4" w:space="0" w:color="auto"/>
            </w:tcBorders>
            <w:vAlign w:val="center"/>
          </w:tcPr>
          <w:p w14:paraId="7E2DC59B"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References / 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D02B7F5" w14:textId="77777777" w:rsidR="00B67ADD" w:rsidRPr="00325330" w:rsidRDefault="00B67ADD" w:rsidP="5CB4B133">
            <w:pPr>
              <w:spacing w:after="120"/>
              <w:rPr>
                <w:rFonts w:ascii="Verdana" w:hAnsi="Verdana"/>
                <w:sz w:val="18"/>
                <w:szCs w:val="18"/>
              </w:rPr>
            </w:pPr>
            <w:r w:rsidRPr="5CB4B133">
              <w:rPr>
                <w:rFonts w:ascii="Verdana" w:hAnsi="Verdana"/>
                <w:sz w:val="18"/>
                <w:szCs w:val="18"/>
              </w:rPr>
              <w:t xml:space="preserve">Eurostat –Energy Statistics </w:t>
            </w:r>
          </w:p>
          <w:p w14:paraId="2C580267"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Reporting under the Governance of the Energy Union Regulation</w:t>
            </w:r>
          </w:p>
          <w:p w14:paraId="4760FF6F"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Progress Reports under the Ren</w:t>
            </w:r>
            <w:r w:rsidR="00341062">
              <w:rPr>
                <w:rFonts w:ascii="Verdana" w:hAnsi="Verdana"/>
                <w:sz w:val="18"/>
                <w:szCs w:val="18"/>
                <w:lang w:val="en-IE"/>
              </w:rPr>
              <w:t>e</w:t>
            </w:r>
            <w:r w:rsidRPr="00C34DE9">
              <w:rPr>
                <w:rFonts w:ascii="Verdana" w:hAnsi="Verdana"/>
                <w:sz w:val="18"/>
                <w:szCs w:val="18"/>
                <w:lang w:val="en-IE"/>
              </w:rPr>
              <w:t>wable Energy Directive</w:t>
            </w:r>
          </w:p>
        </w:tc>
      </w:tr>
      <w:tr w:rsidR="00B67ADD" w:rsidRPr="00C34DE9" w14:paraId="56125D81" w14:textId="77777777" w:rsidTr="240ABBB4">
        <w:trPr>
          <w:trHeight w:val="458"/>
        </w:trPr>
        <w:tc>
          <w:tcPr>
            <w:tcW w:w="2802" w:type="dxa"/>
            <w:tcBorders>
              <w:top w:val="single" w:sz="4" w:space="0" w:color="auto"/>
              <w:left w:val="single" w:sz="4" w:space="0" w:color="auto"/>
              <w:bottom w:val="single" w:sz="4" w:space="0" w:color="auto"/>
              <w:right w:val="single" w:sz="4" w:space="0" w:color="auto"/>
            </w:tcBorders>
            <w:vAlign w:val="center"/>
          </w:tcPr>
          <w:p w14:paraId="409EBD45"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Data collection</w:t>
            </w:r>
            <w:r w:rsidR="00CE27E0" w:rsidRPr="5CB4B133">
              <w:rPr>
                <w:rFonts w:ascii="Verdana" w:hAnsi="Verdana"/>
                <w:b/>
                <w:bCs/>
                <w:sz w:val="18"/>
                <w:szCs w:val="18"/>
                <w:lang w:val="en-IE"/>
              </w:rPr>
              <w:t xml:space="preserve"> </w:t>
            </w:r>
            <w:r w:rsidR="00194BF2" w:rsidRPr="5CB4B133">
              <w:rPr>
                <w:rFonts w:ascii="Verdana" w:hAnsi="Verdana"/>
                <w:b/>
                <w:bCs/>
                <w:sz w:val="18"/>
                <w:szCs w:val="18"/>
                <w:lang w:val="en-IE"/>
              </w:rPr>
              <w:t>/</w:t>
            </w:r>
            <w:r w:rsidR="00CE27E0" w:rsidRPr="5CB4B133">
              <w:rPr>
                <w:rFonts w:ascii="Verdana" w:hAnsi="Verdana"/>
                <w:b/>
                <w:bCs/>
                <w:sz w:val="18"/>
                <w:szCs w:val="18"/>
                <w:lang w:val="en-IE"/>
              </w:rPr>
              <w:t xml:space="preserve"> </w:t>
            </w:r>
            <w:r w:rsidR="00194BF2" w:rsidRPr="5CB4B133">
              <w:rPr>
                <w:rFonts w:ascii="Verdana" w:hAnsi="Verdana"/>
                <w:b/>
                <w:bCs/>
                <w:sz w:val="18"/>
                <w:szCs w:val="18"/>
                <w:lang w:val="en-IE"/>
              </w:rPr>
              <w:t>dissemination</w:t>
            </w:r>
            <w:r w:rsidRPr="5CB4B133">
              <w:rPr>
                <w:rFonts w:ascii="Verdana" w:hAnsi="Verdana"/>
                <w:b/>
                <w:bCs/>
                <w:sz w:val="18"/>
                <w:szCs w:val="18"/>
                <w:lang w:val="en-IE"/>
              </w:rPr>
              <w:t xml:space="preserve"> 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4CFE1B3" w14:textId="77777777" w:rsidR="00B67ADD" w:rsidRPr="00C34DE9" w:rsidDel="00F9611E" w:rsidRDefault="00E15F3D" w:rsidP="001C1C34">
            <w:pPr>
              <w:spacing w:after="120"/>
              <w:rPr>
                <w:rFonts w:ascii="Verdana" w:hAnsi="Verdana"/>
                <w:sz w:val="18"/>
                <w:szCs w:val="18"/>
                <w:lang w:val="en-IE"/>
              </w:rPr>
            </w:pPr>
            <w:r>
              <w:rPr>
                <w:rFonts w:ascii="Verdana" w:hAnsi="Verdana"/>
                <w:sz w:val="18"/>
                <w:szCs w:val="18"/>
                <w:lang w:val="en-IE"/>
              </w:rPr>
              <w:t xml:space="preserve">EU, </w:t>
            </w:r>
            <w:r w:rsidR="00B67ADD" w:rsidRPr="00C34DE9">
              <w:rPr>
                <w:rFonts w:ascii="Verdana" w:hAnsi="Verdana"/>
                <w:sz w:val="18"/>
                <w:szCs w:val="18"/>
                <w:lang w:val="en-IE"/>
              </w:rPr>
              <w:t>National (NUTS 0)</w:t>
            </w:r>
          </w:p>
        </w:tc>
      </w:tr>
      <w:tr w:rsidR="00B67ADD" w:rsidRPr="00C34DE9" w14:paraId="71090B7A" w14:textId="77777777" w:rsidTr="240ABBB4">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1999F0A9"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1B25238"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Annual</w:t>
            </w:r>
          </w:p>
        </w:tc>
      </w:tr>
      <w:tr w:rsidR="00B67ADD" w:rsidRPr="00C34DE9" w14:paraId="1D9FA530" w14:textId="77777777" w:rsidTr="240ABBB4">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030A3F0F"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Starting point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B21E01E"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 xml:space="preserve">Beginning of the CAP programming period </w:t>
            </w:r>
          </w:p>
        </w:tc>
      </w:tr>
      <w:tr w:rsidR="00B67ADD" w:rsidRPr="00C34DE9" w14:paraId="3409B6CE" w14:textId="77777777" w:rsidTr="240ABBB4">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1090D518"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F4BA51B" w14:textId="77777777" w:rsidR="00B67ADD" w:rsidRPr="00C34DE9" w:rsidRDefault="00B67ADD" w:rsidP="001C1C34">
            <w:pPr>
              <w:spacing w:after="120"/>
              <w:rPr>
                <w:rFonts w:ascii="Verdana" w:hAnsi="Verdana"/>
                <w:sz w:val="18"/>
                <w:szCs w:val="18"/>
                <w:lang w:val="en-IE"/>
              </w:rPr>
            </w:pPr>
            <w:r w:rsidRPr="00C34DE9">
              <w:rPr>
                <w:rFonts w:ascii="Verdana" w:hAnsi="Verdana"/>
                <w:sz w:val="18"/>
                <w:szCs w:val="18"/>
                <w:lang w:val="en-IE"/>
              </w:rPr>
              <w:t xml:space="preserve">2 years </w:t>
            </w:r>
          </w:p>
        </w:tc>
      </w:tr>
      <w:tr w:rsidR="00B67ADD" w:rsidRPr="00C34DE9" w14:paraId="13C2E30E" w14:textId="77777777" w:rsidTr="240ABBB4">
        <w:tc>
          <w:tcPr>
            <w:tcW w:w="2802" w:type="dxa"/>
            <w:tcBorders>
              <w:top w:val="single" w:sz="4" w:space="0" w:color="auto"/>
              <w:left w:val="single" w:sz="4" w:space="0" w:color="auto"/>
              <w:bottom w:val="single" w:sz="4" w:space="0" w:color="auto"/>
              <w:right w:val="single" w:sz="4" w:space="0" w:color="auto"/>
            </w:tcBorders>
            <w:vAlign w:val="center"/>
          </w:tcPr>
          <w:p w14:paraId="73B6C6F0" w14:textId="77777777" w:rsidR="00B67ADD" w:rsidRPr="00C34DE9" w:rsidRDefault="00B67ADD" w:rsidP="5CB4B133">
            <w:pPr>
              <w:rPr>
                <w:rFonts w:ascii="Verdana" w:hAnsi="Verdana"/>
                <w:b/>
                <w:bCs/>
                <w:sz w:val="18"/>
                <w:szCs w:val="18"/>
                <w:lang w:val="en-IE"/>
              </w:rPr>
            </w:pPr>
            <w:r w:rsidRPr="5CB4B133">
              <w:rPr>
                <w:rFonts w:ascii="Verdana" w:hAnsi="Verdana"/>
                <w:b/>
                <w:bCs/>
                <w:sz w:val="18"/>
                <w:szCs w:val="18"/>
                <w:lang w:val="en-IE"/>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FAD7AE" w14:textId="77777777" w:rsidR="00B67ADD" w:rsidRPr="00C34DE9" w:rsidRDefault="00B67ADD" w:rsidP="006228CD">
            <w:pPr>
              <w:spacing w:after="120" w:line="240" w:lineRule="auto"/>
              <w:rPr>
                <w:rFonts w:ascii="Verdana" w:hAnsi="Verdana"/>
                <w:sz w:val="18"/>
                <w:szCs w:val="18"/>
                <w:lang w:val="en-IE"/>
              </w:rPr>
            </w:pPr>
            <w:r w:rsidRPr="00C34DE9">
              <w:rPr>
                <w:rFonts w:ascii="Verdana" w:hAnsi="Verdana"/>
                <w:sz w:val="18"/>
                <w:szCs w:val="18"/>
              </w:rPr>
              <w:t xml:space="preserve">[Indication capacity] </w:t>
            </w:r>
            <w:r w:rsidRPr="00C34DE9">
              <w:rPr>
                <w:rFonts w:ascii="Verdana" w:hAnsi="Verdana"/>
                <w:sz w:val="18"/>
                <w:szCs w:val="18"/>
                <w:lang w:val="en-IE"/>
              </w:rPr>
              <w:t>The category "energy from agricultural biogas", even though it predominantly covers agricultural biogas, also contains some biogas from municipal solid waste etc.</w:t>
            </w:r>
          </w:p>
          <w:p w14:paraId="4330F6AB" w14:textId="77777777" w:rsidR="00B67ADD" w:rsidRPr="00C34DE9" w:rsidRDefault="00B67ADD" w:rsidP="006228CD">
            <w:pPr>
              <w:spacing w:after="120" w:line="240" w:lineRule="auto"/>
              <w:rPr>
                <w:rFonts w:ascii="Verdana" w:hAnsi="Verdana"/>
                <w:sz w:val="18"/>
                <w:szCs w:val="18"/>
              </w:rPr>
            </w:pPr>
            <w:r w:rsidRPr="00C34DE9">
              <w:rPr>
                <w:rFonts w:ascii="Verdana" w:hAnsi="Verdana"/>
                <w:sz w:val="18"/>
                <w:szCs w:val="18"/>
              </w:rPr>
              <w:t xml:space="preserve">[Readily available] Data are available </w:t>
            </w:r>
          </w:p>
          <w:p w14:paraId="4873CA66" w14:textId="77777777" w:rsidR="00B67ADD" w:rsidRPr="00C34DE9" w:rsidRDefault="00B67ADD" w:rsidP="006228CD">
            <w:pPr>
              <w:spacing w:after="120" w:line="240" w:lineRule="auto"/>
              <w:rPr>
                <w:rFonts w:ascii="Verdana" w:hAnsi="Verdana"/>
                <w:sz w:val="18"/>
                <w:szCs w:val="18"/>
              </w:rPr>
            </w:pPr>
            <w:r w:rsidRPr="00C34DE9">
              <w:rPr>
                <w:rFonts w:ascii="Verdana" w:hAnsi="Verdana"/>
                <w:sz w:val="18"/>
                <w:szCs w:val="18"/>
              </w:rPr>
              <w:t xml:space="preserve">[Downscaling] MS have the </w:t>
            </w:r>
            <w:r w:rsidR="009A0468" w:rsidRPr="00C34DE9">
              <w:rPr>
                <w:rFonts w:ascii="Verdana" w:hAnsi="Verdana"/>
                <w:sz w:val="18"/>
                <w:szCs w:val="18"/>
              </w:rPr>
              <w:t>possibility</w:t>
            </w:r>
            <w:r w:rsidRPr="00C34DE9">
              <w:rPr>
                <w:rFonts w:ascii="Verdana" w:hAnsi="Verdana"/>
                <w:sz w:val="18"/>
                <w:szCs w:val="18"/>
              </w:rPr>
              <w:t xml:space="preserve"> to provide data at regional level if they are asked. So far, data are available at MS level.</w:t>
            </w:r>
          </w:p>
          <w:p w14:paraId="1D288173" w14:textId="77777777" w:rsidR="00B67ADD" w:rsidRPr="00C34DE9" w:rsidRDefault="00B67ADD" w:rsidP="006228CD">
            <w:pPr>
              <w:spacing w:after="120" w:line="240" w:lineRule="auto"/>
              <w:rPr>
                <w:rFonts w:ascii="Verdana" w:hAnsi="Verdana"/>
                <w:sz w:val="18"/>
                <w:szCs w:val="18"/>
              </w:rPr>
            </w:pPr>
            <w:r w:rsidRPr="00C34DE9">
              <w:rPr>
                <w:rFonts w:ascii="Verdana" w:hAnsi="Verdana"/>
                <w:sz w:val="18"/>
                <w:szCs w:val="18"/>
              </w:rPr>
              <w:t>[Quality]</w:t>
            </w:r>
          </w:p>
          <w:p w14:paraId="73F5EEB4" w14:textId="2FF9752A" w:rsidR="00C81E4A" w:rsidRDefault="00B67ADD" w:rsidP="006228CD">
            <w:pPr>
              <w:spacing w:after="120" w:line="240" w:lineRule="auto"/>
              <w:rPr>
                <w:rFonts w:ascii="Verdana" w:hAnsi="Verdana"/>
                <w:sz w:val="18"/>
                <w:szCs w:val="18"/>
              </w:rPr>
            </w:pPr>
            <w:r w:rsidRPr="00C34DE9">
              <w:rPr>
                <w:rFonts w:ascii="Verdana" w:hAnsi="Verdana"/>
                <w:sz w:val="18"/>
                <w:szCs w:val="18"/>
              </w:rPr>
              <w:t>[Baseline] Baseline can be set at 2020.</w:t>
            </w:r>
          </w:p>
          <w:p w14:paraId="3CD352BF" w14:textId="77777777" w:rsidR="00C81E4A" w:rsidRDefault="00C81E4A" w:rsidP="3F2573B5">
            <w:pPr>
              <w:spacing w:after="120" w:line="240" w:lineRule="auto"/>
              <w:rPr>
                <w:rFonts w:ascii="Verdana" w:hAnsi="Verdana"/>
                <w:sz w:val="18"/>
                <w:szCs w:val="18"/>
              </w:rPr>
            </w:pPr>
            <w:r>
              <w:rPr>
                <w:rFonts w:ascii="Verdana" w:hAnsi="Verdana"/>
                <w:sz w:val="18"/>
                <w:szCs w:val="18"/>
              </w:rPr>
              <w:t xml:space="preserve">The indicator have some similarities with the </w:t>
            </w:r>
            <w:r w:rsidRPr="3F2573B5">
              <w:rPr>
                <w:rFonts w:ascii="Verdana" w:hAnsi="Verdana"/>
                <w:sz w:val="18"/>
                <w:szCs w:val="18"/>
              </w:rPr>
              <w:t xml:space="preserve">Agri-environnemental indicator 24; Renewable energy production. </w:t>
            </w:r>
          </w:p>
          <w:p w14:paraId="121A3DD6" w14:textId="62C935D9" w:rsidR="00591E67" w:rsidRPr="00C34DE9" w:rsidRDefault="00591E67" w:rsidP="006228CD">
            <w:pPr>
              <w:spacing w:after="120" w:line="240" w:lineRule="auto"/>
              <w:rPr>
                <w:rFonts w:ascii="Verdana" w:hAnsi="Verdana"/>
                <w:sz w:val="18"/>
                <w:szCs w:val="18"/>
              </w:rPr>
            </w:pPr>
            <w:r w:rsidRPr="00ED1402">
              <w:t xml:space="preserve">The indicator measures the production of renewable energy as reported under the Governance </w:t>
            </w:r>
            <w:r w:rsidR="00D616B7" w:rsidRPr="00ED1402">
              <w:t>R</w:t>
            </w:r>
            <w:r w:rsidRPr="00ED1402">
              <w:t xml:space="preserve">egulation, and according to the requirements for production of renewable energy in accordance to the </w:t>
            </w:r>
            <w:r w:rsidR="00D616B7" w:rsidRPr="00ED1402">
              <w:t>R</w:t>
            </w:r>
            <w:r w:rsidRPr="00ED1402">
              <w:t xml:space="preserve">enewable </w:t>
            </w:r>
            <w:r w:rsidR="00D616B7" w:rsidRPr="00ED1402">
              <w:t>E</w:t>
            </w:r>
            <w:r w:rsidRPr="00ED1402">
              <w:t xml:space="preserve">nergy </w:t>
            </w:r>
            <w:r w:rsidR="00D616B7" w:rsidRPr="00ED1402">
              <w:t>D</w:t>
            </w:r>
            <w:r w:rsidRPr="00ED1402">
              <w:t>irective</w:t>
            </w:r>
            <w:r w:rsidR="00332AC5" w:rsidRPr="00ED1402">
              <w:t>.</w:t>
            </w:r>
          </w:p>
        </w:tc>
      </w:tr>
    </w:tbl>
    <w:p w14:paraId="688D4D22" w14:textId="77777777" w:rsidR="00C34DE9" w:rsidRDefault="00C34DE9">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797"/>
      </w:tblGrid>
      <w:tr w:rsidR="0007671D" w:rsidRPr="00C34DE9" w14:paraId="4E4EADCA" w14:textId="77777777" w:rsidTr="790C88FB">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FD4F47C" w14:textId="29CAA307" w:rsidR="0007671D" w:rsidRPr="00C34DE9" w:rsidRDefault="00C34DE9" w:rsidP="00897B33">
            <w:pPr>
              <w:spacing w:after="60"/>
              <w:rPr>
                <w:rFonts w:ascii="Verdana" w:hAnsi="Verdana"/>
                <w:b/>
                <w:bCs/>
                <w:sz w:val="18"/>
                <w:szCs w:val="18"/>
              </w:rPr>
            </w:pPr>
            <w:r>
              <w:lastRenderedPageBreak/>
              <w:br w:type="page"/>
            </w:r>
            <w:bookmarkStart w:id="66" w:name="C42"/>
            <w:r w:rsidR="0007671D" w:rsidRPr="5CB4B133">
              <w:rPr>
                <w:rFonts w:ascii="Verdana" w:hAnsi="Verdana"/>
                <w:b/>
                <w:bCs/>
                <w:smallCaps/>
                <w:sz w:val="18"/>
                <w:szCs w:val="18"/>
              </w:rPr>
              <w:t>Indicator C.4</w:t>
            </w:r>
            <w:r w:rsidR="00897B33">
              <w:rPr>
                <w:rFonts w:ascii="Verdana" w:hAnsi="Verdana"/>
                <w:b/>
                <w:bCs/>
                <w:smallCaps/>
                <w:sz w:val="18"/>
                <w:szCs w:val="18"/>
              </w:rPr>
              <w:t>3</w:t>
            </w:r>
            <w:bookmarkEnd w:id="66"/>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7B3F86F" w14:textId="77777777" w:rsidR="0007671D" w:rsidRPr="00C34DE9" w:rsidRDefault="0007671D" w:rsidP="00C30187">
            <w:pPr>
              <w:spacing w:after="60"/>
              <w:rPr>
                <w:rFonts w:ascii="Verdana" w:hAnsi="Verdana"/>
                <w:caps/>
                <w:sz w:val="18"/>
                <w:szCs w:val="18"/>
              </w:rPr>
            </w:pPr>
          </w:p>
        </w:tc>
      </w:tr>
      <w:tr w:rsidR="0007671D" w:rsidRPr="00C34DE9" w14:paraId="2E4E7FA9" w14:textId="77777777" w:rsidTr="790C88FB">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B6DF4C7"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Indicator Name</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4543A55" w14:textId="77777777" w:rsidR="0007671D" w:rsidRPr="00C34DE9" w:rsidRDefault="0007671D" w:rsidP="5CB4B133">
            <w:pPr>
              <w:spacing w:after="60"/>
              <w:jc w:val="center"/>
              <w:rPr>
                <w:rFonts w:ascii="Verdana" w:hAnsi="Verdana"/>
                <w:b/>
                <w:bCs/>
                <w:color w:val="808080"/>
                <w:sz w:val="18"/>
                <w:szCs w:val="18"/>
              </w:rPr>
            </w:pPr>
            <w:r w:rsidRPr="5CB4B133">
              <w:rPr>
                <w:rFonts w:ascii="Verdana" w:hAnsi="Verdana"/>
                <w:b/>
                <w:bCs/>
                <w:sz w:val="18"/>
                <w:szCs w:val="18"/>
              </w:rPr>
              <w:t>Energy use in agriculture, forestry and food industry</w:t>
            </w:r>
          </w:p>
        </w:tc>
      </w:tr>
      <w:tr w:rsidR="0007671D" w:rsidRPr="00C34DE9" w14:paraId="72784C27"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14843364"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EB43143" w14:textId="34EA569D" w:rsidR="0007671D" w:rsidRDefault="0007671D" w:rsidP="00BB26FF">
            <w:pPr>
              <w:autoSpaceDE w:val="0"/>
              <w:autoSpaceDN w:val="0"/>
              <w:adjustRightInd w:val="0"/>
              <w:spacing w:after="60" w:line="240" w:lineRule="auto"/>
              <w:jc w:val="both"/>
              <w:rPr>
                <w:rFonts w:ascii="Verdana" w:eastAsia="Times New Roman" w:hAnsi="Verdana" w:cs="Calibri"/>
                <w:sz w:val="18"/>
                <w:szCs w:val="18"/>
              </w:rPr>
            </w:pPr>
            <w:r w:rsidRPr="00C34DE9">
              <w:rPr>
                <w:rFonts w:ascii="Verdana" w:eastAsia="Times New Roman" w:hAnsi="Verdana" w:cs="Calibri"/>
                <w:sz w:val="18"/>
                <w:szCs w:val="18"/>
              </w:rPr>
              <w:t xml:space="preserve">This indicator measures the </w:t>
            </w:r>
            <w:r w:rsidRPr="3F4AE0BD">
              <w:rPr>
                <w:rFonts w:ascii="Verdana" w:eastAsia="Times New Roman" w:hAnsi="Verdana" w:cs="Calibri"/>
                <w:b/>
                <w:bCs/>
                <w:sz w:val="18"/>
                <w:szCs w:val="18"/>
              </w:rPr>
              <w:t>direct use of energy in agriculture</w:t>
            </w:r>
            <w:r w:rsidR="00917726" w:rsidRPr="3F4AE0BD">
              <w:rPr>
                <w:rFonts w:ascii="Verdana" w:eastAsia="Times New Roman" w:hAnsi="Verdana" w:cs="Calibri"/>
                <w:b/>
                <w:bCs/>
                <w:sz w:val="18"/>
                <w:szCs w:val="18"/>
              </w:rPr>
              <w:t xml:space="preserve"> and</w:t>
            </w:r>
            <w:r w:rsidR="007D3E04" w:rsidRPr="3F4AE0BD">
              <w:rPr>
                <w:rFonts w:ascii="Verdana" w:eastAsia="Times New Roman" w:hAnsi="Verdana" w:cs="Calibri"/>
                <w:b/>
                <w:bCs/>
                <w:sz w:val="18"/>
                <w:szCs w:val="18"/>
              </w:rPr>
              <w:t xml:space="preserve"> </w:t>
            </w:r>
            <w:r w:rsidRPr="3F4AE0BD">
              <w:rPr>
                <w:rFonts w:ascii="Verdana" w:eastAsia="Times New Roman" w:hAnsi="Verdana" w:cs="Calibri"/>
                <w:b/>
                <w:bCs/>
                <w:sz w:val="18"/>
                <w:szCs w:val="18"/>
              </w:rPr>
              <w:t xml:space="preserve">forestry and </w:t>
            </w:r>
            <w:r w:rsidR="00917726" w:rsidRPr="3F4AE0BD">
              <w:rPr>
                <w:rFonts w:ascii="Verdana" w:eastAsia="Times New Roman" w:hAnsi="Verdana" w:cs="Calibri"/>
                <w:b/>
                <w:bCs/>
                <w:sz w:val="18"/>
                <w:szCs w:val="18"/>
              </w:rPr>
              <w:t xml:space="preserve">in </w:t>
            </w:r>
            <w:r w:rsidRPr="3F4AE0BD">
              <w:rPr>
                <w:rFonts w:ascii="Verdana" w:eastAsia="Times New Roman" w:hAnsi="Verdana" w:cs="Calibri"/>
                <w:b/>
                <w:bCs/>
                <w:sz w:val="18"/>
                <w:szCs w:val="18"/>
              </w:rPr>
              <w:t>food processing</w:t>
            </w:r>
            <w:r w:rsidR="00A85A9D">
              <w:rPr>
                <w:rFonts w:ascii="Verdana" w:eastAsia="Times New Roman" w:hAnsi="Verdana" w:cs="Calibri"/>
                <w:sz w:val="18"/>
                <w:szCs w:val="18"/>
              </w:rPr>
              <w:t xml:space="preserve"> </w:t>
            </w:r>
          </w:p>
          <w:p w14:paraId="51D29814" w14:textId="1D09895F" w:rsidR="00917726" w:rsidRDefault="00917726" w:rsidP="00BB26FF">
            <w:pPr>
              <w:autoSpaceDE w:val="0"/>
              <w:autoSpaceDN w:val="0"/>
              <w:adjustRightInd w:val="0"/>
              <w:spacing w:after="60" w:line="240" w:lineRule="auto"/>
              <w:jc w:val="both"/>
              <w:rPr>
                <w:rFonts w:ascii="Verdana" w:eastAsia="Times New Roman" w:hAnsi="Verdana" w:cs="Calibri"/>
                <w:sz w:val="18"/>
                <w:szCs w:val="18"/>
              </w:rPr>
            </w:pPr>
            <w:r>
              <w:rPr>
                <w:rFonts w:ascii="Verdana" w:eastAsia="Times New Roman" w:hAnsi="Verdana" w:cs="Calibri"/>
                <w:sz w:val="18"/>
                <w:szCs w:val="18"/>
              </w:rPr>
              <w:t xml:space="preserve">It consist of 3 </w:t>
            </w:r>
            <w:r w:rsidR="00DD478B">
              <w:rPr>
                <w:rFonts w:ascii="Verdana" w:eastAsia="Times New Roman" w:hAnsi="Verdana" w:cs="Calibri"/>
                <w:sz w:val="18"/>
                <w:szCs w:val="18"/>
              </w:rPr>
              <w:t>specific indicators</w:t>
            </w:r>
            <w:r>
              <w:rPr>
                <w:rFonts w:ascii="Verdana" w:eastAsia="Times New Roman" w:hAnsi="Verdana" w:cs="Calibri"/>
                <w:sz w:val="18"/>
                <w:szCs w:val="18"/>
              </w:rPr>
              <w:t>:</w:t>
            </w:r>
          </w:p>
          <w:p w14:paraId="17210EB6" w14:textId="04DCF422" w:rsidR="00917726" w:rsidRPr="007D3E04" w:rsidRDefault="00917726" w:rsidP="00665997">
            <w:pPr>
              <w:pStyle w:val="ListParagraph"/>
              <w:numPr>
                <w:ilvl w:val="0"/>
                <w:numId w:val="69"/>
              </w:numPr>
              <w:autoSpaceDE w:val="0"/>
              <w:autoSpaceDN w:val="0"/>
              <w:adjustRightInd w:val="0"/>
              <w:spacing w:after="60" w:line="240" w:lineRule="auto"/>
              <w:jc w:val="both"/>
              <w:rPr>
                <w:rFonts w:ascii="Verdana" w:eastAsia="Times New Roman" w:hAnsi="Verdana" w:cs="Calibri"/>
                <w:b/>
                <w:bCs/>
                <w:sz w:val="18"/>
                <w:szCs w:val="18"/>
              </w:rPr>
            </w:pPr>
            <w:r w:rsidRPr="3F4AE0BD">
              <w:rPr>
                <w:rFonts w:ascii="Verdana" w:eastAsia="Times New Roman" w:hAnsi="Verdana" w:cs="Calibri"/>
                <w:b/>
                <w:bCs/>
                <w:sz w:val="18"/>
                <w:szCs w:val="18"/>
              </w:rPr>
              <w:t>direct use of energy in agriculture and forestry</w:t>
            </w:r>
          </w:p>
          <w:p w14:paraId="6A3E0E9E" w14:textId="2B8E6BC8" w:rsidR="00917726" w:rsidRPr="007D3E04" w:rsidRDefault="00917726" w:rsidP="00665997">
            <w:pPr>
              <w:pStyle w:val="ListParagraph"/>
              <w:numPr>
                <w:ilvl w:val="0"/>
                <w:numId w:val="69"/>
              </w:numPr>
              <w:autoSpaceDE w:val="0"/>
              <w:autoSpaceDN w:val="0"/>
              <w:adjustRightInd w:val="0"/>
              <w:spacing w:after="60" w:line="240" w:lineRule="auto"/>
              <w:jc w:val="both"/>
              <w:rPr>
                <w:rFonts w:ascii="Verdana" w:eastAsia="Times New Roman" w:hAnsi="Verdana" w:cs="Calibri"/>
                <w:b/>
                <w:bCs/>
                <w:sz w:val="18"/>
                <w:szCs w:val="18"/>
              </w:rPr>
            </w:pPr>
            <w:r w:rsidRPr="3F4AE0BD">
              <w:rPr>
                <w:rFonts w:ascii="Verdana" w:eastAsia="Times New Roman" w:hAnsi="Verdana" w:cs="Calibri"/>
                <w:b/>
                <w:bCs/>
                <w:sz w:val="18"/>
                <w:szCs w:val="18"/>
              </w:rPr>
              <w:t>direct use of energy in agriculture and forestry</w:t>
            </w:r>
            <w:r w:rsidR="00D616B7" w:rsidRPr="3F4AE0BD">
              <w:rPr>
                <w:rFonts w:ascii="Verdana" w:eastAsia="Times New Roman" w:hAnsi="Verdana" w:cs="Calibri"/>
                <w:b/>
                <w:bCs/>
                <w:sz w:val="18"/>
                <w:szCs w:val="18"/>
              </w:rPr>
              <w:t xml:space="preserve"> per ha</w:t>
            </w:r>
          </w:p>
          <w:p w14:paraId="69C3AD92" w14:textId="77777777" w:rsidR="00917726" w:rsidRPr="007D3E04" w:rsidRDefault="00917726" w:rsidP="00665997">
            <w:pPr>
              <w:pStyle w:val="ListParagraph"/>
              <w:numPr>
                <w:ilvl w:val="0"/>
                <w:numId w:val="69"/>
              </w:numPr>
              <w:autoSpaceDE w:val="0"/>
              <w:autoSpaceDN w:val="0"/>
              <w:adjustRightInd w:val="0"/>
              <w:spacing w:after="60" w:line="240" w:lineRule="auto"/>
              <w:jc w:val="both"/>
              <w:rPr>
                <w:rFonts w:ascii="Verdana" w:eastAsia="Times New Roman" w:hAnsi="Verdana" w:cs="Calibri"/>
                <w:sz w:val="18"/>
                <w:szCs w:val="18"/>
              </w:rPr>
            </w:pPr>
            <w:r w:rsidRPr="3F4AE0BD">
              <w:rPr>
                <w:rFonts w:ascii="Verdana" w:eastAsia="Times New Roman" w:hAnsi="Verdana" w:cs="Calibri"/>
                <w:b/>
                <w:bCs/>
                <w:sz w:val="18"/>
                <w:szCs w:val="18"/>
              </w:rPr>
              <w:t>direct use of energy in food processing</w:t>
            </w:r>
          </w:p>
          <w:p w14:paraId="12E6A2A4" w14:textId="77777777" w:rsidR="0007671D" w:rsidRPr="00C34DE9" w:rsidRDefault="0007671D" w:rsidP="790C88FB">
            <w:pPr>
              <w:pStyle w:val="NormalWeb"/>
              <w:spacing w:after="60" w:afterAutospacing="0"/>
              <w:jc w:val="both"/>
              <w:rPr>
                <w:rFonts w:ascii="Verdana" w:hAnsi="Verdana" w:cs="Calibri"/>
                <w:sz w:val="18"/>
                <w:szCs w:val="18"/>
              </w:rPr>
            </w:pPr>
            <w:r w:rsidRPr="00C34DE9">
              <w:rPr>
                <w:rFonts w:ascii="Verdana" w:hAnsi="Verdana" w:cs="Calibri"/>
                <w:sz w:val="18"/>
                <w:szCs w:val="18"/>
              </w:rPr>
              <w:t>This indicator is based on Eurostat data from the joint IEA/OECD-Eurostat-UNECE questionnaires. There are some limitations of data and sources:</w:t>
            </w:r>
          </w:p>
          <w:p w14:paraId="34FA36EF" w14:textId="77777777" w:rsidR="0007671D" w:rsidRPr="00C34DE9" w:rsidRDefault="0007671D" w:rsidP="00A85A9D">
            <w:pPr>
              <w:numPr>
                <w:ilvl w:val="0"/>
                <w:numId w:val="30"/>
              </w:numPr>
              <w:spacing w:after="60"/>
              <w:jc w:val="both"/>
              <w:rPr>
                <w:rFonts w:ascii="Verdana" w:hAnsi="Verdana"/>
                <w:sz w:val="18"/>
                <w:szCs w:val="18"/>
              </w:rPr>
            </w:pPr>
            <w:r w:rsidRPr="00C34DE9">
              <w:rPr>
                <w:rFonts w:ascii="Verdana" w:hAnsi="Verdana"/>
                <w:sz w:val="18"/>
                <w:szCs w:val="18"/>
              </w:rPr>
              <w:t>The indicator only refers to direct use of energy by agriculture. Indirect energy used in agriculture for fertilisers, pesticides, animal feed and agricultural machinery, which are produced using large amounts of energy, is not included.</w:t>
            </w:r>
          </w:p>
          <w:p w14:paraId="7E1A41FE" w14:textId="77777777" w:rsidR="0007671D" w:rsidRPr="00ED1402" w:rsidRDefault="0007671D" w:rsidP="00A85A9D">
            <w:pPr>
              <w:numPr>
                <w:ilvl w:val="0"/>
                <w:numId w:val="30"/>
              </w:numPr>
              <w:spacing w:after="60"/>
              <w:jc w:val="both"/>
              <w:rPr>
                <w:rFonts w:ascii="Verdana" w:eastAsia="Times New Roman" w:hAnsi="Verdana" w:cs="Calibri"/>
                <w:sz w:val="18"/>
                <w:szCs w:val="18"/>
              </w:rPr>
            </w:pPr>
            <w:r w:rsidRPr="00ED1402">
              <w:rPr>
                <w:rFonts w:ascii="Verdana" w:eastAsia="Times New Roman" w:hAnsi="Verdana" w:cs="Calibri"/>
                <w:sz w:val="18"/>
                <w:szCs w:val="18"/>
              </w:rPr>
              <w:t>Data on energy consumption by agriculture from the questionnaires include the use of energy by forestry</w:t>
            </w:r>
            <w:r w:rsidR="00B54580" w:rsidRPr="00ED1402">
              <w:rPr>
                <w:rFonts w:ascii="Verdana" w:eastAsia="Times New Roman" w:hAnsi="Verdana" w:cs="Calibri"/>
                <w:sz w:val="18"/>
                <w:szCs w:val="18"/>
              </w:rPr>
              <w:t xml:space="preserve"> since the separation of the different activities of a farmer/forest owner is not possible</w:t>
            </w:r>
            <w:r w:rsidRPr="00ED1402">
              <w:rPr>
                <w:rFonts w:ascii="Verdana" w:eastAsia="Times New Roman" w:hAnsi="Verdana" w:cs="Calibri"/>
                <w:sz w:val="18"/>
                <w:szCs w:val="18"/>
              </w:rPr>
              <w:t>. Energy consumption by agriculture may therefore be overestimated in countries with significant forestry</w:t>
            </w:r>
            <w:r w:rsidR="00B54580" w:rsidRPr="00ED1402">
              <w:rPr>
                <w:rFonts w:ascii="Verdana" w:eastAsia="Times New Roman" w:hAnsi="Verdana" w:cs="Calibri"/>
                <w:sz w:val="18"/>
                <w:szCs w:val="18"/>
              </w:rPr>
              <w:t xml:space="preserve"> </w:t>
            </w:r>
            <w:r w:rsidRPr="00ED1402">
              <w:rPr>
                <w:rFonts w:ascii="Verdana" w:eastAsia="Times New Roman" w:hAnsi="Verdana" w:cs="Calibri"/>
                <w:sz w:val="18"/>
                <w:szCs w:val="18"/>
              </w:rPr>
              <w:t>sector.</w:t>
            </w:r>
          </w:p>
          <w:p w14:paraId="50629EF0" w14:textId="77777777" w:rsidR="0007671D" w:rsidRPr="00C34DE9" w:rsidRDefault="0007671D" w:rsidP="00A85A9D">
            <w:pPr>
              <w:numPr>
                <w:ilvl w:val="0"/>
                <w:numId w:val="30"/>
              </w:numPr>
              <w:spacing w:after="60"/>
              <w:jc w:val="both"/>
              <w:rPr>
                <w:rFonts w:ascii="Verdana" w:hAnsi="Verdana"/>
                <w:sz w:val="18"/>
                <w:szCs w:val="18"/>
              </w:rPr>
            </w:pPr>
            <w:r w:rsidRPr="00C34DE9">
              <w:rPr>
                <w:rFonts w:ascii="Verdana" w:hAnsi="Verdana"/>
                <w:sz w:val="18"/>
                <w:szCs w:val="18"/>
              </w:rPr>
              <w:t>Data on food processing are taken from the category "Food and tobacco" and therefore include the NACE category "Manufacture of food products, beverages and tobacco products". Data on food processing are thus overestimated.</w:t>
            </w:r>
          </w:p>
        </w:tc>
      </w:tr>
      <w:tr w:rsidR="0007671D" w:rsidRPr="00C34DE9" w14:paraId="45C4C37C"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0C0E74C0"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1A1918A" w14:textId="5D2E78DA" w:rsidR="0007671D" w:rsidRDefault="00917726" w:rsidP="00544872">
            <w:pPr>
              <w:spacing w:after="60"/>
              <w:rPr>
                <w:rFonts w:ascii="Verdana" w:hAnsi="Verdana"/>
                <w:sz w:val="18"/>
                <w:szCs w:val="18"/>
              </w:rPr>
            </w:pPr>
            <w:r>
              <w:rPr>
                <w:rFonts w:ascii="Verdana" w:hAnsi="Verdana"/>
                <w:sz w:val="18"/>
                <w:szCs w:val="18"/>
              </w:rPr>
              <w:t xml:space="preserve">1: </w:t>
            </w:r>
            <w:r w:rsidR="0007671D" w:rsidRPr="00C34DE9">
              <w:rPr>
                <w:rFonts w:ascii="Verdana" w:hAnsi="Verdana"/>
                <w:sz w:val="18"/>
                <w:szCs w:val="18"/>
              </w:rPr>
              <w:t>ktoe</w:t>
            </w:r>
          </w:p>
          <w:p w14:paraId="4C2A4A78" w14:textId="605E9B24" w:rsidR="0007671D" w:rsidRDefault="00917726" w:rsidP="00544872">
            <w:pPr>
              <w:spacing w:after="60"/>
              <w:rPr>
                <w:rFonts w:ascii="Verdana" w:hAnsi="Verdana"/>
                <w:sz w:val="18"/>
                <w:szCs w:val="18"/>
              </w:rPr>
            </w:pPr>
            <w:r>
              <w:rPr>
                <w:rFonts w:ascii="Verdana" w:hAnsi="Verdana"/>
                <w:sz w:val="18"/>
                <w:szCs w:val="18"/>
              </w:rPr>
              <w:t xml:space="preserve">2: </w:t>
            </w:r>
            <w:r w:rsidR="00E15F3D">
              <w:rPr>
                <w:rFonts w:ascii="Verdana" w:hAnsi="Verdana"/>
                <w:sz w:val="18"/>
                <w:szCs w:val="18"/>
              </w:rPr>
              <w:t>ktoe/ha</w:t>
            </w:r>
          </w:p>
          <w:p w14:paraId="0D77BE1B" w14:textId="2919B127" w:rsidR="00917726" w:rsidRPr="00C34DE9" w:rsidRDefault="00917726" w:rsidP="3F2573B5">
            <w:pPr>
              <w:spacing w:after="60"/>
              <w:rPr>
                <w:rFonts w:ascii="Verdana" w:hAnsi="Verdana"/>
                <w:b/>
                <w:bCs/>
                <w:sz w:val="18"/>
                <w:szCs w:val="18"/>
              </w:rPr>
            </w:pPr>
            <w:r>
              <w:rPr>
                <w:rFonts w:ascii="Verdana" w:hAnsi="Verdana"/>
                <w:sz w:val="18"/>
                <w:szCs w:val="18"/>
              </w:rPr>
              <w:t xml:space="preserve">3: </w:t>
            </w:r>
            <w:r w:rsidRPr="00C34DE9">
              <w:rPr>
                <w:rFonts w:ascii="Verdana" w:hAnsi="Verdana"/>
                <w:sz w:val="18"/>
                <w:szCs w:val="18"/>
              </w:rPr>
              <w:t>ktoe</w:t>
            </w:r>
          </w:p>
        </w:tc>
      </w:tr>
      <w:tr w:rsidR="0007671D" w:rsidRPr="00B54580" w14:paraId="4C6FEFD5"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288C564C" w14:textId="77777777" w:rsidR="0007671D" w:rsidRPr="00C34DE9" w:rsidRDefault="0007671D" w:rsidP="790C88FB">
            <w:pPr>
              <w:spacing w:after="60"/>
              <w:rPr>
                <w:rFonts w:ascii="Verdana" w:hAnsi="Verdana"/>
                <w:i/>
                <w:iCs/>
                <w:sz w:val="18"/>
                <w:szCs w:val="18"/>
              </w:rPr>
            </w:pPr>
            <w:r w:rsidRPr="5CB4B133">
              <w:rPr>
                <w:rFonts w:ascii="Verdana" w:hAnsi="Verdana"/>
                <w:b/>
                <w:bCs/>
                <w:sz w:val="18"/>
                <w:szCs w:val="18"/>
              </w:rPr>
              <w:t>Data source</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AD76AD1" w14:textId="77777777" w:rsidR="00B54580" w:rsidRPr="009D51B4" w:rsidRDefault="0007671D" w:rsidP="00544872">
            <w:pPr>
              <w:spacing w:after="60"/>
              <w:rPr>
                <w:rFonts w:ascii="Verdana" w:hAnsi="Verdana"/>
                <w:sz w:val="18"/>
                <w:szCs w:val="18"/>
              </w:rPr>
            </w:pPr>
            <w:r w:rsidRPr="009D51B4">
              <w:rPr>
                <w:rFonts w:ascii="Verdana" w:hAnsi="Verdana"/>
                <w:sz w:val="18"/>
                <w:szCs w:val="18"/>
              </w:rPr>
              <w:t>Eurostat</w:t>
            </w:r>
            <w:r w:rsidR="00B54580" w:rsidRPr="009D51B4">
              <w:rPr>
                <w:rFonts w:ascii="Verdana" w:hAnsi="Verdana"/>
                <w:sz w:val="18"/>
                <w:szCs w:val="18"/>
              </w:rPr>
              <w:t xml:space="preserve"> - Energy statistics</w:t>
            </w:r>
          </w:p>
          <w:p w14:paraId="25299929" w14:textId="59ADE3CF" w:rsidR="00B54580" w:rsidRPr="009D51B4" w:rsidRDefault="00B54580" w:rsidP="00544872">
            <w:pPr>
              <w:spacing w:after="60"/>
              <w:rPr>
                <w:rFonts w:ascii="Verdana" w:hAnsi="Verdana"/>
                <w:sz w:val="18"/>
                <w:szCs w:val="18"/>
              </w:rPr>
            </w:pPr>
            <w:r w:rsidRPr="009D51B4">
              <w:rPr>
                <w:rFonts w:ascii="Verdana" w:hAnsi="Verdana"/>
                <w:sz w:val="18"/>
                <w:szCs w:val="18"/>
              </w:rPr>
              <w:t>Eurostat – Crop statistics</w:t>
            </w:r>
          </w:p>
          <w:p w14:paraId="47E58D70" w14:textId="7F095057" w:rsidR="0007671D" w:rsidRPr="00B54580" w:rsidRDefault="00B54580" w:rsidP="3F4AE0BD">
            <w:pPr>
              <w:spacing w:after="60"/>
              <w:rPr>
                <w:rFonts w:ascii="Verdana" w:hAnsi="Verdana"/>
                <w:b/>
                <w:bCs/>
                <w:sz w:val="18"/>
                <w:szCs w:val="18"/>
              </w:rPr>
            </w:pPr>
            <w:r w:rsidRPr="00B54580">
              <w:rPr>
                <w:rFonts w:ascii="Verdana" w:hAnsi="Verdana"/>
                <w:sz w:val="18"/>
                <w:szCs w:val="18"/>
              </w:rPr>
              <w:t xml:space="preserve">Eurostat – </w:t>
            </w:r>
            <w:r w:rsidR="00917726" w:rsidRPr="00917726">
              <w:rPr>
                <w:rFonts w:ascii="Verdana" w:hAnsi="Verdana"/>
                <w:sz w:val="18"/>
                <w:szCs w:val="18"/>
              </w:rPr>
              <w:t>Food and Agriculture Organization of the United Nations (FAO), Forest Europe (FE)</w:t>
            </w:r>
          </w:p>
        </w:tc>
      </w:tr>
      <w:tr w:rsidR="0007671D" w:rsidRPr="00C34DE9" w14:paraId="5ACE922E"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7D5098AA"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17FDAD3E" w14:textId="235C1923" w:rsidR="0007671D" w:rsidRPr="00C34DE9" w:rsidRDefault="0007671D" w:rsidP="3F4AE0BD">
            <w:pPr>
              <w:pStyle w:val="RD-Indicatortabletext"/>
              <w:spacing w:before="120" w:after="60"/>
              <w:rPr>
                <w:rFonts w:cs="Calibri"/>
                <w:sz w:val="18"/>
                <w:szCs w:val="18"/>
              </w:rPr>
            </w:pPr>
            <w:r w:rsidRPr="3F4AE0BD">
              <w:rPr>
                <w:rStyle w:val="annexBChar"/>
                <w:rFonts w:ascii="Verdana" w:hAnsi="Verdana" w:cs="Calibri"/>
                <w:u w:val="single"/>
              </w:rPr>
              <w:t>Direct use of energy in agriculture and forestry</w:t>
            </w:r>
            <w:r w:rsidRPr="3F4AE0BD">
              <w:rPr>
                <w:rFonts w:cs="Calibri"/>
                <w:sz w:val="18"/>
                <w:szCs w:val="18"/>
              </w:rPr>
              <w:t>: Eurostat – Energy Statistics</w:t>
            </w:r>
            <w:r w:rsidR="00917726" w:rsidRPr="3F4AE0BD">
              <w:rPr>
                <w:rFonts w:cs="Calibri"/>
                <w:sz w:val="18"/>
                <w:szCs w:val="18"/>
              </w:rPr>
              <w:t xml:space="preserve">, </w:t>
            </w:r>
            <w:r w:rsidR="00917726" w:rsidRPr="00917726">
              <w:rPr>
                <w:sz w:val="18"/>
                <w:szCs w:val="18"/>
              </w:rPr>
              <w:t>Simplified energy balances</w:t>
            </w:r>
          </w:p>
          <w:p w14:paraId="79EBE42F" w14:textId="77777777" w:rsidR="0007671D" w:rsidRPr="008B2B0E" w:rsidRDefault="0007671D" w:rsidP="5CB4B133">
            <w:pPr>
              <w:pStyle w:val="RD-Indicatortabletext"/>
              <w:spacing w:after="60"/>
              <w:rPr>
                <w:rFonts w:cs="Calibri"/>
                <w:sz w:val="18"/>
                <w:szCs w:val="18"/>
              </w:rPr>
            </w:pPr>
            <w:r w:rsidRPr="5CB4B133">
              <w:rPr>
                <w:rFonts w:cs="Calibri"/>
                <w:sz w:val="18"/>
                <w:szCs w:val="18"/>
                <w:u w:val="single"/>
              </w:rPr>
              <w:t>TABLE</w:t>
            </w:r>
            <w:r w:rsidRPr="5CB4B133">
              <w:rPr>
                <w:rFonts w:cs="Calibri"/>
                <w:sz w:val="18"/>
                <w:szCs w:val="18"/>
              </w:rPr>
              <w:t xml:space="preserve"> </w:t>
            </w:r>
            <w:r w:rsidR="00007995" w:rsidRPr="5CB4B133">
              <w:rPr>
                <w:rFonts w:cs="Calibri"/>
                <w:sz w:val="18"/>
                <w:szCs w:val="18"/>
              </w:rPr>
              <w:t>[</w:t>
            </w:r>
            <w:hyperlink r:id="rId194" w:history="1">
              <w:r w:rsidR="008B2B0E" w:rsidRPr="008B2B0E">
                <w:rPr>
                  <w:rStyle w:val="Hyperlink"/>
                  <w:rFonts w:cs="Calibri"/>
                  <w:sz w:val="18"/>
                  <w:szCs w:val="18"/>
                </w:rPr>
                <w:t>nrg_bal_s</w:t>
              </w:r>
            </w:hyperlink>
            <w:r w:rsidR="00007995">
              <w:rPr>
                <w:rFonts w:cs="Calibri"/>
                <w:sz w:val="18"/>
                <w:szCs w:val="18"/>
              </w:rPr>
              <w:t>]</w:t>
            </w:r>
            <w:r w:rsidRPr="5CB4B133">
              <w:rPr>
                <w:rFonts w:cs="Calibri"/>
                <w:sz w:val="18"/>
                <w:szCs w:val="18"/>
              </w:rPr>
              <w:t xml:space="preserve"> - </w:t>
            </w:r>
            <w:r w:rsidR="008B2B0E" w:rsidRPr="5CB4B133">
              <w:rPr>
                <w:rFonts w:cs="Calibri"/>
                <w:sz w:val="18"/>
                <w:szCs w:val="18"/>
              </w:rPr>
              <w:t>Standard international energy product classification (SIEC) “Total” – ENERGY BALANCE – “Final consumption – other sectors – agriculture and forestry – energy use”</w:t>
            </w:r>
          </w:p>
          <w:p w14:paraId="699DD5E9" w14:textId="77777777" w:rsidR="0007671D" w:rsidRPr="00C34DE9" w:rsidRDefault="0007671D" w:rsidP="00544872">
            <w:pPr>
              <w:pStyle w:val="RD-Indicatortabletext"/>
              <w:spacing w:after="60"/>
              <w:rPr>
                <w:rFonts w:cs="Calibri"/>
                <w:iCs/>
                <w:sz w:val="18"/>
                <w:szCs w:val="18"/>
              </w:rPr>
            </w:pPr>
          </w:p>
          <w:p w14:paraId="672428C7"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t>Direct use of energy in food processing</w:t>
            </w:r>
            <w:r w:rsidRPr="00C34DE9">
              <w:rPr>
                <w:rFonts w:cs="Calibri"/>
                <w:sz w:val="18"/>
                <w:szCs w:val="18"/>
              </w:rPr>
              <w:t>: Eurostat – Energy Statistics</w:t>
            </w:r>
            <w:r w:rsidR="00917726">
              <w:rPr>
                <w:rFonts w:cs="Calibri"/>
                <w:sz w:val="18"/>
                <w:szCs w:val="18"/>
              </w:rPr>
              <w:t xml:space="preserve">, </w:t>
            </w:r>
            <w:r w:rsidR="00917726" w:rsidRPr="00917726">
              <w:rPr>
                <w:sz w:val="18"/>
                <w:szCs w:val="18"/>
              </w:rPr>
              <w:t>Simplified energy balances</w:t>
            </w:r>
          </w:p>
          <w:p w14:paraId="713D5207" w14:textId="77777777" w:rsidR="0007671D" w:rsidRPr="00C34DE9" w:rsidRDefault="0007671D" w:rsidP="008B2B0E">
            <w:pPr>
              <w:pStyle w:val="RD-Indicatortabletext"/>
              <w:spacing w:after="60"/>
              <w:rPr>
                <w:rFonts w:cs="Calibri"/>
                <w:sz w:val="18"/>
                <w:szCs w:val="18"/>
              </w:rPr>
            </w:pPr>
            <w:r w:rsidRPr="00C34DE9">
              <w:rPr>
                <w:rFonts w:cs="Calibri"/>
                <w:sz w:val="18"/>
                <w:szCs w:val="18"/>
              </w:rPr>
              <w:t xml:space="preserve">TABLE </w:t>
            </w:r>
            <w:r w:rsidR="00007995">
              <w:rPr>
                <w:rFonts w:cs="Calibri"/>
                <w:sz w:val="18"/>
                <w:szCs w:val="18"/>
              </w:rPr>
              <w:t>[</w:t>
            </w:r>
            <w:hyperlink r:id="rId195" w:history="1">
              <w:r w:rsidR="008B2B0E" w:rsidRPr="008B2B0E">
                <w:rPr>
                  <w:rStyle w:val="Hyperlink"/>
                  <w:rFonts w:cs="Calibri"/>
                  <w:sz w:val="18"/>
                  <w:szCs w:val="18"/>
                </w:rPr>
                <w:t>nrg_bal_s</w:t>
              </w:r>
            </w:hyperlink>
            <w:r w:rsidR="00007995">
              <w:rPr>
                <w:rFonts w:cs="Calibri"/>
                <w:sz w:val="18"/>
                <w:szCs w:val="18"/>
              </w:rPr>
              <w:t>]</w:t>
            </w:r>
            <w:r w:rsidRPr="00C34DE9">
              <w:rPr>
                <w:rFonts w:cs="Calibri"/>
                <w:sz w:val="18"/>
                <w:szCs w:val="18"/>
              </w:rPr>
              <w:t xml:space="preserve"> - </w:t>
            </w:r>
            <w:r w:rsidR="008B2B0E" w:rsidRPr="5CB4B133">
              <w:rPr>
                <w:rFonts w:cs="Calibri"/>
                <w:sz w:val="18"/>
                <w:szCs w:val="18"/>
              </w:rPr>
              <w:t>Standard international energy product classification (SIEC) “Total” – ENERGY BALANCE – “</w:t>
            </w:r>
            <w:r w:rsidR="008B2B0E" w:rsidRPr="008B2B0E">
              <w:rPr>
                <w:rFonts w:cs="Calibri"/>
                <w:sz w:val="18"/>
                <w:szCs w:val="18"/>
              </w:rPr>
              <w:t>Final consumption - industry sector - food, beverages and tobacco - energy use</w:t>
            </w:r>
            <w:r w:rsidR="008B2B0E">
              <w:rPr>
                <w:rFonts w:cs="Calibri"/>
                <w:sz w:val="18"/>
                <w:szCs w:val="18"/>
              </w:rPr>
              <w:t>”</w:t>
            </w:r>
          </w:p>
          <w:p w14:paraId="5880BA6C" w14:textId="77777777" w:rsidR="0007671D" w:rsidRPr="00C34DE9" w:rsidRDefault="0007671D" w:rsidP="00544872">
            <w:pPr>
              <w:pStyle w:val="RD-Indicatortabletext"/>
              <w:spacing w:after="60"/>
              <w:rPr>
                <w:rFonts w:cs="Calibri"/>
                <w:sz w:val="18"/>
                <w:szCs w:val="18"/>
              </w:rPr>
            </w:pPr>
          </w:p>
          <w:p w14:paraId="5D7CA004"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t>Final Energy Consumption</w:t>
            </w:r>
            <w:r w:rsidRPr="00C34DE9">
              <w:rPr>
                <w:rFonts w:cs="Calibri"/>
                <w:sz w:val="18"/>
                <w:szCs w:val="18"/>
              </w:rPr>
              <w:t>: Eurostat – Energy Statistics</w:t>
            </w:r>
            <w:r w:rsidR="00917726">
              <w:rPr>
                <w:rFonts w:cs="Calibri"/>
                <w:sz w:val="18"/>
                <w:szCs w:val="18"/>
              </w:rPr>
              <w:t xml:space="preserve">, </w:t>
            </w:r>
            <w:r w:rsidR="00917726" w:rsidRPr="00917726">
              <w:rPr>
                <w:sz w:val="18"/>
                <w:szCs w:val="18"/>
              </w:rPr>
              <w:t>Simplified energy balances</w:t>
            </w:r>
          </w:p>
          <w:p w14:paraId="1113B10B" w14:textId="77777777" w:rsidR="008B2B0E" w:rsidRDefault="0007671D" w:rsidP="00544872">
            <w:pPr>
              <w:pStyle w:val="RD-Indicatortabletext"/>
              <w:spacing w:after="60"/>
              <w:rPr>
                <w:rFonts w:cs="Calibri"/>
                <w:sz w:val="18"/>
                <w:szCs w:val="18"/>
                <w:u w:val="single"/>
              </w:rPr>
            </w:pPr>
            <w:r w:rsidRPr="00C34DE9">
              <w:rPr>
                <w:rFonts w:cs="Calibri"/>
                <w:sz w:val="18"/>
                <w:szCs w:val="18"/>
              </w:rPr>
              <w:t xml:space="preserve">TABLE </w:t>
            </w:r>
            <w:r w:rsidR="00007995">
              <w:rPr>
                <w:rFonts w:cs="Calibri"/>
                <w:sz w:val="18"/>
                <w:szCs w:val="18"/>
              </w:rPr>
              <w:t>[</w:t>
            </w:r>
            <w:hyperlink r:id="rId196" w:history="1">
              <w:r w:rsidR="008B2B0E" w:rsidRPr="008B2B0E">
                <w:rPr>
                  <w:rStyle w:val="Hyperlink"/>
                  <w:rFonts w:cs="Calibri"/>
                  <w:sz w:val="18"/>
                  <w:szCs w:val="18"/>
                </w:rPr>
                <w:t>nrg_bal_s</w:t>
              </w:r>
            </w:hyperlink>
            <w:r w:rsidR="00007995">
              <w:rPr>
                <w:rFonts w:cs="Calibri"/>
                <w:sz w:val="18"/>
                <w:szCs w:val="18"/>
              </w:rPr>
              <w:t>]</w:t>
            </w:r>
            <w:r w:rsidRPr="00C34DE9">
              <w:rPr>
                <w:rFonts w:cs="Calibri"/>
                <w:sz w:val="18"/>
                <w:szCs w:val="18"/>
              </w:rPr>
              <w:t xml:space="preserve"> - </w:t>
            </w:r>
            <w:r w:rsidR="008B2B0E" w:rsidRPr="008B2B0E">
              <w:rPr>
                <w:rFonts w:cs="Calibri"/>
                <w:sz w:val="18"/>
                <w:szCs w:val="18"/>
              </w:rPr>
              <w:t xml:space="preserve">Standard international energy product classification (SIEC) “Total” – ENERGY BALANCE – </w:t>
            </w:r>
            <w:r w:rsidR="008B2B0E">
              <w:rPr>
                <w:rFonts w:cs="Calibri"/>
                <w:sz w:val="18"/>
                <w:szCs w:val="18"/>
              </w:rPr>
              <w:t>“</w:t>
            </w:r>
            <w:r w:rsidR="008B2B0E" w:rsidRPr="008B2B0E">
              <w:rPr>
                <w:rFonts w:cs="Calibri"/>
                <w:sz w:val="18"/>
                <w:szCs w:val="18"/>
              </w:rPr>
              <w:t>Final consumption - energy use</w:t>
            </w:r>
            <w:r w:rsidR="008B2B0E">
              <w:rPr>
                <w:rFonts w:cs="Calibri"/>
                <w:sz w:val="18"/>
                <w:szCs w:val="18"/>
              </w:rPr>
              <w:t>”</w:t>
            </w:r>
            <w:r w:rsidR="008B2B0E" w:rsidRPr="008B2B0E">
              <w:rPr>
                <w:rFonts w:cs="Calibri"/>
                <w:sz w:val="18"/>
                <w:szCs w:val="18"/>
              </w:rPr>
              <w:t xml:space="preserve"> </w:t>
            </w:r>
          </w:p>
          <w:p w14:paraId="3B7BA293" w14:textId="77777777" w:rsidR="008B2B0E" w:rsidRDefault="008B2B0E" w:rsidP="00544872">
            <w:pPr>
              <w:pStyle w:val="RD-Indicatortabletext"/>
              <w:spacing w:after="60"/>
              <w:rPr>
                <w:rFonts w:cs="Calibri"/>
                <w:sz w:val="18"/>
                <w:szCs w:val="18"/>
                <w:u w:val="single"/>
              </w:rPr>
            </w:pPr>
          </w:p>
          <w:p w14:paraId="1118C85B"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lastRenderedPageBreak/>
              <w:t>UAA</w:t>
            </w:r>
            <w:r w:rsidRPr="00C34DE9">
              <w:rPr>
                <w:rFonts w:cs="Calibri"/>
                <w:sz w:val="18"/>
                <w:szCs w:val="18"/>
              </w:rPr>
              <w:t xml:space="preserve">: Eurostat </w:t>
            </w:r>
            <w:r w:rsidR="008B2B0E">
              <w:rPr>
                <w:rFonts w:cs="Calibri"/>
                <w:sz w:val="18"/>
                <w:szCs w:val="18"/>
              </w:rPr>
              <w:t xml:space="preserve">– </w:t>
            </w:r>
            <w:r w:rsidR="00642D2C" w:rsidRPr="00C34DE9">
              <w:rPr>
                <w:rFonts w:cs="Calibri"/>
                <w:sz w:val="18"/>
                <w:szCs w:val="18"/>
              </w:rPr>
              <w:t>Crop statistics (from 2000 onwards</w:t>
            </w:r>
            <w:r w:rsidR="00642D2C">
              <w:rPr>
                <w:rFonts w:cs="Calibri"/>
                <w:sz w:val="18"/>
                <w:szCs w:val="18"/>
              </w:rPr>
              <w:t>)</w:t>
            </w:r>
          </w:p>
          <w:p w14:paraId="7ECB148F" w14:textId="77777777" w:rsidR="0007671D" w:rsidRPr="00C34DE9" w:rsidRDefault="0007671D" w:rsidP="00544872">
            <w:pPr>
              <w:pStyle w:val="RD-Indicatortabletext"/>
              <w:spacing w:after="60"/>
              <w:rPr>
                <w:rFonts w:cs="Calibri"/>
                <w:sz w:val="18"/>
                <w:szCs w:val="18"/>
              </w:rPr>
            </w:pPr>
            <w:r w:rsidRPr="00C34DE9">
              <w:rPr>
                <w:rFonts w:cs="Calibri"/>
                <w:sz w:val="18"/>
                <w:szCs w:val="18"/>
              </w:rPr>
              <w:t xml:space="preserve">TABLE </w:t>
            </w:r>
            <w:r w:rsidR="00007995">
              <w:rPr>
                <w:rFonts w:cs="Calibri"/>
                <w:sz w:val="18"/>
                <w:szCs w:val="18"/>
              </w:rPr>
              <w:t>[</w:t>
            </w:r>
            <w:hyperlink r:id="rId197" w:history="1">
              <w:r w:rsidRPr="00194BF2">
                <w:rPr>
                  <w:rStyle w:val="Hyperlink"/>
                  <w:rFonts w:cs="Calibri"/>
                  <w:sz w:val="18"/>
                  <w:szCs w:val="18"/>
                </w:rPr>
                <w:t>apro_</w:t>
              </w:r>
              <w:r w:rsidR="00B54580" w:rsidRPr="00194BF2">
                <w:rPr>
                  <w:rStyle w:val="Hyperlink"/>
                  <w:rFonts w:cs="Calibri"/>
                  <w:sz w:val="18"/>
                  <w:szCs w:val="18"/>
                </w:rPr>
                <w:t>cpsh1</w:t>
              </w:r>
            </w:hyperlink>
            <w:r w:rsidR="00007995">
              <w:rPr>
                <w:rFonts w:cs="Calibri"/>
                <w:sz w:val="18"/>
                <w:szCs w:val="18"/>
              </w:rPr>
              <w:t>]</w:t>
            </w:r>
            <w:r w:rsidR="00642D2C">
              <w:rPr>
                <w:rFonts w:cs="Calibri"/>
                <w:sz w:val="18"/>
                <w:szCs w:val="18"/>
              </w:rPr>
              <w:t xml:space="preserve"> – Structure of production – “Main area”, CROPS – “UAA”</w:t>
            </w:r>
          </w:p>
          <w:p w14:paraId="4FE0B96B" w14:textId="77777777" w:rsidR="008B2B0E" w:rsidRDefault="008B2B0E" w:rsidP="00544872">
            <w:pPr>
              <w:pStyle w:val="RD-Indicatortabletext"/>
              <w:spacing w:after="60"/>
              <w:rPr>
                <w:rFonts w:cs="Calibri"/>
                <w:sz w:val="18"/>
                <w:szCs w:val="18"/>
                <w:u w:val="single"/>
              </w:rPr>
            </w:pPr>
          </w:p>
          <w:p w14:paraId="7B36274B" w14:textId="77777777" w:rsidR="0007671D" w:rsidRPr="00C34DE9" w:rsidRDefault="0007671D" w:rsidP="00544872">
            <w:pPr>
              <w:pStyle w:val="RD-Indicatortabletext"/>
              <w:spacing w:after="60"/>
              <w:rPr>
                <w:rFonts w:cs="Calibri"/>
                <w:sz w:val="18"/>
                <w:szCs w:val="18"/>
              </w:rPr>
            </w:pPr>
            <w:r w:rsidRPr="00C34DE9">
              <w:rPr>
                <w:rFonts w:cs="Calibri"/>
                <w:sz w:val="18"/>
                <w:szCs w:val="18"/>
                <w:u w:val="single"/>
              </w:rPr>
              <w:t>Forest area</w:t>
            </w:r>
            <w:r w:rsidRPr="00C34DE9">
              <w:rPr>
                <w:rFonts w:cs="Calibri"/>
                <w:sz w:val="18"/>
                <w:szCs w:val="18"/>
              </w:rPr>
              <w:t>: Eurostat</w:t>
            </w:r>
            <w:r w:rsidR="00917726">
              <w:rPr>
                <w:rFonts w:cs="Calibri"/>
                <w:sz w:val="18"/>
                <w:szCs w:val="18"/>
              </w:rPr>
              <w:t xml:space="preserve">, </w:t>
            </w:r>
            <w:r w:rsidR="00917726" w:rsidRPr="00917726">
              <w:rPr>
                <w:sz w:val="18"/>
                <w:szCs w:val="18"/>
              </w:rPr>
              <w:t>Food and Agriculture Organization of the United Nations (FAO), Forest Europe (FE)</w:t>
            </w:r>
          </w:p>
          <w:p w14:paraId="678E57E3" w14:textId="77777777" w:rsidR="0007671D" w:rsidRPr="00C34DE9" w:rsidRDefault="0007671D" w:rsidP="790C88FB">
            <w:pPr>
              <w:pStyle w:val="RD-Indicatortabletext"/>
              <w:spacing w:after="60"/>
              <w:rPr>
                <w:i/>
                <w:iCs/>
                <w:sz w:val="18"/>
                <w:szCs w:val="18"/>
              </w:rPr>
            </w:pPr>
            <w:r w:rsidRPr="00C34DE9">
              <w:rPr>
                <w:rFonts w:cs="Calibri"/>
                <w:sz w:val="18"/>
                <w:szCs w:val="18"/>
              </w:rPr>
              <w:t xml:space="preserve">TABLE </w:t>
            </w:r>
            <w:r w:rsidR="00007995">
              <w:rPr>
                <w:rFonts w:cs="Calibri"/>
                <w:sz w:val="18"/>
                <w:szCs w:val="18"/>
              </w:rPr>
              <w:t>[</w:t>
            </w:r>
            <w:hyperlink r:id="rId198" w:history="1">
              <w:r w:rsidRPr="00C34DE9">
                <w:rPr>
                  <w:rStyle w:val="Hyperlink"/>
                  <w:rFonts w:cs="Calibri"/>
                  <w:sz w:val="18"/>
                  <w:szCs w:val="18"/>
                </w:rPr>
                <w:t>for_area</w:t>
              </w:r>
            </w:hyperlink>
            <w:r w:rsidR="00007995">
              <w:rPr>
                <w:rStyle w:val="Hyperlink"/>
                <w:rFonts w:cs="Calibri"/>
                <w:sz w:val="18"/>
                <w:szCs w:val="18"/>
              </w:rPr>
              <w:t>]</w:t>
            </w:r>
            <w:r w:rsidRPr="00C34DE9">
              <w:rPr>
                <w:rFonts w:cs="Calibri"/>
                <w:sz w:val="18"/>
                <w:szCs w:val="18"/>
              </w:rPr>
              <w:t xml:space="preserve"> - INDIC_FO </w:t>
            </w:r>
            <w:r w:rsidR="00642D2C">
              <w:rPr>
                <w:rFonts w:cs="Calibri"/>
                <w:sz w:val="18"/>
                <w:szCs w:val="18"/>
              </w:rPr>
              <w:t xml:space="preserve">- </w:t>
            </w:r>
            <w:r w:rsidRPr="00C34DE9">
              <w:rPr>
                <w:rFonts w:cs="Calibri"/>
                <w:sz w:val="18"/>
                <w:szCs w:val="18"/>
              </w:rPr>
              <w:t>Forests</w:t>
            </w:r>
            <w:r w:rsidRPr="00C34DE9">
              <w:rPr>
                <w:sz w:val="18"/>
                <w:szCs w:val="18"/>
              </w:rPr>
              <w:t xml:space="preserve"> </w:t>
            </w:r>
          </w:p>
        </w:tc>
      </w:tr>
      <w:tr w:rsidR="0007671D" w:rsidRPr="00C34DE9" w14:paraId="553C8D71"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41CACC12"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lastRenderedPageBreak/>
              <w:t>Data collection / dissemination level</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1C03B4D2" w14:textId="77777777" w:rsidR="0007671D" w:rsidRPr="00C34DE9" w:rsidDel="00F9611E" w:rsidRDefault="00E15F3D" w:rsidP="00544872">
            <w:pPr>
              <w:spacing w:after="60"/>
              <w:rPr>
                <w:rFonts w:ascii="Verdana" w:hAnsi="Verdana"/>
                <w:sz w:val="18"/>
                <w:szCs w:val="18"/>
              </w:rPr>
            </w:pPr>
            <w:r>
              <w:rPr>
                <w:rFonts w:ascii="Verdana" w:hAnsi="Verdana"/>
                <w:sz w:val="18"/>
                <w:szCs w:val="18"/>
              </w:rPr>
              <w:t xml:space="preserve">EU, </w:t>
            </w:r>
            <w:r w:rsidR="0007671D" w:rsidRPr="00C34DE9">
              <w:rPr>
                <w:rFonts w:ascii="Verdana" w:hAnsi="Verdana"/>
                <w:sz w:val="18"/>
                <w:szCs w:val="18"/>
              </w:rPr>
              <w:t>National (NUTS 0).</w:t>
            </w:r>
          </w:p>
        </w:tc>
      </w:tr>
      <w:tr w:rsidR="0007671D" w:rsidRPr="00C34DE9" w14:paraId="01A37547" w14:textId="77777777" w:rsidTr="790C88FB">
        <w:trPr>
          <w:trHeight w:val="691"/>
        </w:trPr>
        <w:tc>
          <w:tcPr>
            <w:tcW w:w="2376" w:type="dxa"/>
            <w:tcBorders>
              <w:top w:val="single" w:sz="4" w:space="0" w:color="auto"/>
              <w:left w:val="single" w:sz="4" w:space="0" w:color="auto"/>
              <w:bottom w:val="single" w:sz="4" w:space="0" w:color="auto"/>
              <w:right w:val="single" w:sz="4" w:space="0" w:color="auto"/>
            </w:tcBorders>
            <w:vAlign w:val="center"/>
          </w:tcPr>
          <w:p w14:paraId="0F0B07E3" w14:textId="77777777" w:rsidR="0007671D" w:rsidRPr="00C34DE9" w:rsidRDefault="0007671D" w:rsidP="790C88FB">
            <w:pPr>
              <w:spacing w:after="60"/>
              <w:rPr>
                <w:rFonts w:ascii="Verdana" w:hAnsi="Verdana"/>
                <w:b/>
                <w:bCs/>
                <w:i/>
                <w:iCs/>
                <w:sz w:val="18"/>
                <w:szCs w:val="18"/>
              </w:rPr>
            </w:pPr>
            <w:r w:rsidRPr="5CB4B133">
              <w:rPr>
                <w:rFonts w:ascii="Verdana" w:hAnsi="Verdana"/>
                <w:b/>
                <w:bCs/>
                <w:sz w:val="18"/>
                <w:szCs w:val="18"/>
              </w:rPr>
              <w:t>Frequency</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53A4F28" w14:textId="77777777" w:rsidR="0007671D" w:rsidRPr="00C34DE9" w:rsidRDefault="0007671D" w:rsidP="00AC6248">
            <w:pPr>
              <w:spacing w:after="60"/>
              <w:rPr>
                <w:rFonts w:ascii="Verdana" w:hAnsi="Verdana"/>
                <w:sz w:val="18"/>
                <w:szCs w:val="18"/>
              </w:rPr>
            </w:pPr>
            <w:r w:rsidRPr="00C34DE9">
              <w:rPr>
                <w:rFonts w:ascii="Verdana" w:eastAsia="Times New Roman" w:hAnsi="Verdana"/>
                <w:sz w:val="18"/>
                <w:szCs w:val="18"/>
              </w:rPr>
              <w:t>Every year for energy statistics. Every 5 years for forest area</w:t>
            </w:r>
            <w:r w:rsidRPr="00C34DE9">
              <w:rPr>
                <w:rFonts w:ascii="Verdana" w:hAnsi="Verdana"/>
                <w:sz w:val="18"/>
                <w:szCs w:val="18"/>
              </w:rPr>
              <w:t xml:space="preserve"> (e.g. </w:t>
            </w:r>
            <w:r w:rsidRPr="00C34DE9">
              <w:rPr>
                <w:rFonts w:ascii="Verdana" w:eastAsia="Times New Roman" w:hAnsi="Verdana"/>
                <w:sz w:val="18"/>
                <w:szCs w:val="18"/>
              </w:rPr>
              <w:t>2010, 2015).</w:t>
            </w:r>
            <w:r w:rsidRPr="00C34DE9" w:rsidDel="00AC1528">
              <w:rPr>
                <w:rFonts w:ascii="Verdana" w:hAnsi="Verdana"/>
                <w:sz w:val="18"/>
                <w:szCs w:val="18"/>
              </w:rPr>
              <w:t xml:space="preserve"> </w:t>
            </w:r>
          </w:p>
          <w:p w14:paraId="18FB7425" w14:textId="77777777" w:rsidR="0007671D" w:rsidRPr="00C34DE9" w:rsidRDefault="0007671D" w:rsidP="0055572D">
            <w:pPr>
              <w:spacing w:after="60"/>
              <w:rPr>
                <w:rFonts w:ascii="Verdana" w:eastAsia="Times New Roman" w:hAnsi="Verdana"/>
                <w:sz w:val="18"/>
                <w:szCs w:val="18"/>
              </w:rPr>
            </w:pPr>
            <w:r w:rsidRPr="00C34DE9">
              <w:rPr>
                <w:rFonts w:ascii="Verdana" w:eastAsia="Times New Roman" w:hAnsi="Verdana"/>
                <w:sz w:val="18"/>
                <w:szCs w:val="18"/>
              </w:rPr>
              <w:t xml:space="preserve">Every year for </w:t>
            </w:r>
            <w:r w:rsidRPr="00C34DE9">
              <w:rPr>
                <w:rFonts w:ascii="Verdana" w:hAnsi="Verdana"/>
                <w:sz w:val="18"/>
                <w:szCs w:val="18"/>
              </w:rPr>
              <w:t xml:space="preserve">UAA crop statistics.  </w:t>
            </w:r>
          </w:p>
        </w:tc>
      </w:tr>
      <w:tr w:rsidR="0007671D" w:rsidRPr="00C34DE9" w14:paraId="375F8F68" w14:textId="77777777" w:rsidTr="790C88FB">
        <w:trPr>
          <w:trHeight w:val="518"/>
        </w:trPr>
        <w:tc>
          <w:tcPr>
            <w:tcW w:w="2376" w:type="dxa"/>
            <w:tcBorders>
              <w:top w:val="single" w:sz="4" w:space="0" w:color="auto"/>
              <w:left w:val="single" w:sz="4" w:space="0" w:color="auto"/>
              <w:bottom w:val="single" w:sz="4" w:space="0" w:color="auto"/>
              <w:right w:val="single" w:sz="4" w:space="0" w:color="auto"/>
            </w:tcBorders>
            <w:vAlign w:val="center"/>
          </w:tcPr>
          <w:p w14:paraId="76D6E35B" w14:textId="77777777" w:rsidR="0007671D"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DD0D9A" w14:textId="77777777" w:rsidR="0007671D" w:rsidRPr="00C34DE9" w:rsidRDefault="0007671D" w:rsidP="00544872">
            <w:pPr>
              <w:spacing w:after="60"/>
              <w:rPr>
                <w:rFonts w:ascii="Verdana" w:hAnsi="Verdana"/>
                <w:sz w:val="18"/>
                <w:szCs w:val="18"/>
                <w:lang w:val="en-US"/>
              </w:rPr>
            </w:pPr>
            <w:r w:rsidRPr="00C34DE9">
              <w:rPr>
                <w:rFonts w:ascii="Verdana" w:hAnsi="Verdana"/>
                <w:sz w:val="18"/>
                <w:szCs w:val="18"/>
                <w:lang w:val="en-US"/>
              </w:rPr>
              <w:t>2 years</w:t>
            </w:r>
          </w:p>
        </w:tc>
      </w:tr>
      <w:tr w:rsidR="0007671D" w:rsidRPr="00C34DE9" w14:paraId="0401C644" w14:textId="77777777" w:rsidTr="790C88FB">
        <w:tc>
          <w:tcPr>
            <w:tcW w:w="2376" w:type="dxa"/>
            <w:tcBorders>
              <w:top w:val="single" w:sz="4" w:space="0" w:color="auto"/>
              <w:left w:val="single" w:sz="4" w:space="0" w:color="auto"/>
              <w:bottom w:val="single" w:sz="4" w:space="0" w:color="auto"/>
              <w:right w:val="single" w:sz="4" w:space="0" w:color="auto"/>
            </w:tcBorders>
            <w:vAlign w:val="center"/>
          </w:tcPr>
          <w:p w14:paraId="680D670A" w14:textId="77777777" w:rsidR="0007671D" w:rsidRPr="00C34DE9" w:rsidRDefault="0007671D" w:rsidP="5CB4B133">
            <w:pPr>
              <w:spacing w:after="60"/>
              <w:rPr>
                <w:rFonts w:ascii="Verdana" w:hAnsi="Verdana"/>
                <w:b/>
                <w:bCs/>
                <w:sz w:val="18"/>
                <w:szCs w:val="18"/>
              </w:rPr>
            </w:pPr>
            <w:r w:rsidRPr="5CB4B133">
              <w:rPr>
                <w:rFonts w:ascii="Verdana" w:hAnsi="Verdana"/>
                <w:b/>
                <w:bCs/>
                <w:sz w:val="18"/>
                <w:szCs w:val="18"/>
              </w:rPr>
              <w:t>Comments/caveats</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6536D7CD" w14:textId="1F3D0D30" w:rsidR="0007671D" w:rsidRPr="00C34DE9" w:rsidRDefault="0007671D" w:rsidP="00544872">
            <w:pPr>
              <w:spacing w:after="60"/>
              <w:jc w:val="both"/>
              <w:rPr>
                <w:rFonts w:ascii="Verdana" w:hAnsi="Verdana" w:cs="Calibri"/>
                <w:sz w:val="18"/>
                <w:szCs w:val="18"/>
              </w:rPr>
            </w:pPr>
          </w:p>
        </w:tc>
      </w:tr>
    </w:tbl>
    <w:p w14:paraId="531FDCAB" w14:textId="77777777" w:rsidR="003C3153" w:rsidRPr="00C34DE9" w:rsidRDefault="003C3153" w:rsidP="00544872">
      <w:pPr>
        <w:spacing w:after="60"/>
        <w:rPr>
          <w:rFonts w:ascii="Verdana" w:hAnsi="Verdana"/>
          <w:sz w:val="18"/>
          <w:szCs w:val="18"/>
        </w:rPr>
      </w:pPr>
    </w:p>
    <w:p w14:paraId="08616E48" w14:textId="77777777" w:rsidR="00935FDB" w:rsidRPr="00C34DE9" w:rsidRDefault="003C3153" w:rsidP="003C3153">
      <w:r w:rsidRPr="00C34DE9">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935FDB" w:rsidRPr="00C34DE9" w14:paraId="515BE87E" w14:textId="77777777" w:rsidTr="240ABBB4">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1CD071B0" w14:textId="38CE8B51" w:rsidR="00935FDB" w:rsidRPr="00C34DE9" w:rsidRDefault="00935FDB" w:rsidP="00897B33">
            <w:pPr>
              <w:spacing w:after="60"/>
              <w:rPr>
                <w:rFonts w:ascii="Verdana" w:hAnsi="Verdana"/>
                <w:b/>
                <w:bCs/>
                <w:sz w:val="18"/>
                <w:szCs w:val="18"/>
              </w:rPr>
            </w:pPr>
            <w:bookmarkStart w:id="67" w:name="C43"/>
            <w:r w:rsidRPr="5CB4B133">
              <w:rPr>
                <w:rFonts w:ascii="Verdana" w:hAnsi="Verdana"/>
                <w:b/>
                <w:bCs/>
                <w:smallCaps/>
                <w:sz w:val="18"/>
                <w:szCs w:val="18"/>
              </w:rPr>
              <w:lastRenderedPageBreak/>
              <w:t>Indicator C. 4</w:t>
            </w:r>
            <w:r w:rsidR="00897B33">
              <w:rPr>
                <w:rFonts w:ascii="Verdana" w:hAnsi="Verdana"/>
                <w:b/>
                <w:bCs/>
                <w:smallCaps/>
                <w:sz w:val="18"/>
                <w:szCs w:val="18"/>
              </w:rPr>
              <w:t>4</w:t>
            </w:r>
            <w:bookmarkEnd w:id="67"/>
          </w:p>
        </w:tc>
        <w:tc>
          <w:tcPr>
            <w:tcW w:w="7490" w:type="dxa"/>
            <w:tcBorders>
              <w:top w:val="single" w:sz="4" w:space="0" w:color="auto"/>
              <w:left w:val="single" w:sz="4" w:space="0" w:color="auto"/>
              <w:bottom w:val="single" w:sz="4" w:space="0" w:color="auto"/>
              <w:right w:val="single" w:sz="4" w:space="0" w:color="auto"/>
            </w:tcBorders>
            <w:shd w:val="clear" w:color="auto" w:fill="00B0F0"/>
          </w:tcPr>
          <w:p w14:paraId="03A622E4" w14:textId="7FF98D59" w:rsidR="00935FDB" w:rsidRPr="00D1251C" w:rsidRDefault="00935FDB" w:rsidP="3B80D187">
            <w:pPr>
              <w:spacing w:after="60"/>
              <w:rPr>
                <w:rFonts w:ascii="Verdana" w:hAnsi="Verdana"/>
                <w:b/>
                <w:bCs/>
                <w:caps/>
                <w:sz w:val="18"/>
                <w:szCs w:val="18"/>
              </w:rPr>
            </w:pPr>
            <w:bookmarkStart w:id="68" w:name="I10"/>
            <w:r w:rsidRPr="3B80D187">
              <w:rPr>
                <w:rFonts w:ascii="Verdana" w:hAnsi="Verdana"/>
                <w:b/>
                <w:bCs/>
                <w:sz w:val="18"/>
                <w:szCs w:val="18"/>
              </w:rPr>
              <w:t>Indicator I.10</w:t>
            </w:r>
            <w:bookmarkEnd w:id="68"/>
            <w:r w:rsidRPr="3B80D187">
              <w:rPr>
                <w:rFonts w:ascii="Verdana" w:hAnsi="Verdana"/>
                <w:b/>
                <w:bCs/>
                <w:sz w:val="18"/>
                <w:szCs w:val="18"/>
              </w:rPr>
              <w:t xml:space="preserve"> Contribut</w:t>
            </w:r>
            <w:r w:rsidR="00544397" w:rsidRPr="3B80D187">
              <w:rPr>
                <w:rFonts w:ascii="Verdana" w:hAnsi="Verdana"/>
                <w:b/>
                <w:bCs/>
                <w:sz w:val="18"/>
                <w:szCs w:val="18"/>
              </w:rPr>
              <w:t>ing</w:t>
            </w:r>
            <w:r w:rsidRPr="3B80D187">
              <w:rPr>
                <w:rFonts w:ascii="Verdana" w:hAnsi="Verdana"/>
                <w:b/>
                <w:bCs/>
                <w:sz w:val="18"/>
                <w:szCs w:val="18"/>
              </w:rPr>
              <w:t xml:space="preserve"> to climate change mitigation: </w:t>
            </w:r>
          </w:p>
          <w:p w14:paraId="17952FEA" w14:textId="75185E82" w:rsidR="00935FDB" w:rsidRPr="003D0EEF" w:rsidRDefault="00544397" w:rsidP="00B3636B">
            <w:pPr>
              <w:spacing w:after="60"/>
              <w:rPr>
                <w:rFonts w:ascii="Verdana" w:hAnsi="Verdana"/>
                <w:caps/>
                <w:sz w:val="18"/>
                <w:szCs w:val="18"/>
              </w:rPr>
            </w:pPr>
            <w:r>
              <w:rPr>
                <w:rFonts w:ascii="Verdana" w:hAnsi="Verdana"/>
                <w:sz w:val="18"/>
                <w:szCs w:val="18"/>
              </w:rPr>
              <w:t>Greenhouse gas</w:t>
            </w:r>
            <w:r w:rsidR="00935FDB" w:rsidRPr="003D0EEF">
              <w:rPr>
                <w:rFonts w:ascii="Verdana" w:hAnsi="Verdana"/>
                <w:sz w:val="18"/>
                <w:szCs w:val="18"/>
              </w:rPr>
              <w:t xml:space="preserve"> emissions from agriculture</w:t>
            </w:r>
          </w:p>
        </w:tc>
      </w:tr>
      <w:tr w:rsidR="00935FDB" w:rsidRPr="00C34DE9" w14:paraId="0A2AC454" w14:textId="77777777" w:rsidTr="240ABBB4">
        <w:trPr>
          <w:trHeight w:val="4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699B66F"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11F8A04F" w14:textId="53CC4EFA" w:rsidR="00935FDB" w:rsidRPr="00D1251C" w:rsidRDefault="009D16FF" w:rsidP="3F4AE0BD">
            <w:pPr>
              <w:spacing w:after="60"/>
              <w:jc w:val="center"/>
              <w:rPr>
                <w:rFonts w:ascii="Verdana" w:hAnsi="Verdana"/>
                <w:b/>
                <w:bCs/>
                <w:sz w:val="18"/>
                <w:szCs w:val="18"/>
              </w:rPr>
            </w:pPr>
            <w:r w:rsidRPr="3F4AE0BD">
              <w:rPr>
                <w:rFonts w:ascii="Verdana" w:hAnsi="Verdana"/>
                <w:b/>
                <w:bCs/>
                <w:sz w:val="18"/>
                <w:szCs w:val="18"/>
              </w:rPr>
              <w:t>Greenhouse gas emissions</w:t>
            </w:r>
            <w:r w:rsidR="00EC026F" w:rsidRPr="3F4AE0BD">
              <w:rPr>
                <w:rFonts w:ascii="Verdana" w:hAnsi="Verdana"/>
                <w:b/>
                <w:bCs/>
                <w:sz w:val="18"/>
                <w:szCs w:val="18"/>
              </w:rPr>
              <w:t xml:space="preserve"> from agriculture</w:t>
            </w:r>
            <w:r w:rsidRPr="3F4AE0BD">
              <w:rPr>
                <w:rFonts w:ascii="Verdana" w:hAnsi="Verdana"/>
                <w:b/>
                <w:bCs/>
                <w:sz w:val="18"/>
                <w:szCs w:val="18"/>
              </w:rPr>
              <w:t xml:space="preserve"> </w:t>
            </w:r>
          </w:p>
        </w:tc>
      </w:tr>
      <w:tr w:rsidR="00935FDB" w:rsidRPr="00C34DE9" w14:paraId="18BABDFC" w14:textId="77777777" w:rsidTr="240ABBB4">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25BA84E3"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F88BF0B" w14:textId="42EE8EEC"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This indicator is composed of </w:t>
            </w:r>
            <w:r w:rsidR="00E95FD2">
              <w:rPr>
                <w:rFonts w:ascii="Verdana" w:eastAsia="Times New Roman" w:hAnsi="Verdana"/>
                <w:sz w:val="18"/>
                <w:szCs w:val="18"/>
              </w:rPr>
              <w:t>seven</w:t>
            </w:r>
            <w:r w:rsidR="009674FC">
              <w:rPr>
                <w:rFonts w:ascii="Verdana" w:eastAsia="Times New Roman" w:hAnsi="Verdana"/>
                <w:sz w:val="18"/>
                <w:szCs w:val="18"/>
              </w:rPr>
              <w:t xml:space="preserve"> </w:t>
            </w:r>
            <w:r w:rsidR="00DD478B">
              <w:rPr>
                <w:rFonts w:ascii="Verdana" w:eastAsia="Times New Roman" w:hAnsi="Verdana"/>
                <w:sz w:val="18"/>
                <w:szCs w:val="18"/>
              </w:rPr>
              <w:t>specific indicators</w:t>
            </w:r>
            <w:r w:rsidRPr="00C34DE9">
              <w:rPr>
                <w:rFonts w:ascii="Verdana" w:eastAsia="Times New Roman" w:hAnsi="Verdana"/>
                <w:sz w:val="18"/>
                <w:szCs w:val="18"/>
              </w:rPr>
              <w:t xml:space="preserve"> presenting anthropogenic emissions </w:t>
            </w:r>
            <w:r w:rsidR="00263438">
              <w:rPr>
                <w:rFonts w:ascii="Verdana" w:eastAsia="Times New Roman" w:hAnsi="Verdana"/>
                <w:sz w:val="18"/>
                <w:szCs w:val="18"/>
              </w:rPr>
              <w:t xml:space="preserve">and removals </w:t>
            </w:r>
            <w:r w:rsidRPr="00C34DE9">
              <w:rPr>
                <w:rFonts w:ascii="Verdana" w:eastAsia="Times New Roman" w:hAnsi="Verdana"/>
                <w:sz w:val="18"/>
                <w:szCs w:val="18"/>
              </w:rPr>
              <w:t>from agriculture</w:t>
            </w:r>
            <w:r w:rsidR="00F11697">
              <w:rPr>
                <w:rFonts w:ascii="Verdana" w:eastAsia="Times New Roman" w:hAnsi="Verdana"/>
                <w:sz w:val="18"/>
                <w:szCs w:val="18"/>
              </w:rPr>
              <w:t xml:space="preserve"> and land use</w:t>
            </w:r>
            <w:r w:rsidRPr="00C34DE9">
              <w:rPr>
                <w:rFonts w:ascii="Verdana" w:eastAsia="Times New Roman" w:hAnsi="Verdana"/>
                <w:sz w:val="18"/>
                <w:szCs w:val="18"/>
              </w:rPr>
              <w:t>.</w:t>
            </w:r>
          </w:p>
          <w:p w14:paraId="3C160D3F" w14:textId="77777777" w:rsidR="00935FDB" w:rsidRPr="00C34DE9" w:rsidRDefault="00935FDB" w:rsidP="00801053">
            <w:pPr>
              <w:spacing w:after="0" w:line="240" w:lineRule="auto"/>
              <w:jc w:val="both"/>
              <w:rPr>
                <w:rFonts w:ascii="Verdana" w:eastAsia="Times New Roman" w:hAnsi="Verdana"/>
                <w:sz w:val="18"/>
                <w:szCs w:val="18"/>
              </w:rPr>
            </w:pPr>
          </w:p>
          <w:p w14:paraId="3506F44B" w14:textId="1D8E7212" w:rsidR="00935FDB" w:rsidRPr="007D3E04" w:rsidRDefault="00935FDB" w:rsidP="5CB4B133">
            <w:pPr>
              <w:pStyle w:val="ListParagraph"/>
              <w:numPr>
                <w:ilvl w:val="0"/>
                <w:numId w:val="70"/>
              </w:numPr>
              <w:shd w:val="clear" w:color="auto" w:fill="00B0F0"/>
              <w:spacing w:after="0" w:line="240" w:lineRule="auto"/>
              <w:jc w:val="both"/>
              <w:rPr>
                <w:rFonts w:ascii="Verdana" w:eastAsia="Times New Roman" w:hAnsi="Verdana"/>
                <w:b/>
                <w:bCs/>
                <w:sz w:val="18"/>
                <w:szCs w:val="18"/>
              </w:rPr>
            </w:pPr>
            <w:r w:rsidRPr="5CB4B133">
              <w:rPr>
                <w:rFonts w:ascii="Verdana" w:eastAsia="Times New Roman" w:hAnsi="Verdana"/>
                <w:b/>
                <w:bCs/>
                <w:sz w:val="18"/>
                <w:szCs w:val="18"/>
                <w:shd w:val="clear" w:color="auto" w:fill="00B0F0"/>
              </w:rPr>
              <w:t>GHG emissions from agriculture</w:t>
            </w:r>
          </w:p>
          <w:p w14:paraId="66D6A2E2" w14:textId="77777777"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Aggregated annual emissions of methane (CH4) and nitrous oxide (N2O) from </w:t>
            </w:r>
          </w:p>
          <w:p w14:paraId="5333966F" w14:textId="77777777"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agriculture reported by Member States under the</w:t>
            </w:r>
            <w:r w:rsidR="00F11697">
              <w:rPr>
                <w:rFonts w:ascii="Verdana" w:eastAsia="Times New Roman" w:hAnsi="Verdana"/>
                <w:sz w:val="18"/>
                <w:szCs w:val="18"/>
              </w:rPr>
              <w:t xml:space="preserve"> IPCC</w:t>
            </w:r>
            <w:r w:rsidRPr="00C34DE9">
              <w:rPr>
                <w:rFonts w:ascii="Verdana" w:eastAsia="Times New Roman" w:hAnsi="Verdana"/>
                <w:sz w:val="18"/>
                <w:szCs w:val="18"/>
              </w:rPr>
              <w:t xml:space="preserve"> 'Agriculture' sector </w:t>
            </w:r>
            <w:r>
              <w:rPr>
                <w:rFonts w:ascii="Verdana" w:eastAsia="Times New Roman" w:hAnsi="Verdana"/>
                <w:sz w:val="18"/>
                <w:szCs w:val="18"/>
              </w:rPr>
              <w:t>(</w:t>
            </w:r>
            <w:r>
              <w:t xml:space="preserve">Sector 3 Agriculture non-CO2) </w:t>
            </w:r>
            <w:r w:rsidR="00F11697">
              <w:rPr>
                <w:rFonts w:ascii="Verdana" w:eastAsia="Times New Roman" w:hAnsi="Verdana"/>
                <w:sz w:val="18"/>
                <w:szCs w:val="18"/>
              </w:rPr>
              <w:t>in</w:t>
            </w:r>
            <w:r w:rsidRPr="00C34DE9">
              <w:rPr>
                <w:rFonts w:ascii="Verdana" w:eastAsia="Times New Roman" w:hAnsi="Verdana"/>
                <w:sz w:val="18"/>
                <w:szCs w:val="18"/>
              </w:rPr>
              <w:t xml:space="preserve"> the national greenhouse gas inventory submitted to the United Nations Framework Convention on Climate Change.</w:t>
            </w:r>
          </w:p>
          <w:p w14:paraId="7D1F1476" w14:textId="77777777" w:rsidR="00935FDB" w:rsidRPr="00C34DE9"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That sector includes the following sources of greenhouse gases from agriculture: </w:t>
            </w:r>
          </w:p>
          <w:p w14:paraId="2C60E18A"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enteric fermentation (CH4);</w:t>
            </w:r>
          </w:p>
          <w:p w14:paraId="1BB9298D"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manure management (CH4, N2O);</w:t>
            </w:r>
          </w:p>
          <w:p w14:paraId="297BC577"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rice cultivation (CH4);</w:t>
            </w:r>
          </w:p>
          <w:p w14:paraId="0C532566" w14:textId="77777777" w:rsidR="00935FDB" w:rsidRPr="00C34DE9" w:rsidRDefault="00935FDB" w:rsidP="00801053">
            <w:pPr>
              <w:numPr>
                <w:ilvl w:val="0"/>
                <w:numId w:val="43"/>
              </w:numPr>
              <w:spacing w:after="0" w:line="240" w:lineRule="auto"/>
              <w:jc w:val="both"/>
              <w:rPr>
                <w:rFonts w:ascii="Verdana" w:eastAsia="Times New Roman" w:hAnsi="Verdana"/>
                <w:sz w:val="18"/>
                <w:szCs w:val="18"/>
              </w:rPr>
            </w:pPr>
            <w:r w:rsidRPr="00C34DE9">
              <w:rPr>
                <w:rFonts w:ascii="Verdana" w:eastAsia="Times New Roman" w:hAnsi="Verdana"/>
                <w:sz w:val="18"/>
                <w:szCs w:val="18"/>
              </w:rPr>
              <w:t>agricultural soil management (CH4, N2O</w:t>
            </w:r>
            <w:r w:rsidR="00161B7C">
              <w:rPr>
                <w:rFonts w:ascii="Verdana" w:eastAsia="Times New Roman" w:hAnsi="Verdana"/>
                <w:sz w:val="18"/>
                <w:szCs w:val="18"/>
              </w:rPr>
              <w:t>, CO2</w:t>
            </w:r>
            <w:r w:rsidR="00161B7C" w:rsidRPr="00C34DE9">
              <w:rPr>
                <w:rFonts w:ascii="Verdana" w:eastAsia="Times New Roman" w:hAnsi="Verdana"/>
                <w:sz w:val="18"/>
                <w:szCs w:val="18"/>
              </w:rPr>
              <w:t>)</w:t>
            </w:r>
            <w:r w:rsidR="00161B7C">
              <w:rPr>
                <w:rFonts w:ascii="Verdana" w:eastAsia="Times New Roman" w:hAnsi="Verdana"/>
                <w:sz w:val="18"/>
                <w:szCs w:val="18"/>
              </w:rPr>
              <w:t>, including burning of field residues, liming and application of C-containing fertili</w:t>
            </w:r>
            <w:r w:rsidR="00D07B30">
              <w:rPr>
                <w:rFonts w:ascii="Verdana" w:eastAsia="Times New Roman" w:hAnsi="Verdana"/>
                <w:sz w:val="18"/>
                <w:szCs w:val="18"/>
              </w:rPr>
              <w:t>s</w:t>
            </w:r>
            <w:r w:rsidR="00161B7C">
              <w:rPr>
                <w:rFonts w:ascii="Verdana" w:eastAsia="Times New Roman" w:hAnsi="Verdana"/>
                <w:sz w:val="18"/>
                <w:szCs w:val="18"/>
              </w:rPr>
              <w:t>ers</w:t>
            </w:r>
            <w:r w:rsidRPr="00C34DE9">
              <w:rPr>
                <w:rFonts w:ascii="Verdana" w:eastAsia="Times New Roman" w:hAnsi="Verdana"/>
                <w:sz w:val="18"/>
                <w:szCs w:val="18"/>
              </w:rPr>
              <w:t xml:space="preserve">. </w:t>
            </w:r>
          </w:p>
          <w:p w14:paraId="6CCE7240" w14:textId="77777777" w:rsidR="00935FDB" w:rsidRDefault="00935FDB" w:rsidP="00801053">
            <w:pPr>
              <w:spacing w:after="0" w:line="240" w:lineRule="auto"/>
              <w:jc w:val="both"/>
              <w:rPr>
                <w:rFonts w:ascii="Verdana" w:eastAsia="Times New Roman" w:hAnsi="Verdana"/>
                <w:sz w:val="18"/>
                <w:szCs w:val="18"/>
              </w:rPr>
            </w:pPr>
          </w:p>
          <w:p w14:paraId="4701E3EE" w14:textId="77777777" w:rsidR="00F11697" w:rsidRPr="00C34DE9" w:rsidRDefault="00F11697" w:rsidP="00801053">
            <w:pPr>
              <w:spacing w:after="0" w:line="240" w:lineRule="auto"/>
              <w:jc w:val="both"/>
              <w:rPr>
                <w:rFonts w:ascii="Verdana" w:eastAsia="Times New Roman" w:hAnsi="Verdana"/>
                <w:sz w:val="18"/>
                <w:szCs w:val="18"/>
              </w:rPr>
            </w:pPr>
            <w:r>
              <w:rPr>
                <w:rFonts w:ascii="Verdana" w:eastAsia="Times New Roman" w:hAnsi="Verdana"/>
                <w:sz w:val="18"/>
                <w:szCs w:val="18"/>
              </w:rPr>
              <w:t>These emissions are part of the binding emission reduction targets laid out under the Effort Sharing Regulation (Regulation 2018/842), and reporting on these emissions is mandatory under the Governance Regulation (Regulation 2018/1999).</w:t>
            </w:r>
          </w:p>
          <w:p w14:paraId="2E9203D8" w14:textId="77777777" w:rsidR="00935FDB" w:rsidRDefault="00935FDB" w:rsidP="00801053">
            <w:pPr>
              <w:spacing w:after="0" w:line="240" w:lineRule="auto"/>
              <w:jc w:val="both"/>
              <w:rPr>
                <w:rFonts w:ascii="Verdana" w:eastAsia="Times New Roman" w:hAnsi="Verdana"/>
                <w:sz w:val="18"/>
                <w:szCs w:val="18"/>
              </w:rPr>
            </w:pPr>
          </w:p>
          <w:p w14:paraId="32AA3BE7" w14:textId="77777777" w:rsidR="003B48A5" w:rsidRPr="003B48A5" w:rsidRDefault="003B48A5" w:rsidP="00665997">
            <w:pPr>
              <w:pStyle w:val="ListParagraph"/>
              <w:numPr>
                <w:ilvl w:val="0"/>
                <w:numId w:val="70"/>
              </w:numPr>
              <w:spacing w:after="0" w:line="240" w:lineRule="auto"/>
              <w:jc w:val="both"/>
              <w:rPr>
                <w:rFonts w:ascii="Verdana" w:eastAsia="Times New Roman" w:hAnsi="Verdana"/>
                <w:b/>
                <w:bCs/>
                <w:sz w:val="18"/>
                <w:szCs w:val="18"/>
              </w:rPr>
            </w:pPr>
            <w:r w:rsidRPr="3F4AE0BD">
              <w:rPr>
                <w:rFonts w:ascii="Verdana" w:eastAsia="Times New Roman" w:hAnsi="Verdana"/>
                <w:b/>
                <w:bCs/>
                <w:sz w:val="18"/>
                <w:szCs w:val="18"/>
              </w:rPr>
              <w:t>Share of</w:t>
            </w:r>
            <w:r w:rsidRPr="003B48A5">
              <w:rPr>
                <w:rFonts w:ascii="Verdana" w:eastAsia="Times New Roman" w:hAnsi="Verdana"/>
                <w:sz w:val="18"/>
                <w:szCs w:val="18"/>
              </w:rPr>
              <w:t xml:space="preserve"> </w:t>
            </w:r>
            <w:r w:rsidRPr="3F4AE0BD">
              <w:rPr>
                <w:rFonts w:ascii="Verdana" w:eastAsia="Times New Roman" w:hAnsi="Verdana"/>
                <w:b/>
                <w:bCs/>
                <w:sz w:val="18"/>
                <w:szCs w:val="18"/>
              </w:rPr>
              <w:t>GHG emissions from agriculture in total GHG emissions</w:t>
            </w:r>
          </w:p>
          <w:p w14:paraId="47C8DCDE" w14:textId="77777777" w:rsidR="003B48A5" w:rsidRPr="00C53089" w:rsidRDefault="003B48A5" w:rsidP="00801053">
            <w:pPr>
              <w:spacing w:after="0" w:line="240" w:lineRule="auto"/>
              <w:jc w:val="both"/>
              <w:rPr>
                <w:rFonts w:ascii="Verdana" w:eastAsia="Times New Roman" w:hAnsi="Verdana"/>
                <w:sz w:val="18"/>
                <w:szCs w:val="18"/>
              </w:rPr>
            </w:pPr>
          </w:p>
          <w:p w14:paraId="7FCE0337" w14:textId="26A2916D" w:rsidR="00935FDB" w:rsidRPr="007D3E04" w:rsidRDefault="00935FDB" w:rsidP="5CB4B133">
            <w:pPr>
              <w:pStyle w:val="ListParagraph"/>
              <w:numPr>
                <w:ilvl w:val="0"/>
                <w:numId w:val="70"/>
              </w:numPr>
              <w:spacing w:after="0" w:line="240" w:lineRule="auto"/>
              <w:jc w:val="both"/>
              <w:rPr>
                <w:rFonts w:ascii="Verdana" w:eastAsia="Times New Roman" w:hAnsi="Verdana"/>
                <w:b/>
                <w:bCs/>
                <w:sz w:val="18"/>
                <w:szCs w:val="18"/>
              </w:rPr>
            </w:pPr>
            <w:r w:rsidRPr="5CB4B133">
              <w:rPr>
                <w:rFonts w:ascii="Verdana" w:eastAsia="Times New Roman" w:hAnsi="Verdana"/>
                <w:b/>
                <w:bCs/>
                <w:sz w:val="18"/>
                <w:szCs w:val="18"/>
              </w:rPr>
              <w:t xml:space="preserve">GHG emissions and removals </w:t>
            </w:r>
            <w:r w:rsidR="00F11697" w:rsidRPr="5CB4B133">
              <w:rPr>
                <w:rFonts w:ascii="Verdana" w:eastAsia="Times New Roman" w:hAnsi="Verdana"/>
                <w:b/>
                <w:bCs/>
                <w:sz w:val="18"/>
                <w:szCs w:val="18"/>
              </w:rPr>
              <w:t>from LULUCF</w:t>
            </w:r>
          </w:p>
          <w:p w14:paraId="1D5E5BA1" w14:textId="77777777" w:rsidR="00935FDB" w:rsidRDefault="00935FDB" w:rsidP="00801053">
            <w:pPr>
              <w:spacing w:after="0" w:line="240" w:lineRule="auto"/>
              <w:jc w:val="both"/>
              <w:rPr>
                <w:rFonts w:ascii="Verdana" w:eastAsia="Times New Roman" w:hAnsi="Verdana"/>
                <w:sz w:val="18"/>
                <w:szCs w:val="18"/>
              </w:rPr>
            </w:pPr>
            <w:r w:rsidRPr="00C53089">
              <w:rPr>
                <w:rFonts w:ascii="Verdana" w:eastAsia="Times New Roman" w:hAnsi="Verdana"/>
                <w:sz w:val="18"/>
                <w:szCs w:val="18"/>
              </w:rPr>
              <w:t>Aggregated annual emissions and removals of carbon dioxide (CO2)</w:t>
            </w:r>
            <w:r>
              <w:rPr>
                <w:rFonts w:ascii="Verdana" w:eastAsia="Times New Roman" w:hAnsi="Verdana"/>
                <w:sz w:val="18"/>
                <w:szCs w:val="18"/>
              </w:rPr>
              <w:t xml:space="preserve">, </w:t>
            </w:r>
            <w:r w:rsidR="00F11697">
              <w:rPr>
                <w:rFonts w:ascii="Verdana" w:eastAsia="Times New Roman" w:hAnsi="Verdana"/>
                <w:sz w:val="18"/>
                <w:szCs w:val="18"/>
              </w:rPr>
              <w:t xml:space="preserve">and emissions of </w:t>
            </w:r>
            <w:r>
              <w:rPr>
                <w:rFonts w:ascii="Verdana" w:eastAsia="Times New Roman" w:hAnsi="Verdana"/>
                <w:sz w:val="18"/>
                <w:szCs w:val="18"/>
              </w:rPr>
              <w:t>methane (CH4) and nitrous oxide (N2O)</w:t>
            </w:r>
            <w:r w:rsidRPr="00C53089">
              <w:rPr>
                <w:rFonts w:ascii="Verdana" w:eastAsia="Times New Roman" w:hAnsi="Verdana"/>
                <w:sz w:val="18"/>
                <w:szCs w:val="18"/>
              </w:rPr>
              <w:t xml:space="preserve"> from cropland and grassland, reported by</w:t>
            </w:r>
            <w:r w:rsidRPr="00C34DE9">
              <w:rPr>
                <w:rFonts w:ascii="Verdana" w:eastAsia="Times New Roman" w:hAnsi="Verdana"/>
                <w:sz w:val="18"/>
                <w:szCs w:val="18"/>
              </w:rPr>
              <w:t xml:space="preserve"> Member States under the</w:t>
            </w:r>
            <w:r w:rsidR="00F11697">
              <w:rPr>
                <w:rFonts w:ascii="Verdana" w:eastAsia="Times New Roman" w:hAnsi="Verdana"/>
                <w:sz w:val="18"/>
                <w:szCs w:val="18"/>
              </w:rPr>
              <w:t xml:space="preserve"> IPCC </w:t>
            </w:r>
            <w:r w:rsidRPr="00C34DE9">
              <w:rPr>
                <w:rFonts w:ascii="Verdana" w:eastAsia="Times New Roman" w:hAnsi="Verdana"/>
                <w:sz w:val="18"/>
                <w:szCs w:val="18"/>
              </w:rPr>
              <w:t xml:space="preserve">Land Use, Land Use Change and Forestry (LULUCF) sector </w:t>
            </w:r>
            <w:r>
              <w:rPr>
                <w:rFonts w:ascii="Verdana" w:eastAsia="Times New Roman" w:hAnsi="Verdana"/>
                <w:sz w:val="18"/>
                <w:szCs w:val="18"/>
              </w:rPr>
              <w:t>(</w:t>
            </w:r>
            <w:r>
              <w:t>cropland and grassland from sector 4 (LULUCF))</w:t>
            </w:r>
            <w:r>
              <w:rPr>
                <w:rFonts w:ascii="Verdana" w:eastAsia="Times New Roman" w:hAnsi="Verdana"/>
                <w:sz w:val="18"/>
                <w:szCs w:val="18"/>
              </w:rPr>
              <w:t xml:space="preserve"> </w:t>
            </w:r>
            <w:r w:rsidR="00F11697">
              <w:rPr>
                <w:rFonts w:ascii="Verdana" w:eastAsia="Times New Roman" w:hAnsi="Verdana"/>
                <w:sz w:val="18"/>
                <w:szCs w:val="18"/>
              </w:rPr>
              <w:t>in</w:t>
            </w:r>
            <w:r w:rsidRPr="00C34DE9">
              <w:rPr>
                <w:rFonts w:ascii="Verdana" w:eastAsia="Times New Roman" w:hAnsi="Verdana"/>
                <w:sz w:val="18"/>
                <w:szCs w:val="18"/>
              </w:rPr>
              <w:t xml:space="preserve"> the national GHG inventor</w:t>
            </w:r>
            <w:r w:rsidR="00F11697">
              <w:rPr>
                <w:rFonts w:ascii="Verdana" w:eastAsia="Times New Roman" w:hAnsi="Verdana"/>
                <w:sz w:val="18"/>
                <w:szCs w:val="18"/>
              </w:rPr>
              <w:t>ies</w:t>
            </w:r>
            <w:r w:rsidRPr="00C34DE9">
              <w:rPr>
                <w:rFonts w:ascii="Verdana" w:eastAsia="Times New Roman" w:hAnsi="Verdana"/>
                <w:sz w:val="18"/>
                <w:szCs w:val="18"/>
              </w:rPr>
              <w:t xml:space="preserve"> to the UNFCCC. </w:t>
            </w:r>
          </w:p>
          <w:p w14:paraId="47EDF2B3" w14:textId="77777777" w:rsidR="00935FDB" w:rsidRPr="00C34DE9" w:rsidRDefault="00F11697" w:rsidP="00801053">
            <w:pPr>
              <w:spacing w:after="0" w:line="240" w:lineRule="auto"/>
              <w:jc w:val="both"/>
              <w:rPr>
                <w:rFonts w:ascii="Verdana" w:eastAsia="Times New Roman" w:hAnsi="Verdana"/>
                <w:sz w:val="18"/>
                <w:szCs w:val="18"/>
              </w:rPr>
            </w:pPr>
            <w:r>
              <w:rPr>
                <w:rFonts w:ascii="Verdana" w:eastAsia="Times New Roman" w:hAnsi="Verdana"/>
                <w:sz w:val="18"/>
                <w:szCs w:val="18"/>
              </w:rPr>
              <w:t>These emissions and removals are covered by the LULUCF Regulation (Regulation 2018/841), and reporting on these emissions and removals is mandatory under the Governance Regulation (Regulation 2018/1999). The LULUCF categories that are relevant to this indicator are those related to cropland and grassland management, as defined in the Implementing Act accompanying the Governance Regulation.</w:t>
            </w:r>
          </w:p>
          <w:p w14:paraId="0E84943F" w14:textId="77777777" w:rsidR="00935FDB" w:rsidRDefault="00935FDB" w:rsidP="00801053">
            <w:pPr>
              <w:spacing w:after="0" w:line="240" w:lineRule="auto"/>
              <w:jc w:val="both"/>
              <w:rPr>
                <w:rFonts w:ascii="Verdana" w:eastAsia="Times New Roman" w:hAnsi="Verdana"/>
                <w:sz w:val="18"/>
                <w:szCs w:val="18"/>
              </w:rPr>
            </w:pPr>
          </w:p>
          <w:p w14:paraId="0F37F8DA" w14:textId="77777777" w:rsidR="00935FDB" w:rsidRDefault="00935FDB"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This indicator does</w:t>
            </w:r>
            <w:r>
              <w:rPr>
                <w:rFonts w:ascii="Verdana" w:eastAsia="Times New Roman" w:hAnsi="Verdana"/>
                <w:sz w:val="18"/>
                <w:szCs w:val="18"/>
              </w:rPr>
              <w:t xml:space="preserve"> not</w:t>
            </w:r>
            <w:r w:rsidRPr="00C34DE9">
              <w:rPr>
                <w:rFonts w:ascii="Verdana" w:eastAsia="Times New Roman" w:hAnsi="Verdana"/>
                <w:sz w:val="18"/>
                <w:szCs w:val="18"/>
              </w:rPr>
              <w:t xml:space="preserve"> include </w:t>
            </w:r>
            <w:r w:rsidR="00A9457C">
              <w:rPr>
                <w:rFonts w:ascii="Verdana" w:eastAsia="Times New Roman" w:hAnsi="Verdana"/>
                <w:sz w:val="18"/>
                <w:szCs w:val="18"/>
              </w:rPr>
              <w:t>e</w:t>
            </w:r>
            <w:r w:rsidRPr="00C34DE9">
              <w:rPr>
                <w:rFonts w:ascii="Verdana" w:eastAsia="Times New Roman" w:hAnsi="Verdana"/>
                <w:sz w:val="18"/>
                <w:szCs w:val="18"/>
              </w:rPr>
              <w:t>missions of CO2 from the energy use of agricultural machinery, buildings and farm operations, which are included in the ‘energy’ inventory under UNFCCC, or emissions from production of inputs</w:t>
            </w:r>
            <w:r>
              <w:rPr>
                <w:rFonts w:ascii="Verdana" w:eastAsia="Times New Roman" w:hAnsi="Verdana"/>
                <w:sz w:val="18"/>
                <w:szCs w:val="18"/>
              </w:rPr>
              <w:t>, such as inorganic fertili</w:t>
            </w:r>
            <w:r w:rsidR="00D07B30">
              <w:rPr>
                <w:rFonts w:ascii="Verdana" w:eastAsia="Times New Roman" w:hAnsi="Verdana"/>
                <w:sz w:val="18"/>
                <w:szCs w:val="18"/>
              </w:rPr>
              <w:t>s</w:t>
            </w:r>
            <w:r>
              <w:rPr>
                <w:rFonts w:ascii="Verdana" w:eastAsia="Times New Roman" w:hAnsi="Verdana"/>
                <w:sz w:val="18"/>
                <w:szCs w:val="18"/>
              </w:rPr>
              <w:t>ers.</w:t>
            </w:r>
          </w:p>
          <w:p w14:paraId="71526D01" w14:textId="77777777" w:rsidR="003B48A5" w:rsidRDefault="003B48A5" w:rsidP="00801053">
            <w:pPr>
              <w:spacing w:after="0" w:line="240" w:lineRule="auto"/>
              <w:jc w:val="both"/>
              <w:rPr>
                <w:rFonts w:ascii="Verdana" w:eastAsia="Times New Roman" w:hAnsi="Verdana"/>
                <w:sz w:val="18"/>
                <w:szCs w:val="18"/>
              </w:rPr>
            </w:pPr>
          </w:p>
          <w:p w14:paraId="022CA6D8" w14:textId="77777777" w:rsidR="003B48A5" w:rsidRPr="003B48A5" w:rsidRDefault="003B48A5" w:rsidP="00665997">
            <w:pPr>
              <w:pStyle w:val="ListParagraph"/>
              <w:numPr>
                <w:ilvl w:val="0"/>
                <w:numId w:val="70"/>
              </w:numPr>
              <w:spacing w:after="0" w:line="240" w:lineRule="auto"/>
              <w:jc w:val="both"/>
              <w:rPr>
                <w:rFonts w:ascii="Verdana" w:eastAsia="Times New Roman" w:hAnsi="Verdana"/>
                <w:b/>
                <w:bCs/>
                <w:sz w:val="18"/>
                <w:szCs w:val="18"/>
              </w:rPr>
            </w:pPr>
            <w:r w:rsidRPr="3F4AE0BD">
              <w:rPr>
                <w:rFonts w:ascii="Verdana" w:eastAsia="Times New Roman" w:hAnsi="Verdana"/>
                <w:b/>
                <w:bCs/>
                <w:sz w:val="18"/>
                <w:szCs w:val="18"/>
              </w:rPr>
              <w:t>GHG emissions from agriculture including cropland and grassland</w:t>
            </w:r>
          </w:p>
          <w:p w14:paraId="06095A1B" w14:textId="77777777" w:rsidR="003B48A5" w:rsidRPr="003B48A5" w:rsidRDefault="003B48A5" w:rsidP="00801053">
            <w:pPr>
              <w:spacing w:after="0" w:line="240" w:lineRule="auto"/>
              <w:jc w:val="both"/>
              <w:rPr>
                <w:rFonts w:ascii="Verdana" w:eastAsia="Times New Roman" w:hAnsi="Verdana"/>
                <w:sz w:val="18"/>
                <w:szCs w:val="18"/>
              </w:rPr>
            </w:pPr>
            <w:r w:rsidRPr="003B48A5">
              <w:rPr>
                <w:rFonts w:ascii="Verdana" w:eastAsia="Times New Roman" w:hAnsi="Verdana"/>
                <w:sz w:val="18"/>
                <w:szCs w:val="18"/>
              </w:rPr>
              <w:t>Sum of GHG emissions from agriculture and GHG emissions and removals from LULUCF for cropland and grassland</w:t>
            </w:r>
          </w:p>
          <w:p w14:paraId="2FD262AD" w14:textId="77777777" w:rsidR="003B48A5" w:rsidRDefault="003B48A5" w:rsidP="00801053">
            <w:pPr>
              <w:spacing w:after="0" w:line="240" w:lineRule="auto"/>
              <w:jc w:val="both"/>
              <w:rPr>
                <w:rFonts w:ascii="Verdana" w:eastAsia="Times New Roman" w:hAnsi="Verdana"/>
                <w:b/>
                <w:sz w:val="18"/>
                <w:szCs w:val="18"/>
              </w:rPr>
            </w:pPr>
          </w:p>
          <w:p w14:paraId="35205F68" w14:textId="224E68D0" w:rsidR="003B48A5" w:rsidRDefault="003B48A5" w:rsidP="00665997">
            <w:pPr>
              <w:pStyle w:val="ListParagraph"/>
              <w:numPr>
                <w:ilvl w:val="0"/>
                <w:numId w:val="70"/>
              </w:numPr>
              <w:spacing w:after="0" w:line="240" w:lineRule="auto"/>
              <w:jc w:val="both"/>
              <w:rPr>
                <w:rFonts w:ascii="Verdana" w:eastAsia="Times New Roman" w:hAnsi="Verdana"/>
                <w:b/>
                <w:bCs/>
                <w:sz w:val="18"/>
                <w:szCs w:val="18"/>
              </w:rPr>
            </w:pPr>
            <w:r w:rsidRPr="3F4AE0BD">
              <w:rPr>
                <w:rFonts w:ascii="Verdana" w:eastAsia="Times New Roman" w:hAnsi="Verdana"/>
                <w:b/>
                <w:bCs/>
                <w:sz w:val="18"/>
                <w:szCs w:val="18"/>
              </w:rPr>
              <w:t>Share of GHG emissions from agriculture including cropland and grassland in total GHG emissions</w:t>
            </w:r>
          </w:p>
          <w:p w14:paraId="3517BDBE" w14:textId="77777777" w:rsidR="00F70433" w:rsidRPr="003B48A5" w:rsidRDefault="00F70433" w:rsidP="00F70433">
            <w:pPr>
              <w:pStyle w:val="ListParagraph"/>
              <w:spacing w:after="0" w:line="240" w:lineRule="auto"/>
              <w:ind w:left="360"/>
              <w:jc w:val="both"/>
              <w:rPr>
                <w:rFonts w:ascii="Verdana" w:eastAsia="Times New Roman" w:hAnsi="Verdana"/>
                <w:b/>
                <w:bCs/>
                <w:sz w:val="18"/>
                <w:szCs w:val="18"/>
              </w:rPr>
            </w:pPr>
          </w:p>
          <w:p w14:paraId="25FFD740" w14:textId="339F7209" w:rsidR="00960107" w:rsidRPr="00E95FD2" w:rsidRDefault="00960107" w:rsidP="00665997">
            <w:pPr>
              <w:pStyle w:val="ListParagraph"/>
              <w:numPr>
                <w:ilvl w:val="0"/>
                <w:numId w:val="70"/>
              </w:numPr>
              <w:spacing w:after="0" w:line="240" w:lineRule="auto"/>
              <w:jc w:val="both"/>
              <w:rPr>
                <w:rFonts w:ascii="Verdana" w:eastAsia="Times New Roman" w:hAnsi="Verdana"/>
                <w:b/>
                <w:sz w:val="18"/>
                <w:szCs w:val="18"/>
              </w:rPr>
            </w:pPr>
            <w:r w:rsidRPr="00E95FD2">
              <w:rPr>
                <w:rFonts w:ascii="Verdana" w:eastAsia="Times New Roman" w:hAnsi="Verdana"/>
                <w:b/>
                <w:sz w:val="18"/>
                <w:szCs w:val="18"/>
              </w:rPr>
              <w:t xml:space="preserve">GHG emissions from livestock: </w:t>
            </w:r>
            <w:r w:rsidRPr="00E95FD2">
              <w:rPr>
                <w:rFonts w:ascii="Verdana" w:eastAsia="Times New Roman" w:hAnsi="Verdana"/>
                <w:sz w:val="18"/>
                <w:szCs w:val="18"/>
              </w:rPr>
              <w:t>sum of enteric fermentation and manure management/ hectares of U</w:t>
            </w:r>
            <w:r w:rsidR="009A442D" w:rsidRPr="00E95FD2">
              <w:rPr>
                <w:rFonts w:ascii="Verdana" w:eastAsia="Times New Roman" w:hAnsi="Verdana"/>
                <w:sz w:val="18"/>
                <w:szCs w:val="18"/>
              </w:rPr>
              <w:t xml:space="preserve">tilised </w:t>
            </w:r>
            <w:r w:rsidRPr="00E95FD2">
              <w:rPr>
                <w:rFonts w:ascii="Verdana" w:eastAsia="Times New Roman" w:hAnsi="Verdana"/>
                <w:sz w:val="18"/>
                <w:szCs w:val="18"/>
              </w:rPr>
              <w:t>A</w:t>
            </w:r>
            <w:r w:rsidR="009A442D" w:rsidRPr="00E95FD2">
              <w:rPr>
                <w:rFonts w:ascii="Verdana" w:eastAsia="Times New Roman" w:hAnsi="Verdana"/>
                <w:sz w:val="18"/>
                <w:szCs w:val="18"/>
              </w:rPr>
              <w:t xml:space="preserve">gricultural </w:t>
            </w:r>
            <w:r w:rsidRPr="00E95FD2">
              <w:rPr>
                <w:rFonts w:ascii="Verdana" w:eastAsia="Times New Roman" w:hAnsi="Verdana"/>
                <w:sz w:val="18"/>
                <w:szCs w:val="18"/>
              </w:rPr>
              <w:t>A</w:t>
            </w:r>
            <w:r w:rsidR="009A442D" w:rsidRPr="00E95FD2">
              <w:rPr>
                <w:rFonts w:ascii="Verdana" w:eastAsia="Times New Roman" w:hAnsi="Verdana"/>
                <w:sz w:val="18"/>
                <w:szCs w:val="18"/>
              </w:rPr>
              <w:t>rea (UAA)</w:t>
            </w:r>
          </w:p>
          <w:p w14:paraId="57FF5FEB" w14:textId="77777777" w:rsidR="00960107" w:rsidRPr="00960107" w:rsidRDefault="00960107" w:rsidP="00960107">
            <w:pPr>
              <w:pStyle w:val="ListParagraph"/>
              <w:rPr>
                <w:rFonts w:ascii="Verdana" w:eastAsia="Times New Roman" w:hAnsi="Verdana"/>
                <w:sz w:val="18"/>
                <w:szCs w:val="18"/>
              </w:rPr>
            </w:pPr>
          </w:p>
          <w:p w14:paraId="1DFFAE4B" w14:textId="5B2BC4EF" w:rsidR="00960107" w:rsidRPr="008B7C5E" w:rsidRDefault="00960107" w:rsidP="00665997">
            <w:pPr>
              <w:pStyle w:val="ListParagraph"/>
              <w:numPr>
                <w:ilvl w:val="0"/>
                <w:numId w:val="70"/>
              </w:numPr>
              <w:spacing w:after="0" w:line="240" w:lineRule="auto"/>
              <w:jc w:val="both"/>
              <w:rPr>
                <w:rFonts w:ascii="Verdana" w:eastAsia="Times New Roman" w:hAnsi="Verdana"/>
                <w:sz w:val="18"/>
                <w:szCs w:val="18"/>
              </w:rPr>
            </w:pPr>
            <w:r w:rsidRPr="00E95FD2">
              <w:rPr>
                <w:rFonts w:ascii="Verdana" w:eastAsia="Times New Roman" w:hAnsi="Verdana"/>
                <w:b/>
                <w:sz w:val="18"/>
                <w:szCs w:val="18"/>
              </w:rPr>
              <w:t>GHG emissions from ruminants:</w:t>
            </w:r>
            <w:r>
              <w:rPr>
                <w:rFonts w:ascii="Verdana" w:eastAsia="Times New Roman" w:hAnsi="Verdana"/>
                <w:sz w:val="18"/>
                <w:szCs w:val="18"/>
              </w:rPr>
              <w:t xml:space="preserve"> enteric fermentation per livestock unit </w:t>
            </w:r>
            <w:r w:rsidR="009A442D">
              <w:rPr>
                <w:rFonts w:ascii="Verdana" w:eastAsia="Times New Roman" w:hAnsi="Verdana"/>
                <w:sz w:val="18"/>
                <w:szCs w:val="18"/>
              </w:rPr>
              <w:lastRenderedPageBreak/>
              <w:t>(L</w:t>
            </w:r>
            <w:r w:rsidR="00DB4B58">
              <w:rPr>
                <w:rFonts w:ascii="Verdana" w:eastAsia="Times New Roman" w:hAnsi="Verdana"/>
                <w:sz w:val="18"/>
                <w:szCs w:val="18"/>
              </w:rPr>
              <w:t>S</w:t>
            </w:r>
            <w:r w:rsidR="009A442D">
              <w:rPr>
                <w:rFonts w:ascii="Verdana" w:eastAsia="Times New Roman" w:hAnsi="Verdana"/>
                <w:sz w:val="18"/>
                <w:szCs w:val="18"/>
              </w:rPr>
              <w:t xml:space="preserve">U) </w:t>
            </w:r>
            <w:r>
              <w:rPr>
                <w:rFonts w:ascii="Verdana" w:eastAsia="Times New Roman" w:hAnsi="Verdana"/>
                <w:sz w:val="18"/>
                <w:szCs w:val="18"/>
              </w:rPr>
              <w:t>of ruminants</w:t>
            </w:r>
          </w:p>
          <w:p w14:paraId="525D4A37" w14:textId="56A8B110" w:rsidR="00960107" w:rsidRDefault="00960107" w:rsidP="00801053">
            <w:pPr>
              <w:spacing w:after="0" w:line="240" w:lineRule="auto"/>
              <w:jc w:val="both"/>
              <w:rPr>
                <w:rFonts w:ascii="Verdana" w:eastAsia="Times New Roman" w:hAnsi="Verdana"/>
                <w:sz w:val="18"/>
                <w:szCs w:val="18"/>
              </w:rPr>
            </w:pPr>
          </w:p>
          <w:p w14:paraId="21B68ED7" w14:textId="77777777" w:rsidR="002F6287" w:rsidRDefault="002F6287" w:rsidP="00B3636B">
            <w:pPr>
              <w:spacing w:after="0" w:line="240" w:lineRule="auto"/>
              <w:rPr>
                <w:rFonts w:ascii="Verdana" w:eastAsia="Times New Roman" w:hAnsi="Verdana"/>
                <w:sz w:val="18"/>
                <w:szCs w:val="18"/>
              </w:rPr>
            </w:pPr>
            <w:r>
              <w:rPr>
                <w:rFonts w:ascii="Verdana" w:eastAsia="Times New Roman" w:hAnsi="Verdana"/>
                <w:sz w:val="18"/>
                <w:szCs w:val="18"/>
              </w:rPr>
              <w:t>Methodology:</w:t>
            </w:r>
          </w:p>
          <w:p w14:paraId="14EB0F68" w14:textId="270B62E5" w:rsidR="0016217E" w:rsidRPr="00960107" w:rsidRDefault="002F6287" w:rsidP="00960107">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Member States calculate emissions </w:t>
            </w:r>
            <w:r>
              <w:rPr>
                <w:rFonts w:ascii="Verdana" w:eastAsia="Times New Roman" w:hAnsi="Verdana"/>
                <w:sz w:val="18"/>
                <w:szCs w:val="18"/>
              </w:rPr>
              <w:t xml:space="preserve">and removals </w:t>
            </w:r>
            <w:r w:rsidRPr="00C34DE9">
              <w:rPr>
                <w:rFonts w:ascii="Verdana" w:eastAsia="Times New Roman" w:hAnsi="Verdana"/>
                <w:sz w:val="18"/>
                <w:szCs w:val="18"/>
              </w:rPr>
              <w:t xml:space="preserve">using standard methodologies (2006 guidelines of the Intergovernmental Panel on Climate Change </w:t>
            </w:r>
            <w:r>
              <w:rPr>
                <w:rFonts w:ascii="Verdana" w:eastAsia="Times New Roman" w:hAnsi="Verdana"/>
                <w:sz w:val="18"/>
                <w:szCs w:val="18"/>
              </w:rPr>
              <w:t>–</w:t>
            </w:r>
            <w:r w:rsidRPr="00C34DE9">
              <w:rPr>
                <w:rFonts w:ascii="Verdana" w:eastAsia="Times New Roman" w:hAnsi="Verdana"/>
                <w:sz w:val="18"/>
                <w:szCs w:val="18"/>
              </w:rPr>
              <w:t xml:space="preserve"> IPCC</w:t>
            </w:r>
            <w:r>
              <w:rPr>
                <w:rFonts w:ascii="Verdana" w:eastAsia="Times New Roman" w:hAnsi="Verdana"/>
                <w:sz w:val="18"/>
                <w:szCs w:val="18"/>
              </w:rPr>
              <w:t>, and its 2019 refinement</w:t>
            </w:r>
            <w:r w:rsidRPr="00C34DE9">
              <w:rPr>
                <w:rFonts w:ascii="Verdana" w:eastAsia="Times New Roman" w:hAnsi="Verdana"/>
                <w:sz w:val="18"/>
                <w:szCs w:val="18"/>
              </w:rPr>
              <w:t>) according to a common reporting framework agreed under the UNFCCC.</w:t>
            </w:r>
          </w:p>
        </w:tc>
      </w:tr>
      <w:tr w:rsidR="00935FDB" w:rsidRPr="00C34DE9" w14:paraId="6439E811"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4F171EAC"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lastRenderedPageBreak/>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5009A2E" w14:textId="7ADDBB96" w:rsidR="003B48A5" w:rsidRDefault="003B48A5" w:rsidP="0016217E">
            <w:pPr>
              <w:spacing w:after="0" w:line="240" w:lineRule="auto"/>
              <w:rPr>
                <w:rFonts w:ascii="Verdana" w:eastAsia="Times New Roman" w:hAnsi="Verdana"/>
                <w:sz w:val="18"/>
                <w:szCs w:val="18"/>
              </w:rPr>
            </w:pPr>
            <w:r>
              <w:rPr>
                <w:rFonts w:ascii="Verdana" w:eastAsia="Times New Roman" w:hAnsi="Verdana"/>
                <w:sz w:val="18"/>
                <w:szCs w:val="18"/>
              </w:rPr>
              <w:t>1, 3, 4</w:t>
            </w:r>
            <w:r w:rsidR="00CA32F8">
              <w:rPr>
                <w:rFonts w:ascii="Verdana" w:eastAsia="Times New Roman" w:hAnsi="Verdana"/>
                <w:sz w:val="18"/>
                <w:szCs w:val="18"/>
              </w:rPr>
              <w:t>:</w:t>
            </w:r>
            <w:r>
              <w:rPr>
                <w:rFonts w:ascii="Verdana" w:eastAsia="Times New Roman" w:hAnsi="Verdana"/>
                <w:sz w:val="18"/>
                <w:szCs w:val="18"/>
              </w:rPr>
              <w:t xml:space="preserve"> </w:t>
            </w:r>
            <w:r w:rsidR="00935FDB" w:rsidRPr="00C34DE9">
              <w:rPr>
                <w:rFonts w:ascii="Verdana" w:eastAsia="Times New Roman" w:hAnsi="Verdana"/>
                <w:sz w:val="18"/>
                <w:szCs w:val="18"/>
              </w:rPr>
              <w:t>Tonnes (</w:t>
            </w:r>
            <w:r w:rsidR="00935FDB">
              <w:rPr>
                <w:rFonts w:ascii="Verdana" w:eastAsia="Times New Roman" w:hAnsi="Verdana"/>
                <w:sz w:val="18"/>
                <w:szCs w:val="18"/>
              </w:rPr>
              <w:t>Megatonnes</w:t>
            </w:r>
            <w:r w:rsidR="00935FDB" w:rsidRPr="00C34DE9">
              <w:rPr>
                <w:rFonts w:ascii="Verdana" w:eastAsia="Times New Roman" w:hAnsi="Verdana"/>
                <w:sz w:val="18"/>
                <w:szCs w:val="18"/>
              </w:rPr>
              <w:t>) of CO2 equivalents per year</w:t>
            </w:r>
            <w:r w:rsidR="00F9771C">
              <w:rPr>
                <w:rFonts w:ascii="Verdana" w:eastAsia="Times New Roman" w:hAnsi="Verdana"/>
                <w:sz w:val="18"/>
                <w:szCs w:val="18"/>
              </w:rPr>
              <w:t xml:space="preserve"> for the absolute value and % for the change compared to baseline</w:t>
            </w:r>
          </w:p>
          <w:p w14:paraId="70B728CB" w14:textId="18C4072F" w:rsidR="00935FDB" w:rsidRDefault="003B48A5" w:rsidP="006228CD">
            <w:pPr>
              <w:spacing w:after="0" w:line="240" w:lineRule="auto"/>
              <w:rPr>
                <w:rFonts w:ascii="Verdana" w:eastAsia="Times New Roman" w:hAnsi="Verdana"/>
                <w:sz w:val="18"/>
                <w:szCs w:val="18"/>
              </w:rPr>
            </w:pPr>
            <w:r>
              <w:rPr>
                <w:rFonts w:ascii="Verdana" w:eastAsia="Times New Roman" w:hAnsi="Verdana"/>
                <w:sz w:val="18"/>
                <w:szCs w:val="18"/>
              </w:rPr>
              <w:t>2, 5: %</w:t>
            </w:r>
          </w:p>
          <w:p w14:paraId="15320821" w14:textId="68860030" w:rsidR="00960107" w:rsidRDefault="00960107" w:rsidP="006228CD">
            <w:pPr>
              <w:spacing w:after="0" w:line="240" w:lineRule="auto"/>
              <w:rPr>
                <w:rFonts w:ascii="Verdana" w:hAnsi="Verdana"/>
                <w:color w:val="000000"/>
                <w:sz w:val="18"/>
                <w:szCs w:val="18"/>
                <w:shd w:val="clear" w:color="auto" w:fill="FFFFFF"/>
              </w:rPr>
            </w:pPr>
            <w:r>
              <w:rPr>
                <w:rFonts w:ascii="Verdana" w:eastAsia="Times New Roman" w:hAnsi="Verdana"/>
                <w:sz w:val="18"/>
                <w:szCs w:val="18"/>
              </w:rPr>
              <w:t xml:space="preserve">6: </w:t>
            </w:r>
            <w:r>
              <w:rPr>
                <w:rFonts w:ascii="Verdana" w:hAnsi="Verdana"/>
                <w:color w:val="000000"/>
                <w:sz w:val="18"/>
                <w:szCs w:val="18"/>
                <w:shd w:val="clear" w:color="auto" w:fill="FFFFFF"/>
              </w:rPr>
              <w:t>tonnes of CO</w:t>
            </w:r>
            <w:r>
              <w:rPr>
                <w:rFonts w:ascii="&amp;quot" w:hAnsi="&amp;quot"/>
                <w:color w:val="000000"/>
                <w:sz w:val="15"/>
                <w:szCs w:val="15"/>
                <w:vertAlign w:val="subscript"/>
              </w:rPr>
              <w:t>2</w:t>
            </w:r>
            <w:r>
              <w:rPr>
                <w:rFonts w:ascii="Verdana" w:hAnsi="Verdana"/>
                <w:color w:val="000000"/>
                <w:sz w:val="18"/>
                <w:szCs w:val="18"/>
                <w:shd w:val="clear" w:color="auto" w:fill="FFFFFF"/>
              </w:rPr>
              <w:t xml:space="preserve"> equivalents/</w:t>
            </w:r>
            <w:r w:rsidR="00614D7E">
              <w:rPr>
                <w:rFonts w:ascii="Verdana" w:hAnsi="Verdana"/>
                <w:color w:val="000000"/>
                <w:sz w:val="18"/>
                <w:szCs w:val="18"/>
                <w:shd w:val="clear" w:color="auto" w:fill="FFFFFF"/>
              </w:rPr>
              <w:t>h</w:t>
            </w:r>
            <w:r>
              <w:rPr>
                <w:rFonts w:ascii="Verdana" w:hAnsi="Verdana"/>
                <w:color w:val="000000"/>
                <w:sz w:val="18"/>
                <w:szCs w:val="18"/>
                <w:shd w:val="clear" w:color="auto" w:fill="FFFFFF"/>
              </w:rPr>
              <w:t xml:space="preserve">a </w:t>
            </w:r>
          </w:p>
          <w:p w14:paraId="1E05FBA4" w14:textId="67E2F7BF" w:rsidR="00614D7E" w:rsidRDefault="00614D7E" w:rsidP="006228CD">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7: tonnes of CO</w:t>
            </w:r>
            <w:r>
              <w:rPr>
                <w:rFonts w:ascii="&amp;quot" w:hAnsi="&amp;quot"/>
                <w:color w:val="000000"/>
                <w:sz w:val="15"/>
                <w:szCs w:val="15"/>
                <w:vertAlign w:val="subscript"/>
              </w:rPr>
              <w:t>2</w:t>
            </w:r>
            <w:r>
              <w:rPr>
                <w:rFonts w:ascii="Verdana" w:hAnsi="Verdana"/>
                <w:color w:val="000000"/>
                <w:sz w:val="18"/>
                <w:szCs w:val="18"/>
                <w:shd w:val="clear" w:color="auto" w:fill="FFFFFF"/>
              </w:rPr>
              <w:t xml:space="preserve"> equivalents/LU</w:t>
            </w:r>
          </w:p>
          <w:p w14:paraId="4327AD8E" w14:textId="5FA6986A" w:rsidR="009A442D" w:rsidRPr="00AC5E8A" w:rsidRDefault="009A442D" w:rsidP="006228CD">
            <w:pPr>
              <w:spacing w:after="0" w:line="240" w:lineRule="auto"/>
              <w:rPr>
                <w:rFonts w:ascii="Verdana" w:hAnsi="Verdana"/>
                <w:color w:val="000000"/>
                <w:sz w:val="18"/>
                <w:shd w:val="clear" w:color="auto" w:fill="FFFFFF"/>
              </w:rPr>
            </w:pPr>
          </w:p>
        </w:tc>
      </w:tr>
      <w:tr w:rsidR="00935FDB" w:rsidRPr="00C34DE9" w14:paraId="2B9D7F49" w14:textId="77777777" w:rsidTr="240ABBB4">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1C88B8F5" w14:textId="77777777" w:rsidR="00935FDB" w:rsidRPr="00C34DE9" w:rsidRDefault="00935FDB" w:rsidP="790C88FB">
            <w:pPr>
              <w:spacing w:after="60"/>
              <w:rPr>
                <w:rFonts w:ascii="Verdana" w:hAnsi="Verdana"/>
                <w:i/>
                <w:iCs/>
                <w:sz w:val="18"/>
                <w:szCs w:val="18"/>
              </w:rPr>
            </w:pPr>
            <w:r w:rsidRPr="5CB4B133">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442C4E3E" w14:textId="77777777" w:rsidR="00935FDB" w:rsidRPr="00C34DE9" w:rsidRDefault="00935FDB" w:rsidP="00B3636B">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The </w:t>
            </w:r>
            <w:r w:rsidR="00C1796A">
              <w:rPr>
                <w:rFonts w:ascii="Verdana" w:eastAsia="Times New Roman" w:hAnsi="Verdana"/>
                <w:sz w:val="18"/>
                <w:szCs w:val="18"/>
              </w:rPr>
              <w:t>indicator</w:t>
            </w:r>
            <w:r w:rsidR="00C1796A" w:rsidRPr="00C34DE9">
              <w:rPr>
                <w:rFonts w:ascii="Verdana" w:eastAsia="Times New Roman" w:hAnsi="Verdana"/>
                <w:sz w:val="18"/>
                <w:szCs w:val="18"/>
              </w:rPr>
              <w:t xml:space="preserve"> </w:t>
            </w:r>
            <w:r w:rsidRPr="00C34DE9">
              <w:rPr>
                <w:rFonts w:ascii="Verdana" w:eastAsia="Times New Roman" w:hAnsi="Verdana"/>
                <w:sz w:val="18"/>
                <w:szCs w:val="18"/>
              </w:rPr>
              <w:t xml:space="preserve">is based on </w:t>
            </w:r>
            <w:r w:rsidR="00C1796A">
              <w:rPr>
                <w:rFonts w:ascii="Verdana" w:eastAsia="Times New Roman" w:hAnsi="Verdana"/>
                <w:sz w:val="18"/>
                <w:szCs w:val="18"/>
              </w:rPr>
              <w:t xml:space="preserve">the annual </w:t>
            </w:r>
            <w:r w:rsidRPr="00C34DE9">
              <w:rPr>
                <w:rFonts w:ascii="Verdana" w:eastAsia="Times New Roman" w:hAnsi="Verdana"/>
                <w:sz w:val="18"/>
                <w:szCs w:val="18"/>
              </w:rPr>
              <w:t>national</w:t>
            </w:r>
            <w:r w:rsidR="00C1796A">
              <w:rPr>
                <w:rFonts w:ascii="Verdana" w:eastAsia="Times New Roman" w:hAnsi="Verdana"/>
                <w:sz w:val="18"/>
                <w:szCs w:val="18"/>
              </w:rPr>
              <w:t xml:space="preserve"> inventory</w:t>
            </w:r>
            <w:r w:rsidRPr="00C34DE9">
              <w:rPr>
                <w:rFonts w:ascii="Verdana" w:eastAsia="Times New Roman" w:hAnsi="Verdana"/>
                <w:sz w:val="18"/>
                <w:szCs w:val="18"/>
              </w:rPr>
              <w:t xml:space="preserve"> submissions to the </w:t>
            </w:r>
            <w:r w:rsidR="00280C60" w:rsidRPr="00C34DE9">
              <w:rPr>
                <w:rFonts w:ascii="Verdana" w:eastAsia="Times New Roman" w:hAnsi="Verdana"/>
                <w:sz w:val="18"/>
                <w:szCs w:val="18"/>
              </w:rPr>
              <w:t xml:space="preserve">EU </w:t>
            </w:r>
            <w:r w:rsidR="00280C60">
              <w:rPr>
                <w:rFonts w:ascii="Verdana" w:eastAsia="Times New Roman" w:hAnsi="Verdana"/>
                <w:sz w:val="18"/>
                <w:szCs w:val="18"/>
              </w:rPr>
              <w:t xml:space="preserve">and subsequently the </w:t>
            </w:r>
            <w:r w:rsidRPr="00C34DE9">
              <w:rPr>
                <w:rFonts w:ascii="Verdana" w:eastAsia="Times New Roman" w:hAnsi="Verdana"/>
                <w:sz w:val="18"/>
                <w:szCs w:val="18"/>
              </w:rPr>
              <w:t xml:space="preserve">UNFCCC </w:t>
            </w:r>
            <w:r w:rsidR="00280C60">
              <w:rPr>
                <w:rFonts w:ascii="Verdana" w:eastAsia="Times New Roman" w:hAnsi="Verdana"/>
                <w:sz w:val="18"/>
                <w:szCs w:val="18"/>
              </w:rPr>
              <w:t>through the</w:t>
            </w:r>
            <w:r w:rsidRPr="00C34DE9">
              <w:rPr>
                <w:rFonts w:ascii="Verdana" w:eastAsia="Times New Roman" w:hAnsi="Verdana"/>
                <w:sz w:val="18"/>
                <w:szCs w:val="18"/>
              </w:rPr>
              <w:t xml:space="preserve"> </w:t>
            </w:r>
            <w:r w:rsidRPr="00C34DE9" w:rsidDel="00F11697">
              <w:rPr>
                <w:rFonts w:ascii="Verdana" w:eastAsia="Times New Roman" w:hAnsi="Verdana"/>
                <w:sz w:val="18"/>
                <w:szCs w:val="18"/>
              </w:rPr>
              <w:t>Monitoring Mechanism</w:t>
            </w:r>
            <w:r w:rsidRPr="00C34DE9">
              <w:rPr>
                <w:rFonts w:ascii="Verdana" w:eastAsia="Times New Roman" w:hAnsi="Verdana"/>
                <w:sz w:val="18"/>
                <w:szCs w:val="18"/>
              </w:rPr>
              <w:t xml:space="preserve"> Regulation (</w:t>
            </w:r>
            <w:r w:rsidR="00263438">
              <w:rPr>
                <w:rFonts w:ascii="Verdana" w:eastAsia="Times New Roman" w:hAnsi="Verdana"/>
                <w:sz w:val="18"/>
                <w:szCs w:val="18"/>
              </w:rPr>
              <w:t>Regulation 2018/1999</w:t>
            </w:r>
            <w:r w:rsidRPr="00C34DE9">
              <w:rPr>
                <w:rFonts w:ascii="Verdana" w:eastAsia="Times New Roman" w:hAnsi="Verdana"/>
                <w:sz w:val="18"/>
                <w:szCs w:val="18"/>
              </w:rPr>
              <w:t>). Th</w:t>
            </w:r>
            <w:r w:rsidR="00280C60">
              <w:rPr>
                <w:rFonts w:ascii="Verdana" w:eastAsia="Times New Roman" w:hAnsi="Verdana"/>
                <w:sz w:val="18"/>
                <w:szCs w:val="18"/>
              </w:rPr>
              <w:t>is reporting framework moreover describes</w:t>
            </w:r>
            <w:r w:rsidRPr="00C34DE9">
              <w:rPr>
                <w:rFonts w:ascii="Verdana" w:eastAsia="Times New Roman" w:hAnsi="Verdana"/>
                <w:sz w:val="18"/>
                <w:szCs w:val="18"/>
              </w:rPr>
              <w:t xml:space="preserve"> requirements for monitoring and reporting under the Effort Sharing Regulation and LULUCF Regulation</w:t>
            </w:r>
            <w:r>
              <w:rPr>
                <w:rFonts w:ascii="Verdana" w:eastAsia="Times New Roman" w:hAnsi="Verdana"/>
                <w:sz w:val="18"/>
                <w:szCs w:val="18"/>
              </w:rPr>
              <w:t xml:space="preserve">, e.g., </w:t>
            </w:r>
            <w:r w:rsidRPr="00A9146D">
              <w:rPr>
                <w:rFonts w:ascii="Verdana" w:eastAsia="Times New Roman" w:hAnsi="Verdana"/>
                <w:sz w:val="18"/>
                <w:szCs w:val="18"/>
                <w:lang w:val="x-none"/>
              </w:rPr>
              <w:t>Geospatial data sources for meeting IPCC approach 3 for LULUCF</w:t>
            </w:r>
            <w:r w:rsidRPr="00A9146D" w:rsidDel="00F11697">
              <w:rPr>
                <w:rFonts w:ascii="Verdana" w:eastAsia="Times New Roman" w:hAnsi="Verdana"/>
                <w:sz w:val="18"/>
                <w:szCs w:val="18"/>
                <w:lang w:val="x-none"/>
              </w:rPr>
              <w:t>,</w:t>
            </w:r>
            <w:r w:rsidRPr="00A9146D">
              <w:rPr>
                <w:rFonts w:ascii="Verdana" w:eastAsia="Times New Roman" w:hAnsi="Verdana"/>
                <w:sz w:val="18"/>
                <w:szCs w:val="18"/>
                <w:lang w:val="x-none"/>
              </w:rPr>
              <w:t xml:space="preserve"> </w:t>
            </w:r>
            <w:r w:rsidRPr="00A9146D" w:rsidDel="00F11697">
              <w:rPr>
                <w:rFonts w:ascii="Verdana" w:eastAsia="Times New Roman" w:hAnsi="Verdana"/>
                <w:sz w:val="18"/>
                <w:szCs w:val="18"/>
                <w:lang w:val="x-none"/>
              </w:rPr>
              <w:t>such</w:t>
            </w:r>
            <w:r w:rsidRPr="00A9146D" w:rsidDel="00F11697">
              <w:rPr>
                <w:rFonts w:ascii="Verdana" w:eastAsia="Times New Roman" w:hAnsi="Verdana"/>
                <w:sz w:val="18"/>
                <w:szCs w:val="18"/>
              </w:rPr>
              <w:t xml:space="preserve"> </w:t>
            </w:r>
            <w:r w:rsidRPr="00A9146D" w:rsidDel="00F11697">
              <w:rPr>
                <w:rFonts w:ascii="Verdana" w:eastAsia="Times New Roman" w:hAnsi="Verdana"/>
                <w:sz w:val="18"/>
                <w:szCs w:val="18"/>
                <w:lang w:val="x-none"/>
              </w:rPr>
              <w:t xml:space="preserve">as </w:t>
            </w:r>
            <w:r w:rsidRPr="00A9146D">
              <w:rPr>
                <w:rFonts w:ascii="Verdana" w:eastAsia="Times New Roman" w:hAnsi="Verdana"/>
                <w:sz w:val="18"/>
                <w:szCs w:val="18"/>
                <w:lang w:val="x-none"/>
              </w:rPr>
              <w:t>services from the Copernicus programme, IACS/LPIS, LUCAS and others compliant with the INSPIRE directive</w:t>
            </w:r>
            <w:r w:rsidRPr="5CB4B133">
              <w:rPr>
                <w:rFonts w:ascii="Verdana" w:hAnsi="Verdana"/>
                <w:sz w:val="18"/>
                <w:szCs w:val="18"/>
                <w:lang w:val="x-none"/>
              </w:rPr>
              <w:t>.</w:t>
            </w:r>
            <w:r w:rsidRPr="00C34DE9">
              <w:rPr>
                <w:rFonts w:ascii="Verdana" w:eastAsia="Times New Roman" w:hAnsi="Verdana"/>
                <w:sz w:val="18"/>
                <w:szCs w:val="18"/>
              </w:rPr>
              <w:t xml:space="preserve"> </w:t>
            </w:r>
          </w:p>
          <w:p w14:paraId="72C2860C" w14:textId="77777777" w:rsidR="00935FDB" w:rsidRPr="00C34DE9" w:rsidRDefault="00935FDB" w:rsidP="00B3636B">
            <w:pPr>
              <w:spacing w:after="0" w:line="240" w:lineRule="auto"/>
              <w:jc w:val="both"/>
              <w:rPr>
                <w:rFonts w:ascii="Verdana" w:eastAsia="Times New Roman" w:hAnsi="Verdana"/>
                <w:sz w:val="18"/>
                <w:szCs w:val="18"/>
              </w:rPr>
            </w:pPr>
            <w:r>
              <w:rPr>
                <w:rFonts w:ascii="Verdana" w:eastAsia="Times New Roman" w:hAnsi="Verdana"/>
                <w:sz w:val="18"/>
                <w:szCs w:val="18"/>
              </w:rPr>
              <w:t xml:space="preserve">The inventory is </w:t>
            </w:r>
            <w:r w:rsidR="00F11697">
              <w:rPr>
                <w:rFonts w:ascii="Verdana" w:eastAsia="Times New Roman" w:hAnsi="Verdana"/>
                <w:sz w:val="18"/>
                <w:szCs w:val="18"/>
              </w:rPr>
              <w:t>compiled</w:t>
            </w:r>
            <w:r>
              <w:rPr>
                <w:rFonts w:ascii="Verdana" w:eastAsia="Times New Roman" w:hAnsi="Verdana"/>
                <w:sz w:val="18"/>
                <w:szCs w:val="18"/>
              </w:rPr>
              <w:t xml:space="preserve"> by each Member State, and then collated and quality</w:t>
            </w:r>
            <w:r w:rsidR="00F11697">
              <w:rPr>
                <w:rFonts w:ascii="Verdana" w:eastAsia="Times New Roman" w:hAnsi="Verdana"/>
                <w:sz w:val="18"/>
                <w:szCs w:val="18"/>
              </w:rPr>
              <w:t>-</w:t>
            </w:r>
            <w:r>
              <w:rPr>
                <w:rFonts w:ascii="Verdana" w:eastAsia="Times New Roman" w:hAnsi="Verdana"/>
                <w:sz w:val="18"/>
                <w:szCs w:val="18"/>
              </w:rPr>
              <w:t>assured by</w:t>
            </w:r>
            <w:r w:rsidRPr="00C34DE9">
              <w:rPr>
                <w:rFonts w:ascii="Verdana" w:eastAsia="Times New Roman" w:hAnsi="Verdana"/>
                <w:sz w:val="18"/>
                <w:szCs w:val="18"/>
              </w:rPr>
              <w:t xml:space="preserve"> the European Environment Agency (EEA) and the European Topic Centre for Air Pollution and Climate Change Mitigation (ETC/ACM).</w:t>
            </w:r>
          </w:p>
        </w:tc>
      </w:tr>
      <w:tr w:rsidR="00935FDB" w:rsidRPr="00C34DE9" w14:paraId="5C567675"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5428CFFC"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CBFE6CA" w14:textId="3354547E" w:rsidR="00935FDB" w:rsidRPr="00CF5C21" w:rsidRDefault="00CF5C21" w:rsidP="3F4AE0BD">
            <w:pPr>
              <w:spacing w:after="0" w:line="240" w:lineRule="auto"/>
              <w:rPr>
                <w:rFonts w:ascii="Verdana" w:eastAsia="Times New Roman" w:hAnsi="Verdana"/>
                <w:b/>
                <w:bCs/>
                <w:sz w:val="18"/>
                <w:szCs w:val="18"/>
              </w:rPr>
            </w:pPr>
            <w:r>
              <w:rPr>
                <w:rFonts w:eastAsia="Times New Roman"/>
              </w:rPr>
              <w:t>1, 2:</w:t>
            </w:r>
            <w:r w:rsidRPr="3F4AE0BD">
              <w:rPr>
                <w:rFonts w:ascii="Verdana" w:eastAsia="Times New Roman" w:hAnsi="Verdana"/>
                <w:b/>
                <w:bCs/>
                <w:sz w:val="18"/>
                <w:szCs w:val="18"/>
              </w:rPr>
              <w:t xml:space="preserve"> </w:t>
            </w:r>
            <w:r w:rsidR="00935FDB" w:rsidRPr="3F4AE0BD">
              <w:rPr>
                <w:rFonts w:ascii="Verdana" w:eastAsia="Times New Roman" w:hAnsi="Verdana"/>
                <w:b/>
                <w:bCs/>
                <w:sz w:val="18"/>
                <w:szCs w:val="18"/>
              </w:rPr>
              <w:t>GHG emissions from agriculture</w:t>
            </w:r>
          </w:p>
          <w:p w14:paraId="5A62EEE9" w14:textId="62AAC99E" w:rsidR="00935FDB" w:rsidRPr="00C34DE9" w:rsidRDefault="00935FDB" w:rsidP="00730BAE">
            <w:pPr>
              <w:numPr>
                <w:ilvl w:val="0"/>
                <w:numId w:val="105"/>
              </w:numPr>
              <w:spacing w:after="0" w:line="240" w:lineRule="auto"/>
              <w:jc w:val="both"/>
              <w:rPr>
                <w:rFonts w:ascii="Verdana" w:eastAsia="Times New Roman" w:hAnsi="Verdana"/>
                <w:sz w:val="18"/>
                <w:szCs w:val="18"/>
              </w:rPr>
            </w:pPr>
            <w:r w:rsidRPr="00C34DE9">
              <w:rPr>
                <w:rFonts w:ascii="Verdana" w:eastAsia="Times New Roman" w:hAnsi="Verdana"/>
                <w:sz w:val="18"/>
                <w:szCs w:val="18"/>
              </w:rPr>
              <w:t>Annual EU GHG inventory</w:t>
            </w:r>
            <w:r>
              <w:rPr>
                <w:rFonts w:ascii="Verdana" w:eastAsia="Times New Roman" w:hAnsi="Verdana"/>
                <w:sz w:val="18"/>
                <w:szCs w:val="18"/>
              </w:rPr>
              <w:t>, section 3</w:t>
            </w:r>
            <w:r w:rsidR="00280C60">
              <w:rPr>
                <w:rFonts w:ascii="Verdana" w:eastAsia="Times New Roman" w:hAnsi="Verdana"/>
                <w:sz w:val="18"/>
                <w:szCs w:val="18"/>
              </w:rPr>
              <w:t>, set out through Arts 26 and 37 of 2018/1999</w:t>
            </w:r>
            <w:r w:rsidRPr="00C34DE9">
              <w:rPr>
                <w:rFonts w:ascii="Verdana" w:eastAsia="Times New Roman" w:hAnsi="Verdana"/>
                <w:sz w:val="18"/>
                <w:szCs w:val="18"/>
              </w:rPr>
              <w:t xml:space="preserve"> </w:t>
            </w:r>
          </w:p>
          <w:p w14:paraId="2074522A" w14:textId="77777777" w:rsidR="00935FDB" w:rsidRPr="00C34DE9" w:rsidRDefault="00280C60" w:rsidP="00730BAE">
            <w:pPr>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 xml:space="preserve">Like all sectors, </w:t>
            </w:r>
            <w:r w:rsidR="00935FDB">
              <w:rPr>
                <w:rFonts w:ascii="Verdana" w:eastAsia="Times New Roman" w:hAnsi="Verdana"/>
                <w:sz w:val="18"/>
                <w:szCs w:val="18"/>
              </w:rPr>
              <w:t>GHG</w:t>
            </w:r>
            <w:r w:rsidR="00935FDB" w:rsidRPr="00C34DE9">
              <w:rPr>
                <w:rFonts w:ascii="Verdana" w:eastAsia="Times New Roman" w:hAnsi="Verdana"/>
                <w:sz w:val="18"/>
                <w:szCs w:val="18"/>
              </w:rPr>
              <w:t xml:space="preserve"> emissions from agriculture are provided in </w:t>
            </w:r>
            <w:r w:rsidR="00935FDB">
              <w:rPr>
                <w:rFonts w:ascii="Verdana" w:eastAsia="Times New Roman" w:hAnsi="Verdana"/>
                <w:sz w:val="18"/>
                <w:szCs w:val="18"/>
              </w:rPr>
              <w:t>Common Reporting Format (</w:t>
            </w:r>
            <w:r w:rsidR="00935FDB" w:rsidRPr="00C34DE9">
              <w:rPr>
                <w:rFonts w:ascii="Verdana" w:eastAsia="Times New Roman" w:hAnsi="Verdana"/>
                <w:sz w:val="18"/>
                <w:szCs w:val="18"/>
              </w:rPr>
              <w:t>CRF</w:t>
            </w:r>
            <w:r w:rsidR="00935FDB">
              <w:rPr>
                <w:rFonts w:ascii="Verdana" w:eastAsia="Times New Roman" w:hAnsi="Verdana"/>
                <w:sz w:val="18"/>
                <w:szCs w:val="18"/>
              </w:rPr>
              <w:t>)</w:t>
            </w:r>
            <w:r w:rsidR="00935FDB" w:rsidRPr="00C34DE9">
              <w:rPr>
                <w:rFonts w:ascii="Verdana" w:eastAsia="Times New Roman" w:hAnsi="Verdana"/>
                <w:sz w:val="18"/>
                <w:szCs w:val="18"/>
              </w:rPr>
              <w:t xml:space="preserve"> Tables which include</w:t>
            </w:r>
            <w:r w:rsidR="00935FDB" w:rsidRPr="00C34DE9" w:rsidDel="00F11697">
              <w:rPr>
                <w:rFonts w:ascii="Verdana" w:eastAsia="Times New Roman" w:hAnsi="Verdana"/>
                <w:sz w:val="18"/>
                <w:szCs w:val="18"/>
              </w:rPr>
              <w:t>s</w:t>
            </w:r>
            <w:r w:rsidR="00935FDB" w:rsidRPr="00C34DE9">
              <w:rPr>
                <w:rFonts w:ascii="Verdana" w:eastAsia="Times New Roman" w:hAnsi="Verdana"/>
                <w:sz w:val="18"/>
                <w:szCs w:val="18"/>
              </w:rPr>
              <w:t xml:space="preserve"> standard reporting table</w:t>
            </w:r>
            <w:r>
              <w:rPr>
                <w:rFonts w:ascii="Verdana" w:eastAsia="Times New Roman" w:hAnsi="Verdana"/>
                <w:sz w:val="18"/>
                <w:szCs w:val="18"/>
              </w:rPr>
              <w:t>s</w:t>
            </w:r>
            <w:r w:rsidR="00935FDB" w:rsidRPr="00C34DE9">
              <w:rPr>
                <w:rFonts w:ascii="Verdana" w:eastAsia="Times New Roman" w:hAnsi="Verdana"/>
                <w:sz w:val="18"/>
                <w:szCs w:val="18"/>
              </w:rPr>
              <w:t xml:space="preserve"> (SRT) </w:t>
            </w:r>
          </w:p>
          <w:p w14:paraId="2980CFDA" w14:textId="77777777" w:rsidR="00935FDB" w:rsidRPr="00C34DE9" w:rsidRDefault="00935FDB" w:rsidP="00801053">
            <w:pPr>
              <w:spacing w:after="0" w:line="240" w:lineRule="auto"/>
              <w:ind w:left="360"/>
              <w:jc w:val="both"/>
              <w:rPr>
                <w:rFonts w:ascii="Verdana" w:eastAsia="Times New Roman" w:hAnsi="Verdana"/>
                <w:sz w:val="18"/>
                <w:szCs w:val="18"/>
              </w:rPr>
            </w:pPr>
          </w:p>
          <w:p w14:paraId="4DB2B9AF" w14:textId="4D0590F5" w:rsidR="00935FDB" w:rsidRPr="00CF5C21" w:rsidRDefault="00CF5C21" w:rsidP="3F4AE0BD">
            <w:pPr>
              <w:spacing w:after="0" w:line="240" w:lineRule="auto"/>
              <w:jc w:val="both"/>
              <w:rPr>
                <w:rFonts w:ascii="Verdana" w:eastAsia="Times New Roman" w:hAnsi="Verdana"/>
                <w:b/>
                <w:bCs/>
                <w:sz w:val="18"/>
                <w:szCs w:val="18"/>
              </w:rPr>
            </w:pPr>
            <w:r>
              <w:rPr>
                <w:rFonts w:eastAsia="Times New Roman"/>
              </w:rPr>
              <w:t xml:space="preserve">3: </w:t>
            </w:r>
            <w:r w:rsidR="00935FDB" w:rsidRPr="3F4AE0BD">
              <w:rPr>
                <w:rFonts w:ascii="Verdana" w:eastAsia="Times New Roman" w:hAnsi="Verdana"/>
                <w:b/>
                <w:bCs/>
                <w:sz w:val="18"/>
                <w:szCs w:val="18"/>
              </w:rPr>
              <w:t xml:space="preserve">GHG emissions and CO2 removals </w:t>
            </w:r>
            <w:r w:rsidR="00F11697" w:rsidRPr="3F4AE0BD">
              <w:rPr>
                <w:rFonts w:ascii="Verdana" w:eastAsia="Times New Roman" w:hAnsi="Verdana"/>
                <w:b/>
                <w:bCs/>
                <w:sz w:val="18"/>
                <w:szCs w:val="18"/>
              </w:rPr>
              <w:t>from LULUCF (</w:t>
            </w:r>
            <w:r w:rsidR="00935FDB" w:rsidRPr="3F4AE0BD">
              <w:rPr>
                <w:rFonts w:ascii="Verdana" w:eastAsia="Times New Roman" w:hAnsi="Verdana"/>
                <w:b/>
                <w:bCs/>
                <w:sz w:val="18"/>
                <w:szCs w:val="18"/>
              </w:rPr>
              <w:t>cropland an</w:t>
            </w:r>
            <w:r w:rsidR="004F41A7" w:rsidRPr="3F4AE0BD">
              <w:rPr>
                <w:rFonts w:ascii="Verdana" w:eastAsia="Times New Roman" w:hAnsi="Verdana"/>
                <w:b/>
                <w:bCs/>
                <w:sz w:val="18"/>
                <w:szCs w:val="18"/>
              </w:rPr>
              <w:t>d</w:t>
            </w:r>
            <w:r w:rsidR="00935FDB" w:rsidRPr="3F4AE0BD">
              <w:rPr>
                <w:rFonts w:ascii="Verdana" w:eastAsia="Times New Roman" w:hAnsi="Verdana"/>
                <w:b/>
                <w:bCs/>
                <w:sz w:val="18"/>
                <w:szCs w:val="18"/>
              </w:rPr>
              <w:t xml:space="preserve"> grassland</w:t>
            </w:r>
            <w:r w:rsidR="00F11697" w:rsidRPr="3F4AE0BD">
              <w:rPr>
                <w:rFonts w:ascii="Verdana" w:eastAsia="Times New Roman" w:hAnsi="Verdana"/>
                <w:b/>
                <w:bCs/>
                <w:sz w:val="18"/>
                <w:szCs w:val="18"/>
              </w:rPr>
              <w:t>)</w:t>
            </w:r>
          </w:p>
          <w:p w14:paraId="5C8A4018" w14:textId="77777777" w:rsidR="00F11697" w:rsidRPr="00C34DE9" w:rsidRDefault="00F11697" w:rsidP="00730BAE">
            <w:pPr>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Annual EU GHG inventory, (year X-2), sector 4</w:t>
            </w:r>
          </w:p>
          <w:p w14:paraId="3EC9CA89" w14:textId="77777777" w:rsidR="00935FDB" w:rsidRDefault="00935FDB" w:rsidP="00730BAE">
            <w:pPr>
              <w:numPr>
                <w:ilvl w:val="0"/>
                <w:numId w:val="105"/>
              </w:numPr>
              <w:spacing w:after="0" w:line="240" w:lineRule="auto"/>
              <w:jc w:val="both"/>
              <w:rPr>
                <w:rFonts w:ascii="Verdana" w:eastAsia="Times New Roman" w:hAnsi="Verdana"/>
                <w:sz w:val="18"/>
                <w:szCs w:val="18"/>
              </w:rPr>
            </w:pPr>
            <w:r w:rsidRPr="00C34DE9">
              <w:rPr>
                <w:rFonts w:ascii="Verdana" w:eastAsia="Times New Roman" w:hAnsi="Verdana"/>
                <w:sz w:val="18"/>
                <w:szCs w:val="18"/>
              </w:rPr>
              <w:t>CO2</w:t>
            </w:r>
            <w:r>
              <w:rPr>
                <w:rFonts w:ascii="Verdana" w:eastAsia="Times New Roman" w:hAnsi="Verdana"/>
                <w:sz w:val="18"/>
                <w:szCs w:val="18"/>
              </w:rPr>
              <w:t>, C</w:t>
            </w:r>
            <w:r w:rsidR="00A9457C">
              <w:rPr>
                <w:rFonts w:ascii="Verdana" w:eastAsia="Times New Roman" w:hAnsi="Verdana"/>
                <w:sz w:val="18"/>
                <w:szCs w:val="18"/>
              </w:rPr>
              <w:t>H</w:t>
            </w:r>
            <w:r>
              <w:rPr>
                <w:rFonts w:ascii="Verdana" w:eastAsia="Times New Roman" w:hAnsi="Verdana"/>
                <w:sz w:val="18"/>
                <w:szCs w:val="18"/>
              </w:rPr>
              <w:t>4 and N2O</w:t>
            </w:r>
            <w:r w:rsidRPr="00C34DE9">
              <w:rPr>
                <w:rFonts w:ascii="Verdana" w:eastAsia="Times New Roman" w:hAnsi="Verdana"/>
                <w:sz w:val="18"/>
                <w:szCs w:val="18"/>
              </w:rPr>
              <w:t xml:space="preserve"> emissions from </w:t>
            </w:r>
            <w:r>
              <w:rPr>
                <w:rFonts w:ascii="Verdana" w:eastAsia="Times New Roman" w:hAnsi="Verdana"/>
                <w:sz w:val="18"/>
                <w:szCs w:val="18"/>
              </w:rPr>
              <w:t>cropland and grassland</w:t>
            </w:r>
            <w:r w:rsidRPr="00C34DE9">
              <w:rPr>
                <w:rFonts w:ascii="Verdana" w:eastAsia="Times New Roman" w:hAnsi="Verdana"/>
                <w:sz w:val="18"/>
                <w:szCs w:val="18"/>
              </w:rPr>
              <w:t xml:space="preserve"> are </w:t>
            </w:r>
            <w:r w:rsidR="00280C60">
              <w:rPr>
                <w:rFonts w:ascii="Verdana" w:eastAsia="Times New Roman" w:hAnsi="Verdana"/>
                <w:sz w:val="18"/>
                <w:szCs w:val="18"/>
              </w:rPr>
              <w:t>reported</w:t>
            </w:r>
            <w:r w:rsidR="00280C60" w:rsidRPr="00C34DE9">
              <w:rPr>
                <w:rFonts w:ascii="Verdana" w:eastAsia="Times New Roman" w:hAnsi="Verdana"/>
                <w:sz w:val="18"/>
                <w:szCs w:val="18"/>
              </w:rPr>
              <w:t xml:space="preserve"> </w:t>
            </w:r>
            <w:r w:rsidR="00280C60">
              <w:rPr>
                <w:rFonts w:ascii="Verdana" w:eastAsia="Times New Roman" w:hAnsi="Verdana"/>
                <w:sz w:val="18"/>
                <w:szCs w:val="18"/>
              </w:rPr>
              <w:t xml:space="preserve">annually </w:t>
            </w:r>
            <w:r w:rsidRPr="00C34DE9">
              <w:rPr>
                <w:rFonts w:ascii="Verdana" w:eastAsia="Times New Roman" w:hAnsi="Verdana"/>
                <w:sz w:val="18"/>
                <w:szCs w:val="18"/>
              </w:rPr>
              <w:t>in CRF Tables—European Environment Agency (EEA), which includes standard reporting table (SRT) for sector 4 (LULUCF)</w:t>
            </w:r>
            <w:r w:rsidR="00280C60">
              <w:rPr>
                <w:rFonts w:ascii="Verdana" w:eastAsia="Times New Roman" w:hAnsi="Verdana"/>
                <w:sz w:val="18"/>
                <w:szCs w:val="18"/>
              </w:rPr>
              <w:t>, set out through Arts 26 and 37 of 2018/1999</w:t>
            </w:r>
            <w:r w:rsidRPr="00C34DE9">
              <w:rPr>
                <w:rFonts w:ascii="Verdana" w:eastAsia="Times New Roman" w:hAnsi="Verdana"/>
                <w:sz w:val="18"/>
                <w:szCs w:val="18"/>
              </w:rPr>
              <w:t>.</w:t>
            </w:r>
          </w:p>
          <w:p w14:paraId="5E6BC03C" w14:textId="46A87D59" w:rsidR="00935FDB" w:rsidRDefault="00935FDB" w:rsidP="00730BAE">
            <w:pPr>
              <w:numPr>
                <w:ilvl w:val="0"/>
                <w:numId w:val="105"/>
              </w:num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The reporting also has to take into account the </w:t>
            </w:r>
            <w:r w:rsidRPr="00C34DE9" w:rsidDel="00F11697">
              <w:rPr>
                <w:rFonts w:ascii="Verdana" w:eastAsia="Times New Roman" w:hAnsi="Verdana"/>
                <w:sz w:val="18"/>
                <w:szCs w:val="18"/>
              </w:rPr>
              <w:t>MS compliance report</w:t>
            </w:r>
            <w:r w:rsidRPr="00C34DE9">
              <w:rPr>
                <w:rFonts w:ascii="Verdana" w:eastAsia="Times New Roman" w:hAnsi="Verdana"/>
                <w:sz w:val="18"/>
                <w:szCs w:val="18"/>
              </w:rPr>
              <w:t xml:space="preserve"> as specified in </w:t>
            </w:r>
            <w:r w:rsidRPr="00C34DE9" w:rsidDel="00F11697">
              <w:rPr>
                <w:rFonts w:ascii="Verdana" w:eastAsia="Times New Roman" w:hAnsi="Verdana"/>
                <w:sz w:val="18"/>
                <w:szCs w:val="18"/>
              </w:rPr>
              <w:t xml:space="preserve">the Article </w:t>
            </w:r>
            <w:r w:rsidR="00B67ADD" w:rsidRPr="00C34DE9" w:rsidDel="00F11697">
              <w:rPr>
                <w:rFonts w:ascii="Verdana" w:eastAsia="Times New Roman" w:hAnsi="Verdana"/>
                <w:sz w:val="18"/>
                <w:szCs w:val="18"/>
              </w:rPr>
              <w:t>14</w:t>
            </w:r>
            <w:r w:rsidR="00BA4067">
              <w:rPr>
                <w:rFonts w:ascii="Verdana" w:eastAsia="Times New Roman" w:hAnsi="Verdana"/>
                <w:sz w:val="18"/>
                <w:szCs w:val="18"/>
              </w:rPr>
              <w:t xml:space="preserve"> of the</w:t>
            </w:r>
            <w:r w:rsidR="00BA4067">
              <w:t xml:space="preserve"> LULUCF Regulation</w:t>
            </w:r>
            <w:r w:rsidRPr="00C34DE9">
              <w:rPr>
                <w:rFonts w:ascii="Verdana" w:eastAsia="Times New Roman" w:hAnsi="Verdana"/>
                <w:sz w:val="18"/>
                <w:szCs w:val="18"/>
              </w:rPr>
              <w:t>.</w:t>
            </w:r>
          </w:p>
          <w:p w14:paraId="48DDA6BC" w14:textId="77777777" w:rsidR="00960107" w:rsidRDefault="00960107" w:rsidP="00AC5E8A">
            <w:pPr>
              <w:spacing w:after="0" w:line="240" w:lineRule="auto"/>
              <w:ind w:left="720"/>
              <w:jc w:val="both"/>
              <w:rPr>
                <w:rFonts w:ascii="Verdana" w:eastAsia="Times New Roman" w:hAnsi="Verdana"/>
                <w:sz w:val="18"/>
                <w:szCs w:val="18"/>
              </w:rPr>
            </w:pPr>
          </w:p>
          <w:p w14:paraId="3666E568" w14:textId="357F3527" w:rsidR="00960107" w:rsidRDefault="00960107" w:rsidP="00960107">
            <w:pPr>
              <w:spacing w:after="0" w:line="240" w:lineRule="auto"/>
              <w:jc w:val="both"/>
              <w:rPr>
                <w:rFonts w:ascii="Verdana" w:eastAsia="Times New Roman" w:hAnsi="Verdana"/>
                <w:sz w:val="18"/>
                <w:szCs w:val="18"/>
              </w:rPr>
            </w:pPr>
            <w:r>
              <w:rPr>
                <w:rFonts w:ascii="Verdana" w:eastAsia="Times New Roman" w:hAnsi="Verdana"/>
                <w:sz w:val="18"/>
                <w:szCs w:val="18"/>
              </w:rPr>
              <w:t xml:space="preserve">6: </w:t>
            </w:r>
            <w:r w:rsidRPr="3B80D187">
              <w:rPr>
                <w:rFonts w:ascii="Verdana" w:eastAsia="Times New Roman" w:hAnsi="Verdana"/>
                <w:b/>
                <w:bCs/>
                <w:sz w:val="18"/>
                <w:szCs w:val="18"/>
              </w:rPr>
              <w:t>GHG emissions from livestock</w:t>
            </w:r>
          </w:p>
          <w:p w14:paraId="6C26E43E" w14:textId="3AA3A52C" w:rsidR="00960107" w:rsidRDefault="00960107" w:rsidP="00730BAE">
            <w:pPr>
              <w:pStyle w:val="ListParagraph"/>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Annual EU GHG inventory, sector 3A and 3B</w:t>
            </w:r>
          </w:p>
          <w:p w14:paraId="3962FE8A" w14:textId="66E1D1DB" w:rsidR="00960107" w:rsidRPr="00960107" w:rsidRDefault="00960107" w:rsidP="00730BAE">
            <w:pPr>
              <w:pStyle w:val="ListParagraph"/>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 xml:space="preserve">Ha of UAA, ESTAT </w:t>
            </w:r>
            <w:r w:rsidRPr="00960107">
              <w:rPr>
                <w:rFonts w:ascii="Verdana" w:eastAsia="Times New Roman" w:hAnsi="Verdana"/>
                <w:sz w:val="18"/>
                <w:szCs w:val="18"/>
              </w:rPr>
              <w:t>Crop production in EU standard humidity [</w:t>
            </w:r>
            <w:hyperlink r:id="rId199" w:history="1">
              <w:r w:rsidRPr="00960107">
                <w:rPr>
                  <w:rStyle w:val="Hyperlink"/>
                  <w:rFonts w:ascii="Verdana" w:eastAsia="Times New Roman" w:hAnsi="Verdana"/>
                  <w:sz w:val="18"/>
                  <w:szCs w:val="18"/>
                </w:rPr>
                <w:t>APRO_CPSH1</w:t>
              </w:r>
            </w:hyperlink>
            <w:r w:rsidRPr="00960107">
              <w:rPr>
                <w:rFonts w:ascii="Verdana" w:eastAsia="Times New Roman" w:hAnsi="Verdana"/>
                <w:sz w:val="18"/>
                <w:szCs w:val="18"/>
              </w:rPr>
              <w:t>]</w:t>
            </w:r>
            <w:r>
              <w:rPr>
                <w:rFonts w:ascii="Verdana" w:eastAsia="Times New Roman" w:hAnsi="Verdana"/>
                <w:sz w:val="18"/>
                <w:szCs w:val="18"/>
              </w:rPr>
              <w:t>, main area</w:t>
            </w:r>
          </w:p>
          <w:p w14:paraId="66BAAF29" w14:textId="61570BD0" w:rsidR="00935FDB" w:rsidRDefault="00935FDB" w:rsidP="00B3636B">
            <w:pPr>
              <w:spacing w:after="0" w:line="240" w:lineRule="auto"/>
              <w:ind w:left="720"/>
              <w:rPr>
                <w:rFonts w:ascii="Verdana" w:eastAsia="Times New Roman" w:hAnsi="Verdana"/>
                <w:sz w:val="18"/>
                <w:szCs w:val="18"/>
              </w:rPr>
            </w:pPr>
          </w:p>
          <w:p w14:paraId="636D05AC" w14:textId="3D61FCA8" w:rsidR="00960107" w:rsidRPr="009A442D" w:rsidRDefault="00960107" w:rsidP="3B80D187">
            <w:pPr>
              <w:spacing w:after="0" w:line="240" w:lineRule="auto"/>
              <w:rPr>
                <w:rFonts w:ascii="Verdana" w:eastAsia="Times New Roman" w:hAnsi="Verdana"/>
                <w:b/>
                <w:bCs/>
                <w:sz w:val="18"/>
                <w:szCs w:val="18"/>
              </w:rPr>
            </w:pPr>
            <w:r>
              <w:rPr>
                <w:rFonts w:ascii="Verdana" w:eastAsia="Times New Roman" w:hAnsi="Verdana"/>
                <w:sz w:val="18"/>
                <w:szCs w:val="18"/>
              </w:rPr>
              <w:t xml:space="preserve">7: </w:t>
            </w:r>
            <w:r w:rsidRPr="3B80D187">
              <w:rPr>
                <w:rFonts w:ascii="Verdana" w:eastAsia="Times New Roman" w:hAnsi="Verdana"/>
                <w:b/>
                <w:bCs/>
                <w:sz w:val="18"/>
                <w:szCs w:val="18"/>
              </w:rPr>
              <w:t>GHG emissions from ruminants</w:t>
            </w:r>
          </w:p>
          <w:p w14:paraId="3B34B396" w14:textId="4927CEF8" w:rsidR="00960107" w:rsidRDefault="00960107" w:rsidP="00730BAE">
            <w:pPr>
              <w:pStyle w:val="ListParagraph"/>
              <w:numPr>
                <w:ilvl w:val="0"/>
                <w:numId w:val="105"/>
              </w:numPr>
              <w:spacing w:after="0" w:line="240" w:lineRule="auto"/>
              <w:jc w:val="both"/>
              <w:rPr>
                <w:rFonts w:ascii="Verdana" w:eastAsia="Times New Roman" w:hAnsi="Verdana"/>
                <w:sz w:val="18"/>
                <w:szCs w:val="18"/>
              </w:rPr>
            </w:pPr>
            <w:r>
              <w:rPr>
                <w:rFonts w:ascii="Verdana" w:eastAsia="Times New Roman" w:hAnsi="Verdana"/>
                <w:sz w:val="18"/>
                <w:szCs w:val="18"/>
              </w:rPr>
              <w:t>Annual EU GHG inventory, sector 3A</w:t>
            </w:r>
          </w:p>
          <w:p w14:paraId="73268348" w14:textId="2BB31D0D" w:rsidR="00960107" w:rsidRDefault="00960107" w:rsidP="00730BAE">
            <w:pPr>
              <w:pStyle w:val="ListParagraph"/>
              <w:numPr>
                <w:ilvl w:val="0"/>
                <w:numId w:val="105"/>
              </w:numPr>
              <w:spacing w:after="0" w:line="240" w:lineRule="auto"/>
              <w:rPr>
                <w:rFonts w:ascii="Verdana" w:eastAsia="Times New Roman" w:hAnsi="Verdana"/>
                <w:sz w:val="18"/>
                <w:szCs w:val="18"/>
              </w:rPr>
            </w:pPr>
            <w:r>
              <w:rPr>
                <w:rFonts w:ascii="Verdana" w:eastAsia="Times New Roman" w:hAnsi="Verdana"/>
                <w:sz w:val="18"/>
                <w:szCs w:val="18"/>
              </w:rPr>
              <w:t>Livestock units of ruminants</w:t>
            </w:r>
            <w:r w:rsidR="009A442D">
              <w:rPr>
                <w:rFonts w:ascii="Verdana" w:eastAsia="Times New Roman" w:hAnsi="Verdana"/>
                <w:sz w:val="18"/>
                <w:szCs w:val="18"/>
              </w:rPr>
              <w:t xml:space="preserve">, ESTAT </w:t>
            </w:r>
            <w:r w:rsidR="009A442D" w:rsidRPr="009A442D">
              <w:rPr>
                <w:rFonts w:ascii="Verdana" w:eastAsia="Times New Roman" w:hAnsi="Verdana"/>
                <w:sz w:val="18"/>
                <w:szCs w:val="18"/>
              </w:rPr>
              <w:t>Main livestock indicators by NUTS 2 regions [</w:t>
            </w:r>
            <w:hyperlink r:id="rId200" w:history="1">
              <w:r w:rsidR="009A442D" w:rsidRPr="009A442D">
                <w:rPr>
                  <w:rStyle w:val="Hyperlink"/>
                  <w:rFonts w:ascii="Verdana" w:eastAsia="Times New Roman" w:hAnsi="Verdana"/>
                  <w:sz w:val="18"/>
                  <w:szCs w:val="18"/>
                </w:rPr>
                <w:t>ef_lsk_main</w:t>
              </w:r>
            </w:hyperlink>
            <w:r w:rsidR="009A442D" w:rsidRPr="009A442D">
              <w:rPr>
                <w:rFonts w:ascii="Verdana" w:eastAsia="Times New Roman" w:hAnsi="Verdana"/>
                <w:sz w:val="18"/>
                <w:szCs w:val="18"/>
              </w:rPr>
              <w:t>]</w:t>
            </w:r>
          </w:p>
          <w:p w14:paraId="116E508B" w14:textId="77777777" w:rsidR="009A442D" w:rsidRPr="00960107" w:rsidRDefault="009A442D" w:rsidP="009A442D">
            <w:pPr>
              <w:pStyle w:val="ListParagraph"/>
              <w:spacing w:after="0" w:line="240" w:lineRule="auto"/>
              <w:rPr>
                <w:rFonts w:ascii="Verdana" w:eastAsia="Times New Roman" w:hAnsi="Verdana"/>
                <w:sz w:val="18"/>
                <w:szCs w:val="18"/>
              </w:rPr>
            </w:pPr>
          </w:p>
          <w:p w14:paraId="5443D486" w14:textId="6996E9AF" w:rsidR="00935FDB" w:rsidRPr="00C34DE9" w:rsidRDefault="00935FDB" w:rsidP="00B3636B">
            <w:pPr>
              <w:spacing w:after="0" w:line="240" w:lineRule="auto"/>
              <w:jc w:val="both"/>
              <w:rPr>
                <w:rFonts w:ascii="Verdana" w:eastAsia="Times New Roman" w:hAnsi="Verdana"/>
                <w:sz w:val="18"/>
                <w:szCs w:val="18"/>
              </w:rPr>
            </w:pPr>
            <w:r w:rsidRPr="00C34DE9">
              <w:rPr>
                <w:rFonts w:ascii="Verdana" w:eastAsia="Times New Roman" w:hAnsi="Verdana"/>
                <w:sz w:val="18"/>
                <w:szCs w:val="18"/>
              </w:rPr>
              <w:t>The full set of data on GHG emissions and removals</w:t>
            </w:r>
            <w:r>
              <w:rPr>
                <w:rFonts w:ascii="Verdana" w:eastAsia="Times New Roman" w:hAnsi="Verdana"/>
                <w:sz w:val="18"/>
                <w:szCs w:val="18"/>
              </w:rPr>
              <w:t xml:space="preserve"> (for both sectors 3 and 4)</w:t>
            </w:r>
            <w:r w:rsidRPr="00C34DE9">
              <w:rPr>
                <w:rFonts w:ascii="Verdana" w:eastAsia="Times New Roman" w:hAnsi="Verdana"/>
                <w:sz w:val="18"/>
                <w:szCs w:val="18"/>
              </w:rPr>
              <w:t>,</w:t>
            </w:r>
            <w:r>
              <w:rPr>
                <w:rFonts w:ascii="Verdana" w:eastAsia="Times New Roman" w:hAnsi="Verdana"/>
                <w:sz w:val="18"/>
                <w:szCs w:val="18"/>
              </w:rPr>
              <w:t xml:space="preserve"> submitted</w:t>
            </w:r>
            <w:r w:rsidRPr="00C34DE9">
              <w:rPr>
                <w:rFonts w:ascii="Verdana" w:eastAsia="Times New Roman" w:hAnsi="Verdana"/>
                <w:sz w:val="18"/>
                <w:szCs w:val="18"/>
              </w:rPr>
              <w:t xml:space="preserve"> by countries to the </w:t>
            </w:r>
            <w:r w:rsidR="00280C60">
              <w:rPr>
                <w:rFonts w:ascii="Verdana" w:eastAsia="Times New Roman" w:hAnsi="Verdana"/>
                <w:sz w:val="18"/>
                <w:szCs w:val="18"/>
              </w:rPr>
              <w:t xml:space="preserve">EU and subsequently the </w:t>
            </w:r>
            <w:r w:rsidRPr="00C34DE9">
              <w:rPr>
                <w:rFonts w:ascii="Verdana" w:eastAsia="Times New Roman" w:hAnsi="Verdana"/>
                <w:sz w:val="18"/>
                <w:szCs w:val="18"/>
              </w:rPr>
              <w:t xml:space="preserve">UNFCCC </w:t>
            </w:r>
            <w:r w:rsidDel="00280C60">
              <w:rPr>
                <w:rFonts w:ascii="Verdana" w:eastAsia="Times New Roman" w:hAnsi="Verdana"/>
                <w:sz w:val="18"/>
                <w:szCs w:val="18"/>
              </w:rPr>
              <w:t xml:space="preserve">Governance </w:t>
            </w:r>
            <w:r w:rsidR="00B840B2" w:rsidDel="00280C60">
              <w:rPr>
                <w:rFonts w:ascii="Verdana" w:eastAsia="Times New Roman" w:hAnsi="Verdana"/>
                <w:sz w:val="18"/>
                <w:szCs w:val="18"/>
              </w:rPr>
              <w:t>regulations</w:t>
            </w:r>
            <w:r w:rsidRPr="00C34DE9">
              <w:rPr>
                <w:rFonts w:ascii="Verdana" w:eastAsia="Times New Roman" w:hAnsi="Verdana"/>
                <w:sz w:val="18"/>
                <w:szCs w:val="18"/>
              </w:rPr>
              <w:t xml:space="preserve"> available at the EEA webpage: National emissions reported to the UNFCCC and to the EU Greenhouse Gas Monitoring Mechanism —European Environment Agency (EEA).</w:t>
            </w:r>
          </w:p>
          <w:p w14:paraId="493CE974" w14:textId="77777777" w:rsidR="00935FDB" w:rsidRPr="00C34DE9" w:rsidRDefault="00935FDB" w:rsidP="00B3636B">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The web-based tool EEA GHG viewer provides access and analysis of the data contained in the annual EU's GHG inventories since 1990. The EEA GHG data </w:t>
            </w:r>
            <w:r w:rsidRPr="00C34DE9">
              <w:rPr>
                <w:rFonts w:ascii="Verdana" w:eastAsia="Times New Roman" w:hAnsi="Verdana"/>
                <w:sz w:val="18"/>
                <w:szCs w:val="18"/>
              </w:rPr>
              <w:lastRenderedPageBreak/>
              <w:t>viewer shows emission trends for the main sectors and allows for comparisons of emissions between different countries and activities. This data set can be consulted at:</w:t>
            </w:r>
          </w:p>
          <w:p w14:paraId="40AE1B88" w14:textId="5D8FC0E1" w:rsidR="00935FDB" w:rsidRPr="00C34DE9" w:rsidRDefault="00AA07F1" w:rsidP="00B3636B">
            <w:pPr>
              <w:spacing w:after="0" w:line="240" w:lineRule="auto"/>
              <w:rPr>
                <w:rFonts w:ascii="Verdana" w:eastAsia="Times New Roman" w:hAnsi="Verdana"/>
                <w:color w:val="0000FF"/>
                <w:sz w:val="18"/>
                <w:szCs w:val="18"/>
                <w:u w:val="single"/>
              </w:rPr>
            </w:pPr>
            <w:hyperlink r:id="rId201" w:history="1">
              <w:r w:rsidR="00935FDB" w:rsidRPr="00C34DE9">
                <w:rPr>
                  <w:rFonts w:ascii="Verdana" w:eastAsia="Times New Roman" w:hAnsi="Verdana"/>
                  <w:color w:val="0000FF"/>
                  <w:sz w:val="18"/>
                  <w:szCs w:val="18"/>
                  <w:u w:val="single"/>
                </w:rPr>
                <w:t>http://www.eea.europa.eu/data-and-maps/data/data-viewers/greenhouse-gases-viewer</w:t>
              </w:r>
            </w:hyperlink>
          </w:p>
          <w:p w14:paraId="7262F7A9" w14:textId="77777777" w:rsidR="00935FDB" w:rsidRPr="00B00B93" w:rsidRDefault="00935FDB" w:rsidP="00B3636B">
            <w:pPr>
              <w:spacing w:after="0" w:line="240" w:lineRule="auto"/>
              <w:jc w:val="both"/>
              <w:rPr>
                <w:rFonts w:ascii="Verdana" w:hAnsi="Verdana"/>
                <w:sz w:val="18"/>
                <w:szCs w:val="18"/>
              </w:rPr>
            </w:pPr>
            <w:r w:rsidRPr="00B00B93">
              <w:rPr>
                <w:rFonts w:ascii="Verdana" w:hAnsi="Verdana"/>
                <w:sz w:val="18"/>
                <w:szCs w:val="18"/>
              </w:rPr>
              <w:t xml:space="preserve">Data are also published in the original format in which they were submitted to the UNFCCC: </w:t>
            </w:r>
          </w:p>
          <w:p w14:paraId="4FF2869A" w14:textId="6EE75D90" w:rsidR="00935FDB" w:rsidRPr="00B00B93" w:rsidRDefault="00AA07F1" w:rsidP="00B3636B">
            <w:pPr>
              <w:spacing w:after="0" w:line="240" w:lineRule="auto"/>
              <w:jc w:val="both"/>
              <w:rPr>
                <w:rFonts w:ascii="Verdana" w:hAnsi="Verdana"/>
                <w:sz w:val="18"/>
                <w:szCs w:val="18"/>
              </w:rPr>
            </w:pPr>
            <w:hyperlink r:id="rId202" w:history="1">
              <w:r w:rsidR="00A9457C" w:rsidRPr="00B00B93">
                <w:rPr>
                  <w:rStyle w:val="Hyperlink"/>
                  <w:rFonts w:ascii="Verdana" w:hAnsi="Verdana"/>
                  <w:sz w:val="18"/>
                  <w:szCs w:val="18"/>
                </w:rPr>
                <w:t>https://unfccc.int/process-and-meetings/transparency-and-reporting/reporting-and-review-under-the-convention/greenhouse-gas-inventories-annex-i-parties/national-inventory-submissions-2019</w:t>
              </w:r>
            </w:hyperlink>
            <w:r w:rsidR="00935FDB" w:rsidRPr="00B00B93">
              <w:rPr>
                <w:rFonts w:ascii="Verdana" w:hAnsi="Verdana"/>
                <w:sz w:val="18"/>
                <w:szCs w:val="18"/>
              </w:rPr>
              <w:t xml:space="preserve"> </w:t>
            </w:r>
          </w:p>
          <w:p w14:paraId="1C6B3568" w14:textId="3CFD57BF" w:rsidR="00935FDB" w:rsidRPr="00B00B93" w:rsidRDefault="00935FDB" w:rsidP="00B3636B">
            <w:pPr>
              <w:spacing w:after="0" w:line="240" w:lineRule="auto"/>
              <w:jc w:val="both"/>
              <w:rPr>
                <w:rFonts w:ascii="Verdana" w:hAnsi="Verdana"/>
                <w:sz w:val="18"/>
                <w:szCs w:val="18"/>
              </w:rPr>
            </w:pPr>
            <w:r w:rsidRPr="00B00B93">
              <w:rPr>
                <w:rFonts w:ascii="Verdana" w:hAnsi="Verdana"/>
                <w:sz w:val="18"/>
                <w:szCs w:val="18"/>
              </w:rPr>
              <w:t xml:space="preserve">The same data are also published in the UNFCCC database: </w:t>
            </w:r>
            <w:hyperlink r:id="rId203" w:history="1">
              <w:r w:rsidRPr="00B00B93">
                <w:rPr>
                  <w:rFonts w:ascii="Verdana" w:hAnsi="Verdana"/>
                  <w:color w:val="0000FF"/>
                  <w:sz w:val="18"/>
                  <w:szCs w:val="18"/>
                  <w:u w:val="single"/>
                </w:rPr>
                <w:t>http://di.unfccc.int/time_series</w:t>
              </w:r>
            </w:hyperlink>
            <w:r w:rsidRPr="00B00B93">
              <w:rPr>
                <w:rFonts w:ascii="Verdana" w:hAnsi="Verdana"/>
                <w:sz w:val="18"/>
                <w:szCs w:val="18"/>
              </w:rPr>
              <w:t xml:space="preserve">  </w:t>
            </w:r>
          </w:p>
          <w:p w14:paraId="57EC84F0" w14:textId="77777777" w:rsidR="00935FDB" w:rsidRPr="00B00B93" w:rsidRDefault="00935FDB" w:rsidP="00B3636B">
            <w:pPr>
              <w:spacing w:after="0" w:line="240" w:lineRule="auto"/>
              <w:jc w:val="both"/>
              <w:rPr>
                <w:rFonts w:ascii="Verdana" w:hAnsi="Verdana"/>
                <w:sz w:val="18"/>
                <w:szCs w:val="18"/>
              </w:rPr>
            </w:pPr>
            <w:r w:rsidRPr="00B00B93">
              <w:rPr>
                <w:rFonts w:ascii="Verdana" w:hAnsi="Verdana"/>
                <w:sz w:val="18"/>
                <w:szCs w:val="18"/>
              </w:rPr>
              <w:t>and the Eurostat database:</w:t>
            </w:r>
          </w:p>
          <w:p w14:paraId="27B4C0D5" w14:textId="77777777" w:rsidR="00935FDB" w:rsidRPr="00C34DE9" w:rsidRDefault="00AA07F1" w:rsidP="00D07B30">
            <w:pPr>
              <w:spacing w:after="0" w:line="240" w:lineRule="auto"/>
              <w:jc w:val="both"/>
              <w:rPr>
                <w:rFonts w:ascii="Verdana" w:eastAsia="Times New Roman" w:hAnsi="Verdana"/>
                <w:color w:val="0000FF"/>
                <w:sz w:val="18"/>
                <w:szCs w:val="18"/>
                <w:u w:val="single"/>
              </w:rPr>
            </w:pPr>
            <w:hyperlink r:id="rId204" w:history="1">
              <w:r w:rsidR="00935FDB" w:rsidRPr="00B00B93">
                <w:rPr>
                  <w:rFonts w:ascii="Verdana" w:hAnsi="Verdana"/>
                  <w:color w:val="0000FF"/>
                  <w:sz w:val="18"/>
                  <w:szCs w:val="18"/>
                  <w:u w:val="single"/>
                </w:rPr>
                <w:t>http://ec.europa.eu/eurostat/product?mode=view&amp;code=env_air_gge</w:t>
              </w:r>
            </w:hyperlink>
          </w:p>
        </w:tc>
      </w:tr>
      <w:tr w:rsidR="00935FDB" w:rsidRPr="00C34DE9" w14:paraId="1F5FDDC0" w14:textId="77777777" w:rsidTr="240ABBB4">
        <w:tc>
          <w:tcPr>
            <w:tcW w:w="2518" w:type="dxa"/>
            <w:tcBorders>
              <w:top w:val="single" w:sz="4" w:space="0" w:color="auto"/>
              <w:left w:val="single" w:sz="4" w:space="0" w:color="auto"/>
              <w:bottom w:val="single" w:sz="4" w:space="0" w:color="auto"/>
              <w:right w:val="single" w:sz="4" w:space="0" w:color="auto"/>
            </w:tcBorders>
            <w:vAlign w:val="center"/>
          </w:tcPr>
          <w:p w14:paraId="7C0B407D"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lastRenderedPageBreak/>
              <w:t xml:space="preserve">Data collection </w:t>
            </w:r>
            <w:r w:rsidR="00CE27E0" w:rsidRPr="5CB4B133">
              <w:rPr>
                <w:rFonts w:ascii="Verdana" w:hAnsi="Verdana"/>
                <w:b/>
                <w:bCs/>
                <w:sz w:val="18"/>
                <w:szCs w:val="18"/>
              </w:rPr>
              <w:t xml:space="preserve">/ dissemination </w:t>
            </w:r>
            <w:r w:rsidRPr="5CB4B133">
              <w:rPr>
                <w:rFonts w:ascii="Verdana" w:hAnsi="Verdana"/>
                <w:b/>
                <w:bCs/>
                <w:sz w:val="18"/>
                <w:szCs w:val="18"/>
              </w:rPr>
              <w:t>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6B60162" w14:textId="1A93E359" w:rsidR="00935FDB" w:rsidRPr="00C34DE9" w:rsidDel="00F9611E" w:rsidRDefault="00E15F3D" w:rsidP="00E15F3D">
            <w:pPr>
              <w:spacing w:after="60"/>
              <w:rPr>
                <w:rFonts w:ascii="Verdana" w:hAnsi="Verdana"/>
                <w:sz w:val="18"/>
                <w:szCs w:val="18"/>
              </w:rPr>
            </w:pPr>
            <w:r>
              <w:rPr>
                <w:rFonts w:ascii="Verdana" w:hAnsi="Verdana"/>
                <w:sz w:val="18"/>
                <w:szCs w:val="18"/>
              </w:rPr>
              <w:t>EU, National (NUTS 0)</w:t>
            </w:r>
          </w:p>
        </w:tc>
      </w:tr>
      <w:tr w:rsidR="00935FDB" w:rsidRPr="00C34DE9" w14:paraId="1BA3AC4A" w14:textId="77777777" w:rsidTr="240ABBB4">
        <w:trPr>
          <w:trHeight w:val="416"/>
        </w:trPr>
        <w:tc>
          <w:tcPr>
            <w:tcW w:w="2518" w:type="dxa"/>
            <w:tcBorders>
              <w:top w:val="single" w:sz="4" w:space="0" w:color="auto"/>
              <w:left w:val="single" w:sz="4" w:space="0" w:color="auto"/>
              <w:bottom w:val="single" w:sz="4" w:space="0" w:color="auto"/>
              <w:right w:val="single" w:sz="4" w:space="0" w:color="auto"/>
            </w:tcBorders>
            <w:vAlign w:val="center"/>
          </w:tcPr>
          <w:p w14:paraId="3BCADDBA" w14:textId="77777777" w:rsidR="00935FDB" w:rsidRPr="00C34DE9" w:rsidRDefault="00935FDB" w:rsidP="790C88FB">
            <w:pPr>
              <w:spacing w:after="60"/>
              <w:rPr>
                <w:rFonts w:ascii="Verdana" w:hAnsi="Verdana"/>
                <w:b/>
                <w:bCs/>
                <w:i/>
                <w:iCs/>
                <w:sz w:val="18"/>
                <w:szCs w:val="18"/>
              </w:rPr>
            </w:pPr>
            <w:r w:rsidRPr="5CB4B133">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0A8ED47" w14:textId="77777777" w:rsidR="00935FDB" w:rsidRPr="00C34DE9" w:rsidRDefault="00935FDB" w:rsidP="00B3636B">
            <w:pPr>
              <w:spacing w:after="60"/>
              <w:rPr>
                <w:rFonts w:ascii="Verdana" w:eastAsia="Times New Roman" w:hAnsi="Verdana"/>
                <w:sz w:val="18"/>
                <w:szCs w:val="18"/>
              </w:rPr>
            </w:pPr>
            <w:r w:rsidRPr="00C34DE9">
              <w:rPr>
                <w:rFonts w:ascii="Verdana" w:eastAsia="Times New Roman" w:hAnsi="Verdana"/>
                <w:sz w:val="18"/>
                <w:szCs w:val="18"/>
              </w:rPr>
              <w:t>Data collected annually</w:t>
            </w:r>
            <w:r w:rsidR="00903892">
              <w:rPr>
                <w:rFonts w:ascii="Verdana" w:eastAsia="Times New Roman" w:hAnsi="Verdana"/>
                <w:sz w:val="18"/>
                <w:szCs w:val="18"/>
              </w:rPr>
              <w:t>.</w:t>
            </w:r>
            <w:r w:rsidR="004010CF">
              <w:rPr>
                <w:rFonts w:ascii="Verdana" w:eastAsia="Times New Roman" w:hAnsi="Verdana"/>
                <w:sz w:val="18"/>
                <w:szCs w:val="18"/>
              </w:rPr>
              <w:t xml:space="preserve"> Data are</w:t>
            </w:r>
            <w:r w:rsidR="00903892">
              <w:rPr>
                <w:rFonts w:ascii="Verdana" w:eastAsia="Times New Roman" w:hAnsi="Verdana"/>
                <w:sz w:val="18"/>
                <w:szCs w:val="18"/>
              </w:rPr>
              <w:t xml:space="preserve"> also recalculated annually for the whole time series due to update in coefficients or upgrading of Tiers. Therefore it is important to ensure an update of the whole time series each year this indicator is reported on.</w:t>
            </w:r>
          </w:p>
        </w:tc>
      </w:tr>
      <w:tr w:rsidR="00935FDB" w:rsidRPr="00C34DE9" w14:paraId="26BA4784" w14:textId="77777777" w:rsidTr="240ABBB4">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71155125"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9D6F678" w14:textId="77777777" w:rsidR="00935FDB" w:rsidRPr="00C34DE9" w:rsidRDefault="00161B7C" w:rsidP="00B3636B">
            <w:pPr>
              <w:spacing w:after="0" w:line="240" w:lineRule="auto"/>
              <w:rPr>
                <w:rFonts w:ascii="Verdana" w:hAnsi="Verdana"/>
                <w:sz w:val="18"/>
                <w:szCs w:val="18"/>
              </w:rPr>
            </w:pPr>
            <w:r>
              <w:rPr>
                <w:rFonts w:ascii="Verdana" w:eastAsia="Times New Roman" w:hAnsi="Verdana"/>
                <w:sz w:val="18"/>
                <w:szCs w:val="18"/>
              </w:rPr>
              <w:t>2 years</w:t>
            </w:r>
          </w:p>
        </w:tc>
      </w:tr>
      <w:tr w:rsidR="00935FDB" w:rsidRPr="00C34DE9" w14:paraId="2B1924D3" w14:textId="77777777" w:rsidTr="240ABBB4">
        <w:trPr>
          <w:trHeight w:val="8493"/>
        </w:trPr>
        <w:tc>
          <w:tcPr>
            <w:tcW w:w="2518" w:type="dxa"/>
            <w:tcBorders>
              <w:top w:val="single" w:sz="4" w:space="0" w:color="auto"/>
              <w:left w:val="single" w:sz="4" w:space="0" w:color="auto"/>
              <w:bottom w:val="single" w:sz="4" w:space="0" w:color="auto"/>
              <w:right w:val="single" w:sz="4" w:space="0" w:color="auto"/>
            </w:tcBorders>
            <w:vAlign w:val="center"/>
          </w:tcPr>
          <w:p w14:paraId="53565856" w14:textId="77777777" w:rsidR="00935FDB" w:rsidRPr="00C34DE9" w:rsidRDefault="00935FDB" w:rsidP="5CB4B133">
            <w:pPr>
              <w:spacing w:after="60"/>
              <w:rPr>
                <w:rFonts w:ascii="Verdana" w:hAnsi="Verdana"/>
                <w:b/>
                <w:bCs/>
                <w:sz w:val="18"/>
                <w:szCs w:val="18"/>
              </w:rPr>
            </w:pPr>
            <w:r w:rsidRPr="5CB4B133">
              <w:rPr>
                <w:rFonts w:ascii="Verdana" w:hAnsi="Verdana"/>
                <w:b/>
                <w:bCs/>
                <w:sz w:val="18"/>
                <w:szCs w:val="18"/>
              </w:rPr>
              <w:lastRenderedPageBreak/>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3287BCBA" w14:textId="77777777" w:rsidR="00903892" w:rsidRDefault="00935FDB" w:rsidP="00801053">
            <w:pPr>
              <w:spacing w:after="0" w:line="240" w:lineRule="auto"/>
              <w:jc w:val="both"/>
              <w:rPr>
                <w:rFonts w:ascii="Verdana" w:eastAsia="Times New Roman" w:hAnsi="Verdana"/>
                <w:sz w:val="18"/>
                <w:szCs w:val="18"/>
              </w:rPr>
            </w:pPr>
            <w:r w:rsidRPr="00C34DE9">
              <w:rPr>
                <w:rFonts w:ascii="Verdana" w:hAnsi="Verdana"/>
                <w:sz w:val="18"/>
                <w:szCs w:val="18"/>
              </w:rPr>
              <w:t xml:space="preserve">[Indication capacity] IPCC guidance allows countries to report GHG emissions and removals according to different tiers. For most agriculture and LULUCF emissions and removals, tier 1 is based on the use of activity data (e.g. agricultural production statistics) and global emission factors. Tier 2 follows the same approach but applies nationally defined emission factors. Tier 3 involves the use of models and higher order inventory data tailored to national circumstances. </w:t>
            </w:r>
            <w:r w:rsidR="00903892" w:rsidRPr="00C34DE9">
              <w:rPr>
                <w:rFonts w:ascii="Verdana" w:eastAsia="Times New Roman" w:hAnsi="Verdana"/>
                <w:sz w:val="18"/>
                <w:szCs w:val="18"/>
              </w:rPr>
              <w:t>Member States are encouraged to improve GHG inventories towards higher tiers, in accordance with the 2006 IPCC Guidelines for National Gree</w:t>
            </w:r>
            <w:r w:rsidR="00F11697">
              <w:rPr>
                <w:rFonts w:ascii="Verdana" w:eastAsia="Times New Roman" w:hAnsi="Verdana"/>
                <w:sz w:val="18"/>
                <w:szCs w:val="18"/>
              </w:rPr>
              <w:t>n</w:t>
            </w:r>
            <w:r w:rsidR="00903892" w:rsidRPr="00C34DE9">
              <w:rPr>
                <w:rFonts w:ascii="Verdana" w:eastAsia="Times New Roman" w:hAnsi="Verdana"/>
                <w:sz w:val="18"/>
                <w:szCs w:val="18"/>
              </w:rPr>
              <w:t xml:space="preserve">house Gas Inventories, which would allow </w:t>
            </w:r>
            <w:r w:rsidR="002B5756">
              <w:rPr>
                <w:rFonts w:ascii="Verdana" w:eastAsia="Times New Roman" w:hAnsi="Verdana"/>
                <w:sz w:val="18"/>
                <w:szCs w:val="18"/>
              </w:rPr>
              <w:t>to</w:t>
            </w:r>
            <w:r w:rsidR="00F11697">
              <w:rPr>
                <w:rFonts w:ascii="Verdana" w:eastAsia="Times New Roman" w:hAnsi="Verdana"/>
                <w:sz w:val="18"/>
                <w:szCs w:val="18"/>
              </w:rPr>
              <w:t xml:space="preserve"> reduce uncertainties and to design better targeted policies </w:t>
            </w:r>
            <w:r w:rsidR="002B5756">
              <w:rPr>
                <w:rFonts w:ascii="Verdana" w:eastAsia="Times New Roman" w:hAnsi="Verdana"/>
                <w:sz w:val="18"/>
                <w:szCs w:val="18"/>
              </w:rPr>
              <w:t>for</w:t>
            </w:r>
            <w:r w:rsidR="00F11697">
              <w:rPr>
                <w:rFonts w:ascii="Verdana" w:eastAsia="Times New Roman" w:hAnsi="Verdana"/>
                <w:sz w:val="18"/>
                <w:szCs w:val="18"/>
              </w:rPr>
              <w:t xml:space="preserve"> decreas</w:t>
            </w:r>
            <w:r w:rsidR="002B5756">
              <w:rPr>
                <w:rFonts w:ascii="Verdana" w:eastAsia="Times New Roman" w:hAnsi="Verdana"/>
                <w:sz w:val="18"/>
                <w:szCs w:val="18"/>
              </w:rPr>
              <w:t>ing</w:t>
            </w:r>
            <w:r w:rsidR="00F11697">
              <w:rPr>
                <w:rFonts w:ascii="Verdana" w:eastAsia="Times New Roman" w:hAnsi="Verdana"/>
                <w:sz w:val="18"/>
                <w:szCs w:val="18"/>
              </w:rPr>
              <w:t xml:space="preserve"> emissions and increas</w:t>
            </w:r>
            <w:r w:rsidR="002B5756">
              <w:rPr>
                <w:rFonts w:ascii="Verdana" w:eastAsia="Times New Roman" w:hAnsi="Verdana"/>
                <w:sz w:val="18"/>
                <w:szCs w:val="18"/>
              </w:rPr>
              <w:t>ing</w:t>
            </w:r>
            <w:r w:rsidR="00F11697">
              <w:rPr>
                <w:rFonts w:ascii="Verdana" w:eastAsia="Times New Roman" w:hAnsi="Verdana"/>
                <w:sz w:val="18"/>
                <w:szCs w:val="18"/>
              </w:rPr>
              <w:t xml:space="preserve"> carbon sinks. The improvement of the inventories can be made more cost-effective by exploiting existing datasets (</w:t>
            </w:r>
            <w:r w:rsidR="002B5756">
              <w:rPr>
                <w:rFonts w:ascii="Verdana" w:eastAsia="Times New Roman" w:hAnsi="Verdana"/>
                <w:sz w:val="18"/>
                <w:szCs w:val="18"/>
              </w:rPr>
              <w:t>see ‘Data sources’</w:t>
            </w:r>
            <w:r w:rsidR="00F11697">
              <w:rPr>
                <w:rFonts w:ascii="Verdana" w:eastAsia="Times New Roman" w:hAnsi="Verdana"/>
                <w:sz w:val="18"/>
                <w:szCs w:val="18"/>
              </w:rPr>
              <w:t>)</w:t>
            </w:r>
            <w:r w:rsidR="00903892" w:rsidRPr="00C34DE9">
              <w:rPr>
                <w:rFonts w:ascii="Verdana" w:eastAsia="Times New Roman" w:hAnsi="Verdana"/>
                <w:sz w:val="18"/>
                <w:szCs w:val="18"/>
              </w:rPr>
              <w:t xml:space="preserve">. </w:t>
            </w:r>
          </w:p>
          <w:p w14:paraId="1C5FEB1D" w14:textId="77777777" w:rsidR="00935FDB" w:rsidRPr="00C34DE9" w:rsidRDefault="00935FDB" w:rsidP="00801053">
            <w:pPr>
              <w:spacing w:after="0" w:line="240" w:lineRule="auto"/>
              <w:jc w:val="both"/>
              <w:rPr>
                <w:rFonts w:ascii="Verdana" w:hAnsi="Verdana"/>
                <w:sz w:val="18"/>
                <w:szCs w:val="18"/>
              </w:rPr>
            </w:pPr>
            <w:r w:rsidRPr="00C34DE9">
              <w:rPr>
                <w:rFonts w:ascii="Verdana" w:hAnsi="Verdana"/>
                <w:sz w:val="18"/>
                <w:szCs w:val="18"/>
              </w:rPr>
              <w:t xml:space="preserve">Methodologies for GHG emission estimates should follow IPCC guidance, but need not be identical across Member States. In particular, when using lower tiers, GHG emission estimates </w:t>
            </w:r>
            <w:r>
              <w:rPr>
                <w:rFonts w:ascii="Verdana" w:hAnsi="Verdana"/>
                <w:sz w:val="18"/>
                <w:szCs w:val="18"/>
              </w:rPr>
              <w:t>might</w:t>
            </w:r>
            <w:r w:rsidRPr="00C34DE9">
              <w:rPr>
                <w:rFonts w:ascii="Verdana" w:hAnsi="Verdana"/>
                <w:sz w:val="18"/>
                <w:szCs w:val="18"/>
              </w:rPr>
              <w:t xml:space="preserve"> not capture the effects of all mitigation measures that are supported by the CAP</w:t>
            </w:r>
            <w:r w:rsidR="003D31CB">
              <w:rPr>
                <w:rFonts w:ascii="Verdana" w:hAnsi="Verdana"/>
                <w:sz w:val="18"/>
                <w:szCs w:val="18"/>
              </w:rPr>
              <w:t>, and therefore upgrading monitoring may in some cases be justified</w:t>
            </w:r>
            <w:r w:rsidRPr="00C34DE9">
              <w:rPr>
                <w:rFonts w:ascii="Verdana" w:hAnsi="Verdana"/>
                <w:sz w:val="18"/>
                <w:szCs w:val="18"/>
              </w:rPr>
              <w:t xml:space="preserve">. </w:t>
            </w:r>
          </w:p>
          <w:p w14:paraId="26CB6C36" w14:textId="77777777" w:rsidR="00935FDB" w:rsidRPr="00C34DE9" w:rsidRDefault="00935FDB" w:rsidP="00B3636B">
            <w:pPr>
              <w:spacing w:after="0" w:line="240" w:lineRule="auto"/>
              <w:jc w:val="both"/>
              <w:rPr>
                <w:rFonts w:ascii="Verdana" w:hAnsi="Verdana"/>
                <w:sz w:val="18"/>
                <w:szCs w:val="18"/>
              </w:rPr>
            </w:pPr>
          </w:p>
          <w:p w14:paraId="650321B1" w14:textId="77777777" w:rsidR="00935FDB" w:rsidRPr="00C34DE9" w:rsidRDefault="00935FDB" w:rsidP="00B3636B">
            <w:pPr>
              <w:spacing w:after="0" w:line="240" w:lineRule="auto"/>
              <w:jc w:val="both"/>
              <w:rPr>
                <w:rFonts w:ascii="Verdana" w:hAnsi="Verdana"/>
                <w:sz w:val="18"/>
                <w:szCs w:val="18"/>
              </w:rPr>
            </w:pPr>
            <w:r w:rsidRPr="00C34DE9">
              <w:rPr>
                <w:rFonts w:ascii="Verdana" w:hAnsi="Verdana"/>
                <w:sz w:val="18"/>
                <w:szCs w:val="18"/>
              </w:rPr>
              <w:t xml:space="preserve">[Readily available] Data </w:t>
            </w:r>
            <w:r>
              <w:rPr>
                <w:rFonts w:ascii="Verdana" w:hAnsi="Verdana"/>
                <w:sz w:val="18"/>
                <w:szCs w:val="18"/>
              </w:rPr>
              <w:t>[</w:t>
            </w:r>
            <w:r w:rsidR="003D31CB">
              <w:rPr>
                <w:rFonts w:ascii="Verdana" w:hAnsi="Verdana"/>
                <w:sz w:val="18"/>
                <w:szCs w:val="18"/>
              </w:rPr>
              <w:t>from 1990</w:t>
            </w:r>
            <w:r>
              <w:rPr>
                <w:rFonts w:ascii="Verdana" w:hAnsi="Verdana"/>
                <w:sz w:val="18"/>
                <w:szCs w:val="18"/>
              </w:rPr>
              <w:t xml:space="preserve"> to 201</w:t>
            </w:r>
            <w:r w:rsidR="00B716D7">
              <w:rPr>
                <w:rFonts w:ascii="Verdana" w:hAnsi="Verdana"/>
                <w:sz w:val="18"/>
                <w:szCs w:val="18"/>
              </w:rPr>
              <w:t>7</w:t>
            </w:r>
            <w:r>
              <w:rPr>
                <w:rFonts w:ascii="Verdana" w:hAnsi="Verdana"/>
                <w:sz w:val="18"/>
                <w:szCs w:val="18"/>
              </w:rPr>
              <w:t xml:space="preserve">] </w:t>
            </w:r>
            <w:r w:rsidRPr="00C34DE9">
              <w:rPr>
                <w:rFonts w:ascii="Verdana" w:hAnsi="Verdana"/>
                <w:sz w:val="18"/>
                <w:szCs w:val="18"/>
              </w:rPr>
              <w:t xml:space="preserve">are already submitted </w:t>
            </w:r>
            <w:r>
              <w:rPr>
                <w:rFonts w:ascii="Verdana" w:hAnsi="Verdana"/>
                <w:sz w:val="18"/>
                <w:szCs w:val="18"/>
              </w:rPr>
              <w:t xml:space="preserve">annually </w:t>
            </w:r>
            <w:r w:rsidRPr="00C34DE9">
              <w:rPr>
                <w:rFonts w:ascii="Verdana" w:hAnsi="Verdana"/>
                <w:sz w:val="18"/>
                <w:szCs w:val="18"/>
              </w:rPr>
              <w:t>by MS</w:t>
            </w:r>
            <w:r w:rsidR="003D31CB">
              <w:rPr>
                <w:rFonts w:ascii="Verdana" w:hAnsi="Verdana"/>
                <w:sz w:val="18"/>
                <w:szCs w:val="18"/>
              </w:rPr>
              <w:t xml:space="preserve"> and the EU</w:t>
            </w:r>
            <w:r w:rsidRPr="00C34DE9">
              <w:rPr>
                <w:rFonts w:ascii="Verdana" w:hAnsi="Verdana"/>
                <w:sz w:val="18"/>
                <w:szCs w:val="18"/>
              </w:rPr>
              <w:t xml:space="preserve">. </w:t>
            </w:r>
            <w:r w:rsidRPr="00C34DE9">
              <w:rPr>
                <w:rFonts w:ascii="Verdana" w:eastAsia="Times New Roman" w:hAnsi="Verdana"/>
                <w:sz w:val="18"/>
                <w:szCs w:val="18"/>
              </w:rPr>
              <w:t>The European Union, as a party to the UNFCCC, reports annually on GHG inventories from the years 1990 to (</w:t>
            </w:r>
            <w:r w:rsidR="00903892">
              <w:rPr>
                <w:rFonts w:ascii="Verdana" w:eastAsia="Times New Roman" w:hAnsi="Verdana"/>
                <w:sz w:val="18"/>
                <w:szCs w:val="18"/>
              </w:rPr>
              <w:t>N</w:t>
            </w:r>
            <w:r w:rsidRPr="00C34DE9">
              <w:rPr>
                <w:rFonts w:ascii="Verdana" w:eastAsia="Times New Roman" w:hAnsi="Verdana"/>
                <w:sz w:val="18"/>
                <w:szCs w:val="18"/>
              </w:rPr>
              <w:t>) for emissions and removals within the area covered by its Member States (i.e. domestic emissions taking place within its territory)</w:t>
            </w:r>
          </w:p>
          <w:p w14:paraId="4430677B" w14:textId="77777777" w:rsidR="00935FDB" w:rsidRPr="00C34DE9" w:rsidRDefault="00935FDB" w:rsidP="00B3636B">
            <w:pPr>
              <w:spacing w:after="0" w:line="240" w:lineRule="auto"/>
              <w:jc w:val="both"/>
              <w:rPr>
                <w:rFonts w:ascii="Verdana" w:hAnsi="Verdana"/>
                <w:sz w:val="18"/>
                <w:szCs w:val="18"/>
              </w:rPr>
            </w:pPr>
          </w:p>
          <w:p w14:paraId="0FFEADE8" w14:textId="77777777" w:rsidR="00935FDB" w:rsidRPr="00C34DE9" w:rsidRDefault="00935FDB" w:rsidP="00903892">
            <w:pPr>
              <w:spacing w:after="0" w:line="240" w:lineRule="auto"/>
              <w:jc w:val="both"/>
              <w:rPr>
                <w:rFonts w:ascii="Verdana" w:eastAsia="Times New Roman" w:hAnsi="Verdana"/>
                <w:sz w:val="18"/>
                <w:szCs w:val="18"/>
              </w:rPr>
            </w:pPr>
            <w:r w:rsidRPr="00C34DE9">
              <w:rPr>
                <w:rFonts w:ascii="Verdana" w:hAnsi="Verdana"/>
                <w:sz w:val="18"/>
                <w:szCs w:val="18"/>
              </w:rPr>
              <w:t>[Downscaling]</w:t>
            </w:r>
            <w:r w:rsidRPr="00C34DE9">
              <w:rPr>
                <w:rFonts w:ascii="Verdana" w:eastAsia="Times New Roman" w:hAnsi="Verdana"/>
                <w:sz w:val="18"/>
                <w:szCs w:val="18"/>
              </w:rPr>
              <w:t xml:space="preserve"> </w:t>
            </w:r>
            <w:r w:rsidR="00903892">
              <w:rPr>
                <w:rFonts w:ascii="Verdana" w:eastAsia="Times New Roman" w:hAnsi="Verdana"/>
                <w:sz w:val="18"/>
                <w:szCs w:val="18"/>
              </w:rPr>
              <w:t>Not applicable as regards lower spatial levels.</w:t>
            </w:r>
          </w:p>
          <w:p w14:paraId="3862570D" w14:textId="77777777" w:rsidR="00935FDB" w:rsidRPr="00C34DE9" w:rsidRDefault="00935FDB" w:rsidP="00B3636B">
            <w:pPr>
              <w:spacing w:after="0" w:line="240" w:lineRule="auto"/>
              <w:jc w:val="both"/>
              <w:rPr>
                <w:rFonts w:ascii="Verdana" w:hAnsi="Verdana"/>
                <w:sz w:val="18"/>
                <w:szCs w:val="18"/>
              </w:rPr>
            </w:pPr>
          </w:p>
          <w:p w14:paraId="2FB26949" w14:textId="77777777" w:rsidR="00935FDB" w:rsidRPr="00C34DE9" w:rsidRDefault="00935FDB" w:rsidP="00B3636B">
            <w:pPr>
              <w:spacing w:after="0" w:line="240" w:lineRule="auto"/>
              <w:jc w:val="both"/>
              <w:rPr>
                <w:rFonts w:ascii="Verdana" w:hAnsi="Verdana"/>
                <w:sz w:val="18"/>
                <w:szCs w:val="18"/>
                <w:lang w:val="en-US"/>
              </w:rPr>
            </w:pPr>
            <w:r w:rsidRPr="00C34DE9">
              <w:rPr>
                <w:rFonts w:ascii="Verdana" w:hAnsi="Verdana"/>
                <w:sz w:val="18"/>
                <w:szCs w:val="18"/>
              </w:rPr>
              <w:t xml:space="preserve">[Quality] MS can use different tiers, linked to the availability of more specific data and coefficients, for example with high detail on mitigation measures. </w:t>
            </w:r>
            <w:r w:rsidR="00BA4067">
              <w:rPr>
                <w:rFonts w:ascii="Verdana" w:hAnsi="Verdana"/>
                <w:sz w:val="18"/>
                <w:szCs w:val="18"/>
              </w:rPr>
              <w:t xml:space="preserve">The use of IPCC standard would anyway ensure comparability among sectors and MS. </w:t>
            </w:r>
            <w:r w:rsidRPr="00C34DE9">
              <w:rPr>
                <w:rFonts w:ascii="Verdana" w:hAnsi="Verdana"/>
                <w:sz w:val="18"/>
                <w:szCs w:val="18"/>
              </w:rPr>
              <w:t>Thematic resolution can also be very important, e.g.</w:t>
            </w:r>
            <w:r w:rsidRPr="00C34DE9">
              <w:t xml:space="preserve"> </w:t>
            </w:r>
            <w:r w:rsidRPr="00C34DE9">
              <w:rPr>
                <w:rFonts w:ascii="Verdana" w:hAnsi="Verdana"/>
                <w:sz w:val="18"/>
                <w:szCs w:val="18"/>
              </w:rPr>
              <w:t>animal sub-categories, different farming systems etc.</w:t>
            </w:r>
          </w:p>
          <w:p w14:paraId="6A7DEE02" w14:textId="77777777" w:rsidR="00935FDB" w:rsidRPr="00C34DE9" w:rsidRDefault="00935FDB" w:rsidP="00B3636B">
            <w:pPr>
              <w:spacing w:after="0" w:line="240" w:lineRule="auto"/>
              <w:jc w:val="both"/>
              <w:rPr>
                <w:rFonts w:ascii="Verdana" w:hAnsi="Verdana"/>
                <w:sz w:val="18"/>
                <w:szCs w:val="18"/>
                <w:lang w:val="en-US"/>
              </w:rPr>
            </w:pPr>
          </w:p>
          <w:p w14:paraId="056E0AE7" w14:textId="169CCED9" w:rsidR="0003345A" w:rsidRDefault="00935FDB" w:rsidP="00B3636B">
            <w:pPr>
              <w:spacing w:after="0" w:line="240" w:lineRule="auto"/>
              <w:jc w:val="both"/>
              <w:rPr>
                <w:rFonts w:ascii="Verdana" w:eastAsia="Times New Roman" w:hAnsi="Verdana"/>
                <w:sz w:val="18"/>
                <w:szCs w:val="18"/>
              </w:rPr>
            </w:pPr>
            <w:r w:rsidRPr="00C34DE9">
              <w:rPr>
                <w:rFonts w:ascii="Verdana" w:hAnsi="Verdana"/>
                <w:sz w:val="18"/>
                <w:szCs w:val="18"/>
              </w:rPr>
              <w:t xml:space="preserve">[Baseline] </w:t>
            </w:r>
            <w:r w:rsidRPr="00C34DE9">
              <w:rPr>
                <w:rFonts w:ascii="Verdana" w:eastAsia="Times New Roman" w:hAnsi="Verdana"/>
                <w:sz w:val="18"/>
                <w:szCs w:val="18"/>
              </w:rPr>
              <w:t xml:space="preserve">Relative net emissions are reported as a percentage of the emissions in the reference year </w:t>
            </w:r>
            <w:r w:rsidR="0003345A">
              <w:rPr>
                <w:rFonts w:ascii="Verdana" w:eastAsia="Times New Roman" w:hAnsi="Verdana"/>
                <w:sz w:val="18"/>
                <w:szCs w:val="18"/>
              </w:rPr>
              <w:t xml:space="preserve">1990 and </w:t>
            </w:r>
            <w:r>
              <w:rPr>
                <w:rFonts w:ascii="Verdana" w:eastAsia="Times New Roman" w:hAnsi="Verdana"/>
                <w:sz w:val="18"/>
                <w:szCs w:val="18"/>
              </w:rPr>
              <w:t>2005</w:t>
            </w:r>
            <w:r w:rsidR="0003345A">
              <w:rPr>
                <w:rFonts w:ascii="Verdana" w:eastAsia="Times New Roman" w:hAnsi="Verdana"/>
                <w:sz w:val="18"/>
                <w:szCs w:val="18"/>
              </w:rPr>
              <w:t>.</w:t>
            </w:r>
            <w:r w:rsidR="0003345A">
              <w:rPr>
                <w:rFonts w:ascii="Times New Roman" w:hAnsi="Times New Roman" w:cs="Times New Roman"/>
                <w:sz w:val="24"/>
                <w:szCs w:val="24"/>
              </w:rPr>
              <w:t xml:space="preserve"> </w:t>
            </w:r>
            <w:r w:rsidR="0003345A" w:rsidRPr="0003345A">
              <w:rPr>
                <w:rFonts w:ascii="Verdana" w:eastAsia="Times New Roman" w:hAnsi="Verdana"/>
                <w:sz w:val="18"/>
                <w:szCs w:val="18"/>
              </w:rPr>
              <w:t>The two reference years are both important for the contextuali</w:t>
            </w:r>
            <w:r w:rsidR="00F9771C">
              <w:rPr>
                <w:rFonts w:ascii="Verdana" w:eastAsia="Times New Roman" w:hAnsi="Verdana"/>
                <w:sz w:val="18"/>
                <w:szCs w:val="18"/>
              </w:rPr>
              <w:t>s</w:t>
            </w:r>
            <w:r w:rsidR="0003345A" w:rsidRPr="0003345A">
              <w:rPr>
                <w:rFonts w:ascii="Verdana" w:eastAsia="Times New Roman" w:hAnsi="Verdana"/>
                <w:sz w:val="18"/>
                <w:szCs w:val="18"/>
              </w:rPr>
              <w:t>ation of emission</w:t>
            </w:r>
            <w:r w:rsidR="00F9771C">
              <w:rPr>
                <w:rFonts w:ascii="Verdana" w:eastAsia="Times New Roman" w:hAnsi="Verdana"/>
                <w:sz w:val="18"/>
                <w:szCs w:val="18"/>
              </w:rPr>
              <w:t>s</w:t>
            </w:r>
            <w:r w:rsidR="0003345A" w:rsidRPr="0003345A">
              <w:rPr>
                <w:rFonts w:ascii="Verdana" w:eastAsia="Times New Roman" w:hAnsi="Verdana"/>
                <w:sz w:val="18"/>
                <w:szCs w:val="18"/>
              </w:rPr>
              <w:t xml:space="preserve"> reduction in agriculture with EU policies</w:t>
            </w:r>
            <w:r w:rsidR="0003345A">
              <w:rPr>
                <w:rFonts w:ascii="Verdana" w:eastAsia="Times New Roman" w:hAnsi="Verdana"/>
                <w:sz w:val="18"/>
                <w:szCs w:val="18"/>
              </w:rPr>
              <w:t xml:space="preserve">. </w:t>
            </w:r>
            <w:r w:rsidR="0003345A" w:rsidRPr="0003345A">
              <w:rPr>
                <w:rFonts w:ascii="Verdana" w:eastAsia="Times New Roman" w:hAnsi="Verdana"/>
                <w:sz w:val="18"/>
                <w:szCs w:val="18"/>
              </w:rPr>
              <w:t>European Green Deal and the current framework policy consider targets referring to 1990; while in terms of implementation, particularly for non-CO2 emissions from livestock and soil management, is it also relevant to refer to 2005, as Member States set their reduction target</w:t>
            </w:r>
            <w:r w:rsidR="0003345A">
              <w:rPr>
                <w:rFonts w:ascii="Verdana" w:eastAsia="Times New Roman" w:hAnsi="Verdana"/>
                <w:sz w:val="18"/>
                <w:szCs w:val="18"/>
              </w:rPr>
              <w:t>s</w:t>
            </w:r>
            <w:r w:rsidR="0003345A" w:rsidRPr="0003345A">
              <w:rPr>
                <w:rFonts w:ascii="Verdana" w:eastAsia="Times New Roman" w:hAnsi="Verdana"/>
                <w:sz w:val="18"/>
                <w:szCs w:val="18"/>
              </w:rPr>
              <w:t xml:space="preserve"> for the Effort Sharing Regulation</w:t>
            </w:r>
            <w:r w:rsidR="0003345A">
              <w:rPr>
                <w:rFonts w:ascii="Verdana" w:eastAsia="Times New Roman" w:hAnsi="Verdana"/>
                <w:sz w:val="18"/>
                <w:szCs w:val="18"/>
              </w:rPr>
              <w:t xml:space="preserve"> sectors</w:t>
            </w:r>
            <w:r w:rsidR="0003345A" w:rsidRPr="0003345A">
              <w:rPr>
                <w:rFonts w:ascii="Verdana" w:eastAsia="Times New Roman" w:hAnsi="Verdana"/>
                <w:sz w:val="18"/>
                <w:szCs w:val="18"/>
              </w:rPr>
              <w:t>, of which agriculture is part, using 2005 as baseline.</w:t>
            </w:r>
          </w:p>
          <w:p w14:paraId="0D1CF614" w14:textId="550B9874" w:rsidR="00CF5C21" w:rsidRPr="00C34DE9" w:rsidRDefault="0003345A" w:rsidP="00B3636B">
            <w:pPr>
              <w:spacing w:after="0" w:line="240" w:lineRule="auto"/>
              <w:jc w:val="both"/>
              <w:rPr>
                <w:rFonts w:ascii="Verdana" w:eastAsia="Times New Roman" w:hAnsi="Verdana"/>
                <w:sz w:val="18"/>
                <w:szCs w:val="18"/>
              </w:rPr>
            </w:pPr>
            <w:r>
              <w:rPr>
                <w:rFonts w:ascii="Verdana" w:eastAsia="Times New Roman" w:hAnsi="Verdana"/>
                <w:sz w:val="18"/>
                <w:szCs w:val="18"/>
              </w:rPr>
              <w:t xml:space="preserve">Specifically for LULUCF agricultural-related land categories cropland and grassland, reference year would be </w:t>
            </w:r>
            <w:r w:rsidR="00F11697">
              <w:rPr>
                <w:rFonts w:ascii="Verdana" w:eastAsia="Times New Roman" w:hAnsi="Verdana"/>
                <w:sz w:val="18"/>
                <w:szCs w:val="18"/>
              </w:rPr>
              <w:t>the average of emissions and removals in the reference period 2005-2009 (s</w:t>
            </w:r>
            <w:r w:rsidR="00100083">
              <w:rPr>
                <w:rFonts w:ascii="Verdana" w:eastAsia="Times New Roman" w:hAnsi="Verdana"/>
                <w:sz w:val="18"/>
                <w:szCs w:val="18"/>
              </w:rPr>
              <w:t xml:space="preserve">pecific </w:t>
            </w:r>
            <w:r w:rsidR="00F11697">
              <w:rPr>
                <w:rFonts w:ascii="Verdana" w:eastAsia="Times New Roman" w:hAnsi="Verdana"/>
                <w:sz w:val="18"/>
                <w:szCs w:val="18"/>
              </w:rPr>
              <w:t xml:space="preserve">indicator </w:t>
            </w:r>
            <w:r w:rsidR="00CF5C21">
              <w:rPr>
                <w:rFonts w:ascii="Verdana" w:eastAsia="Times New Roman" w:hAnsi="Verdana"/>
                <w:sz w:val="18"/>
                <w:szCs w:val="18"/>
              </w:rPr>
              <w:t>3</w:t>
            </w:r>
            <w:r w:rsidR="00F11697">
              <w:rPr>
                <w:rFonts w:ascii="Verdana" w:eastAsia="Times New Roman" w:hAnsi="Verdana"/>
                <w:sz w:val="18"/>
                <w:szCs w:val="18"/>
              </w:rPr>
              <w:t>)</w:t>
            </w:r>
            <w:r w:rsidR="00CF5C21">
              <w:rPr>
                <w:rFonts w:ascii="Verdana" w:eastAsia="Times New Roman" w:hAnsi="Verdana"/>
                <w:sz w:val="18"/>
                <w:szCs w:val="18"/>
              </w:rPr>
              <w:t xml:space="preserve">, </w:t>
            </w:r>
            <w:r w:rsidR="00CF5C21" w:rsidRPr="00C34DE9">
              <w:rPr>
                <w:rFonts w:ascii="Verdana" w:eastAsia="Times New Roman" w:hAnsi="Verdana"/>
                <w:sz w:val="18"/>
                <w:szCs w:val="18"/>
              </w:rPr>
              <w:t>as defined in LULUCF Regulation</w:t>
            </w:r>
            <w:r w:rsidR="00CF5C21">
              <w:rPr>
                <w:rFonts w:ascii="Verdana" w:eastAsia="Times New Roman" w:hAnsi="Verdana"/>
                <w:sz w:val="18"/>
                <w:szCs w:val="18"/>
              </w:rPr>
              <w:t xml:space="preserve"> 2018/841</w:t>
            </w:r>
            <w:r w:rsidR="00935FDB" w:rsidRPr="00C34DE9">
              <w:rPr>
                <w:rFonts w:ascii="Verdana" w:eastAsia="Times New Roman" w:hAnsi="Verdana"/>
                <w:sz w:val="18"/>
                <w:szCs w:val="18"/>
              </w:rPr>
              <w:t>.</w:t>
            </w:r>
            <w:r w:rsidR="00CF5C21">
              <w:rPr>
                <w:rFonts w:ascii="Verdana" w:eastAsia="Times New Roman" w:hAnsi="Verdana"/>
                <w:sz w:val="18"/>
                <w:szCs w:val="18"/>
              </w:rPr>
              <w:t xml:space="preserve"> </w:t>
            </w:r>
          </w:p>
        </w:tc>
      </w:tr>
    </w:tbl>
    <w:p w14:paraId="1CABC294" w14:textId="77777777" w:rsidR="007D52F2" w:rsidRPr="00C34DE9" w:rsidRDefault="00D0612E" w:rsidP="003C3153">
      <w:r w:rsidRPr="00C34DE9">
        <w:br w:type="page"/>
      </w:r>
    </w:p>
    <w:p w14:paraId="045471B9" w14:textId="77777777" w:rsidR="00A240BB" w:rsidRDefault="00A240BB" w:rsidP="003C315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048"/>
      </w:tblGrid>
      <w:tr w:rsidR="00263438" w:rsidRPr="00C34DE9" w14:paraId="4CA370A4"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00B0F0"/>
          </w:tcPr>
          <w:p w14:paraId="369B8466" w14:textId="0DAA5BE2" w:rsidR="00263438" w:rsidRPr="001C7B32" w:rsidRDefault="00263438" w:rsidP="00DE5E11">
            <w:pPr>
              <w:spacing w:before="120" w:after="60"/>
              <w:rPr>
                <w:rFonts w:ascii="Verdana" w:hAnsi="Verdana"/>
                <w:b/>
                <w:bCs/>
                <w:caps/>
                <w:sz w:val="18"/>
                <w:szCs w:val="18"/>
              </w:rPr>
            </w:pPr>
            <w:bookmarkStart w:id="69" w:name="C44"/>
            <w:r w:rsidRPr="0A9CF26C">
              <w:rPr>
                <w:rFonts w:ascii="Verdana" w:hAnsi="Verdana"/>
                <w:b/>
                <w:bCs/>
                <w:smallCaps/>
                <w:sz w:val="18"/>
                <w:szCs w:val="18"/>
              </w:rPr>
              <w:t>Indicator C.4</w:t>
            </w:r>
            <w:r w:rsidR="00DE5E11">
              <w:rPr>
                <w:rFonts w:ascii="Verdana" w:hAnsi="Verdana"/>
                <w:b/>
                <w:bCs/>
                <w:smallCaps/>
                <w:sz w:val="18"/>
                <w:szCs w:val="18"/>
              </w:rPr>
              <w:t>5</w:t>
            </w:r>
            <w:bookmarkEnd w:id="69"/>
          </w:p>
        </w:tc>
        <w:tc>
          <w:tcPr>
            <w:tcW w:w="7048" w:type="dxa"/>
            <w:tcBorders>
              <w:top w:val="single" w:sz="4" w:space="0" w:color="auto"/>
              <w:left w:val="single" w:sz="4" w:space="0" w:color="auto"/>
              <w:bottom w:val="single" w:sz="4" w:space="0" w:color="auto"/>
              <w:right w:val="single" w:sz="4" w:space="0" w:color="auto"/>
            </w:tcBorders>
            <w:shd w:val="clear" w:color="auto" w:fill="00B0F0"/>
          </w:tcPr>
          <w:p w14:paraId="0D3D9208" w14:textId="77777777" w:rsidR="00263438" w:rsidRDefault="0013385D" w:rsidP="00ED38D8">
            <w:pPr>
              <w:spacing w:after="60"/>
              <w:rPr>
                <w:rFonts w:ascii="Verdana" w:hAnsi="Verdana"/>
                <w:b/>
                <w:bCs/>
                <w:sz w:val="18"/>
                <w:szCs w:val="18"/>
              </w:rPr>
            </w:pPr>
            <w:r>
              <w:rPr>
                <w:rFonts w:ascii="Verdana" w:hAnsi="Verdana"/>
                <w:b/>
                <w:bCs/>
                <w:sz w:val="18"/>
                <w:szCs w:val="18"/>
              </w:rPr>
              <w:t xml:space="preserve">Indicator </w:t>
            </w:r>
            <w:r w:rsidR="007E7E06" w:rsidRPr="007E7E06">
              <w:rPr>
                <w:rFonts w:ascii="Verdana" w:hAnsi="Verdana"/>
                <w:b/>
                <w:bCs/>
                <w:sz w:val="18"/>
                <w:szCs w:val="18"/>
              </w:rPr>
              <w:t xml:space="preserve">I.9 Improving </w:t>
            </w:r>
            <w:r w:rsidR="00544397">
              <w:rPr>
                <w:rFonts w:ascii="Verdana" w:hAnsi="Verdana"/>
                <w:b/>
                <w:bCs/>
                <w:sz w:val="18"/>
                <w:szCs w:val="18"/>
              </w:rPr>
              <w:t>the</w:t>
            </w:r>
            <w:r w:rsidR="007E7E06" w:rsidRPr="007E7E06">
              <w:rPr>
                <w:rFonts w:ascii="Verdana" w:hAnsi="Verdana"/>
                <w:b/>
                <w:bCs/>
                <w:sz w:val="18"/>
                <w:szCs w:val="18"/>
              </w:rPr>
              <w:t xml:space="preserve"> resilience</w:t>
            </w:r>
            <w:r w:rsidR="00544397">
              <w:rPr>
                <w:rFonts w:ascii="Verdana" w:hAnsi="Verdana"/>
                <w:b/>
                <w:bCs/>
                <w:sz w:val="18"/>
                <w:szCs w:val="18"/>
              </w:rPr>
              <w:t xml:space="preserve"> of agriculture to climate change</w:t>
            </w:r>
            <w:r w:rsidR="00DE5E11">
              <w:rPr>
                <w:rFonts w:ascii="Verdana" w:hAnsi="Verdana"/>
                <w:b/>
                <w:bCs/>
                <w:sz w:val="18"/>
                <w:szCs w:val="18"/>
              </w:rPr>
              <w:t>:</w:t>
            </w:r>
          </w:p>
          <w:p w14:paraId="07330DC2" w14:textId="5EC624C3" w:rsidR="00DE5E11" w:rsidRPr="001C7B32" w:rsidRDefault="00DE5E11" w:rsidP="00ED38D8">
            <w:pPr>
              <w:spacing w:after="60"/>
              <w:rPr>
                <w:rFonts w:ascii="Verdana" w:hAnsi="Verdana"/>
                <w:sz w:val="18"/>
                <w:szCs w:val="18"/>
              </w:rPr>
            </w:pPr>
            <w:r w:rsidRPr="00DE5E11">
              <w:rPr>
                <w:rFonts w:ascii="Verdana" w:hAnsi="Verdana"/>
                <w:sz w:val="18"/>
                <w:szCs w:val="18"/>
              </w:rPr>
              <w:t>Agricultural sector resilience progress indicator</w:t>
            </w:r>
          </w:p>
        </w:tc>
      </w:tr>
      <w:tr w:rsidR="00263438" w:rsidRPr="00C34DE9" w14:paraId="28212F50"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1B82A1A3" w14:textId="16E9F86B"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t>Indicator Name</w:t>
            </w:r>
          </w:p>
        </w:tc>
        <w:tc>
          <w:tcPr>
            <w:tcW w:w="7048" w:type="dxa"/>
            <w:tcBorders>
              <w:top w:val="single" w:sz="4" w:space="0" w:color="auto"/>
              <w:left w:val="single" w:sz="4" w:space="0" w:color="auto"/>
              <w:bottom w:val="single" w:sz="4" w:space="0" w:color="auto"/>
              <w:right w:val="single" w:sz="4" w:space="0" w:color="auto"/>
            </w:tcBorders>
          </w:tcPr>
          <w:p w14:paraId="7D7FBA76" w14:textId="6AC72DFF" w:rsidR="00263438" w:rsidRPr="00263438" w:rsidRDefault="00EC026F" w:rsidP="790C88FB">
            <w:pPr>
              <w:spacing w:after="60"/>
              <w:jc w:val="center"/>
              <w:rPr>
                <w:rFonts w:ascii="Verdana" w:hAnsi="Verdana"/>
                <w:i/>
                <w:iCs/>
                <w:sz w:val="18"/>
                <w:szCs w:val="18"/>
              </w:rPr>
            </w:pPr>
            <w:r w:rsidRPr="00EC026F">
              <w:rPr>
                <w:rFonts w:ascii="Verdana" w:hAnsi="Verdana"/>
                <w:b/>
                <w:bCs/>
                <w:sz w:val="18"/>
                <w:szCs w:val="18"/>
              </w:rPr>
              <w:t>Agricultural sector resilience progress indicator</w:t>
            </w:r>
            <w:r w:rsidR="00ED08F3">
              <w:rPr>
                <w:rFonts w:ascii="Verdana" w:hAnsi="Verdana"/>
                <w:b/>
                <w:bCs/>
                <w:sz w:val="18"/>
                <w:szCs w:val="18"/>
              </w:rPr>
              <w:br/>
            </w:r>
          </w:p>
        </w:tc>
      </w:tr>
      <w:tr w:rsidR="00263438" w:rsidRPr="00564156" w14:paraId="2E0E2971"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1C20E003" w14:textId="77777777" w:rsidR="00263438" w:rsidRPr="00C34DE9" w:rsidRDefault="00263438" w:rsidP="790C88FB">
            <w:pPr>
              <w:spacing w:after="60"/>
              <w:rPr>
                <w:rFonts w:ascii="Verdana" w:hAnsi="Verdana"/>
                <w:b/>
                <w:bCs/>
                <w:i/>
                <w:iCs/>
                <w:sz w:val="18"/>
                <w:szCs w:val="18"/>
              </w:rPr>
            </w:pPr>
            <w:r w:rsidRPr="0A9CF26C">
              <w:rPr>
                <w:rFonts w:ascii="Verdana" w:hAnsi="Verdana"/>
                <w:b/>
                <w:bCs/>
                <w:sz w:val="18"/>
                <w:szCs w:val="18"/>
              </w:rPr>
              <w:t>Definition</w:t>
            </w:r>
          </w:p>
        </w:tc>
        <w:tc>
          <w:tcPr>
            <w:tcW w:w="7048" w:type="dxa"/>
            <w:tcBorders>
              <w:top w:val="single" w:sz="4" w:space="0" w:color="auto"/>
              <w:left w:val="single" w:sz="4" w:space="0" w:color="auto"/>
              <w:bottom w:val="single" w:sz="4" w:space="0" w:color="auto"/>
              <w:right w:val="single" w:sz="4" w:space="0" w:color="auto"/>
            </w:tcBorders>
          </w:tcPr>
          <w:p w14:paraId="343EA5A9" w14:textId="72731424" w:rsidR="00263438" w:rsidRDefault="00263438" w:rsidP="00801053">
            <w:pPr>
              <w:jc w:val="both"/>
              <w:rPr>
                <w:rFonts w:ascii="Verdana" w:hAnsi="Verdana" w:cs="Calibri"/>
                <w:sz w:val="18"/>
                <w:szCs w:val="18"/>
              </w:rPr>
            </w:pPr>
            <w:r>
              <w:rPr>
                <w:rFonts w:ascii="Verdana" w:hAnsi="Verdana" w:cs="Calibri"/>
                <w:sz w:val="18"/>
                <w:szCs w:val="18"/>
              </w:rPr>
              <w:t xml:space="preserve">The resilience of agriculture to climate change </w:t>
            </w:r>
            <w:r w:rsidR="00187902">
              <w:rPr>
                <w:rFonts w:ascii="Verdana" w:hAnsi="Verdana" w:cs="Calibri"/>
                <w:sz w:val="18"/>
                <w:szCs w:val="18"/>
              </w:rPr>
              <w:t xml:space="preserve">refers to </w:t>
            </w:r>
            <w:r>
              <w:rPr>
                <w:rFonts w:ascii="Verdana" w:hAnsi="Verdana" w:cs="Calibri"/>
                <w:sz w:val="18"/>
                <w:szCs w:val="18"/>
              </w:rPr>
              <w:t xml:space="preserve">the capability to maintain functions and services of the sector </w:t>
            </w:r>
            <w:r w:rsidR="00933A36" w:rsidRPr="00933A36">
              <w:rPr>
                <w:rFonts w:ascii="Verdana" w:hAnsi="Verdana" w:cs="Calibri"/>
                <w:sz w:val="18"/>
                <w:szCs w:val="18"/>
              </w:rPr>
              <w:t>vis-à-vis</w:t>
            </w:r>
            <w:r w:rsidR="00462F4B">
              <w:rPr>
                <w:rFonts w:ascii="Verdana" w:hAnsi="Verdana" w:cs="Calibri"/>
                <w:sz w:val="18"/>
                <w:szCs w:val="18"/>
              </w:rPr>
              <w:t xml:space="preserve"> </w:t>
            </w:r>
            <w:r w:rsidR="00187902">
              <w:rPr>
                <w:rFonts w:ascii="Verdana" w:hAnsi="Verdana" w:cs="Calibri"/>
                <w:sz w:val="18"/>
                <w:szCs w:val="18"/>
              </w:rPr>
              <w:t xml:space="preserve">increasing </w:t>
            </w:r>
            <w:r>
              <w:rPr>
                <w:rFonts w:ascii="Verdana" w:hAnsi="Verdana" w:cs="Calibri"/>
                <w:sz w:val="18"/>
                <w:szCs w:val="18"/>
              </w:rPr>
              <w:t xml:space="preserve">extreme events </w:t>
            </w:r>
            <w:r w:rsidR="00187902">
              <w:rPr>
                <w:rFonts w:ascii="Verdana" w:hAnsi="Verdana" w:cs="Calibri"/>
                <w:sz w:val="18"/>
                <w:szCs w:val="18"/>
              </w:rPr>
              <w:t xml:space="preserve">under climate change. Resilience can be strengthened </w:t>
            </w:r>
            <w:r>
              <w:rPr>
                <w:rFonts w:ascii="Verdana" w:hAnsi="Verdana" w:cs="Calibri"/>
                <w:sz w:val="18"/>
                <w:szCs w:val="18"/>
              </w:rPr>
              <w:t xml:space="preserve">through short-term adjustment of existing practices and management, and long-term transformational change, </w:t>
            </w:r>
            <w:r w:rsidR="00187902">
              <w:rPr>
                <w:rFonts w:ascii="Verdana" w:hAnsi="Verdana" w:cs="Calibri"/>
                <w:sz w:val="18"/>
                <w:szCs w:val="18"/>
              </w:rPr>
              <w:t xml:space="preserve">in response </w:t>
            </w:r>
            <w:r>
              <w:rPr>
                <w:rFonts w:ascii="Verdana" w:hAnsi="Verdana" w:cs="Calibri"/>
                <w:sz w:val="18"/>
                <w:szCs w:val="18"/>
              </w:rPr>
              <w:t xml:space="preserve">to the duration and the intensity of climate disturbances. Several factors can have an effect on </w:t>
            </w:r>
            <w:r w:rsidR="00187902">
              <w:rPr>
                <w:rFonts w:ascii="Verdana" w:hAnsi="Verdana" w:cs="Calibri"/>
                <w:sz w:val="18"/>
                <w:szCs w:val="18"/>
              </w:rPr>
              <w:t>sector’s</w:t>
            </w:r>
            <w:r>
              <w:rPr>
                <w:rFonts w:ascii="Verdana" w:hAnsi="Verdana" w:cs="Calibri"/>
                <w:sz w:val="18"/>
                <w:szCs w:val="18"/>
              </w:rPr>
              <w:t xml:space="preserve"> resilience</w:t>
            </w:r>
            <w:r w:rsidR="00187902">
              <w:rPr>
                <w:rFonts w:ascii="Verdana" w:hAnsi="Verdana" w:cs="Calibri"/>
                <w:sz w:val="18"/>
                <w:szCs w:val="18"/>
              </w:rPr>
              <w:t xml:space="preserve"> to climate change</w:t>
            </w:r>
            <w:r>
              <w:rPr>
                <w:rFonts w:ascii="Verdana" w:hAnsi="Verdana" w:cs="Calibri"/>
                <w:sz w:val="18"/>
                <w:szCs w:val="18"/>
              </w:rPr>
              <w:t xml:space="preserve">, including </w:t>
            </w:r>
            <w:r w:rsidR="00187902">
              <w:rPr>
                <w:rFonts w:ascii="Verdana" w:hAnsi="Verdana" w:cs="Calibri"/>
                <w:sz w:val="18"/>
                <w:szCs w:val="18"/>
              </w:rPr>
              <w:t>socio-economic</w:t>
            </w:r>
            <w:r>
              <w:rPr>
                <w:rFonts w:ascii="Verdana" w:hAnsi="Verdana" w:cs="Calibri"/>
                <w:sz w:val="18"/>
                <w:szCs w:val="18"/>
              </w:rPr>
              <w:t xml:space="preserve">, innovation, governance and biophysical factors. </w:t>
            </w:r>
          </w:p>
          <w:p w14:paraId="626624AD" w14:textId="4181573F" w:rsidR="00263438" w:rsidRDefault="00263438" w:rsidP="00801053">
            <w:pPr>
              <w:jc w:val="both"/>
              <w:rPr>
                <w:rFonts w:ascii="Verdana" w:hAnsi="Verdana" w:cs="Calibri"/>
                <w:sz w:val="18"/>
                <w:szCs w:val="18"/>
              </w:rPr>
            </w:pPr>
            <w:r>
              <w:rPr>
                <w:rFonts w:ascii="Verdana" w:hAnsi="Verdana" w:cs="Calibri"/>
                <w:sz w:val="18"/>
                <w:szCs w:val="18"/>
              </w:rPr>
              <w:t>The resilience indicator synthesi</w:t>
            </w:r>
            <w:r w:rsidR="00933A36">
              <w:rPr>
                <w:rFonts w:ascii="Verdana" w:hAnsi="Verdana" w:cs="Calibri"/>
                <w:sz w:val="18"/>
                <w:szCs w:val="18"/>
              </w:rPr>
              <w:t>s</w:t>
            </w:r>
            <w:r>
              <w:rPr>
                <w:rFonts w:ascii="Verdana" w:hAnsi="Verdana" w:cs="Calibri"/>
                <w:sz w:val="18"/>
                <w:szCs w:val="18"/>
              </w:rPr>
              <w:t xml:space="preserve">es </w:t>
            </w:r>
            <w:r w:rsidR="00187902">
              <w:rPr>
                <w:rFonts w:ascii="Verdana" w:hAnsi="Verdana" w:cs="Calibri"/>
                <w:sz w:val="18"/>
                <w:szCs w:val="18"/>
              </w:rPr>
              <w:t xml:space="preserve">status and </w:t>
            </w:r>
            <w:r>
              <w:rPr>
                <w:rFonts w:ascii="Verdana" w:hAnsi="Verdana" w:cs="Calibri"/>
                <w:sz w:val="18"/>
                <w:szCs w:val="18"/>
              </w:rPr>
              <w:t>progress of different components with an impact on resilience</w:t>
            </w:r>
            <w:r w:rsidR="00187902">
              <w:rPr>
                <w:rFonts w:ascii="Verdana" w:hAnsi="Verdana" w:cs="Calibri"/>
                <w:sz w:val="18"/>
                <w:szCs w:val="18"/>
              </w:rPr>
              <w:t xml:space="preserve"> or depending on resilience</w:t>
            </w:r>
            <w:r>
              <w:rPr>
                <w:rFonts w:ascii="Verdana" w:hAnsi="Verdana" w:cs="Calibri"/>
                <w:sz w:val="18"/>
                <w:szCs w:val="18"/>
              </w:rPr>
              <w:t xml:space="preserve">. The </w:t>
            </w:r>
            <w:r w:rsidR="00187902">
              <w:rPr>
                <w:rFonts w:ascii="Verdana" w:hAnsi="Verdana" w:cs="Calibri"/>
                <w:sz w:val="18"/>
                <w:szCs w:val="18"/>
              </w:rPr>
              <w:t xml:space="preserve">composite </w:t>
            </w:r>
            <w:r>
              <w:rPr>
                <w:rFonts w:ascii="Verdana" w:hAnsi="Verdana" w:cs="Calibri"/>
                <w:sz w:val="18"/>
                <w:szCs w:val="18"/>
              </w:rPr>
              <w:t>indicator build</w:t>
            </w:r>
            <w:r w:rsidR="00187902">
              <w:rPr>
                <w:rFonts w:ascii="Verdana" w:hAnsi="Verdana" w:cs="Calibri"/>
                <w:sz w:val="18"/>
                <w:szCs w:val="18"/>
              </w:rPr>
              <w:t>s</w:t>
            </w:r>
            <w:r>
              <w:rPr>
                <w:rFonts w:ascii="Verdana" w:hAnsi="Verdana" w:cs="Calibri"/>
                <w:sz w:val="18"/>
                <w:szCs w:val="18"/>
              </w:rPr>
              <w:t xml:space="preserve"> on components already available in the current Common Monitoring and Evaluation Framework (CMEF), the future </w:t>
            </w:r>
            <w:r w:rsidRPr="00155DBC">
              <w:rPr>
                <w:rFonts w:ascii="Verdana" w:hAnsi="Verdana" w:cs="Calibri"/>
                <w:sz w:val="18"/>
                <w:szCs w:val="18"/>
              </w:rPr>
              <w:t xml:space="preserve">Performance Monitoring and Evaluation Framework </w:t>
            </w:r>
            <w:r>
              <w:rPr>
                <w:rFonts w:ascii="Verdana" w:hAnsi="Verdana" w:cs="Calibri"/>
                <w:sz w:val="18"/>
                <w:szCs w:val="18"/>
              </w:rPr>
              <w:t xml:space="preserve">(PMEF), and other </w:t>
            </w:r>
            <w:r w:rsidR="00187902">
              <w:rPr>
                <w:rFonts w:ascii="Verdana" w:hAnsi="Verdana" w:cs="Calibri"/>
                <w:sz w:val="18"/>
                <w:szCs w:val="18"/>
              </w:rPr>
              <w:t xml:space="preserve">data </w:t>
            </w:r>
            <w:r>
              <w:rPr>
                <w:rFonts w:ascii="Verdana" w:hAnsi="Verdana" w:cs="Calibri"/>
                <w:sz w:val="18"/>
                <w:szCs w:val="18"/>
              </w:rPr>
              <w:t>sources, such as Eurostat</w:t>
            </w:r>
            <w:r w:rsidR="00187902">
              <w:rPr>
                <w:rFonts w:ascii="Verdana" w:hAnsi="Verdana" w:cs="Calibri"/>
                <w:sz w:val="18"/>
                <w:szCs w:val="18"/>
              </w:rPr>
              <w:t>,</w:t>
            </w:r>
            <w:r w:rsidR="00933A36">
              <w:rPr>
                <w:rFonts w:ascii="Verdana" w:hAnsi="Verdana" w:cs="Calibri"/>
                <w:sz w:val="18"/>
                <w:szCs w:val="18"/>
              </w:rPr>
              <w:t xml:space="preserve"> </w:t>
            </w:r>
            <w:r>
              <w:rPr>
                <w:rFonts w:ascii="Verdana" w:hAnsi="Verdana" w:cs="Calibri"/>
                <w:sz w:val="18"/>
                <w:szCs w:val="18"/>
              </w:rPr>
              <w:t>JRC</w:t>
            </w:r>
            <w:r w:rsidR="00187902">
              <w:rPr>
                <w:rFonts w:ascii="Verdana" w:hAnsi="Verdana" w:cs="Calibri"/>
                <w:sz w:val="18"/>
                <w:szCs w:val="18"/>
              </w:rPr>
              <w:t xml:space="preserve"> and EEA</w:t>
            </w:r>
            <w:r>
              <w:rPr>
                <w:rFonts w:ascii="Verdana" w:hAnsi="Verdana" w:cs="Calibri"/>
                <w:sz w:val="18"/>
                <w:szCs w:val="18"/>
              </w:rPr>
              <w:t xml:space="preserve">, which, </w:t>
            </w:r>
            <w:r w:rsidR="00187902">
              <w:rPr>
                <w:rFonts w:ascii="Verdana" w:hAnsi="Verdana" w:cs="Calibri"/>
                <w:sz w:val="18"/>
                <w:szCs w:val="18"/>
              </w:rPr>
              <w:t>when systematically analysed,</w:t>
            </w:r>
            <w:r w:rsidR="00C33879">
              <w:rPr>
                <w:rFonts w:ascii="Verdana" w:hAnsi="Verdana" w:cs="Calibri"/>
                <w:sz w:val="18"/>
                <w:szCs w:val="18"/>
              </w:rPr>
              <w:t xml:space="preserve"> </w:t>
            </w:r>
            <w:r>
              <w:rPr>
                <w:rFonts w:ascii="Verdana" w:hAnsi="Verdana" w:cs="Calibri"/>
                <w:sz w:val="18"/>
                <w:szCs w:val="18"/>
              </w:rPr>
              <w:t>can provide a</w:t>
            </w:r>
            <w:r w:rsidR="00187902">
              <w:rPr>
                <w:rFonts w:ascii="Verdana" w:hAnsi="Verdana" w:cs="Calibri"/>
                <w:sz w:val="18"/>
                <w:szCs w:val="18"/>
              </w:rPr>
              <w:t xml:space="preserve">n indication </w:t>
            </w:r>
            <w:r>
              <w:rPr>
                <w:rFonts w:ascii="Verdana" w:hAnsi="Verdana" w:cs="Calibri"/>
                <w:sz w:val="18"/>
                <w:szCs w:val="18"/>
              </w:rPr>
              <w:t xml:space="preserve">of how the overall resilience of agriculture is progressing. </w:t>
            </w:r>
          </w:p>
          <w:p w14:paraId="0399EA5A" w14:textId="48BBF763" w:rsidR="00263438" w:rsidRDefault="00263438" w:rsidP="00801053">
            <w:pPr>
              <w:jc w:val="both"/>
              <w:rPr>
                <w:rFonts w:ascii="Verdana" w:hAnsi="Verdana" w:cs="Calibri"/>
                <w:sz w:val="18"/>
                <w:szCs w:val="18"/>
              </w:rPr>
            </w:pPr>
            <w:r>
              <w:rPr>
                <w:rFonts w:ascii="Verdana" w:hAnsi="Verdana" w:cs="Calibri"/>
                <w:sz w:val="18"/>
                <w:szCs w:val="18"/>
              </w:rPr>
              <w:t xml:space="preserve">The </w:t>
            </w:r>
            <w:r w:rsidR="00187902">
              <w:rPr>
                <w:rFonts w:ascii="Verdana" w:hAnsi="Verdana" w:cs="Calibri"/>
                <w:sz w:val="18"/>
                <w:szCs w:val="18"/>
              </w:rPr>
              <w:t xml:space="preserve">composite </w:t>
            </w:r>
            <w:r>
              <w:rPr>
                <w:rFonts w:ascii="Verdana" w:hAnsi="Verdana" w:cs="Calibri"/>
                <w:sz w:val="18"/>
                <w:szCs w:val="18"/>
              </w:rPr>
              <w:t>indicator display</w:t>
            </w:r>
            <w:r w:rsidR="00187902">
              <w:rPr>
                <w:rFonts w:ascii="Verdana" w:hAnsi="Verdana" w:cs="Calibri"/>
                <w:sz w:val="18"/>
                <w:szCs w:val="18"/>
              </w:rPr>
              <w:t>s for each MS</w:t>
            </w:r>
            <w:r>
              <w:rPr>
                <w:rFonts w:ascii="Verdana" w:hAnsi="Verdana"/>
                <w:sz w:val="18"/>
                <w:szCs w:val="18"/>
              </w:rPr>
              <w:t xml:space="preserve"> the components positively contributing to resilience. </w:t>
            </w:r>
            <w:r>
              <w:rPr>
                <w:rFonts w:ascii="Verdana" w:hAnsi="Verdana" w:cs="Calibri"/>
                <w:sz w:val="18"/>
                <w:szCs w:val="18"/>
              </w:rPr>
              <w:t xml:space="preserve">Relative progress toward resilience of each component </w:t>
            </w:r>
            <w:r w:rsidR="00187902">
              <w:rPr>
                <w:rFonts w:ascii="Verdana" w:hAnsi="Verdana" w:cs="Calibri"/>
                <w:sz w:val="18"/>
                <w:szCs w:val="18"/>
              </w:rPr>
              <w:t>is</w:t>
            </w:r>
            <w:r>
              <w:rPr>
                <w:rFonts w:ascii="Verdana" w:hAnsi="Verdana" w:cs="Calibri"/>
                <w:sz w:val="18"/>
                <w:szCs w:val="18"/>
              </w:rPr>
              <w:t xml:space="preserve"> defined by comparing the evaluation</w:t>
            </w:r>
            <w:r w:rsidRPr="003561AB">
              <w:rPr>
                <w:rFonts w:ascii="Verdana" w:hAnsi="Verdana" w:cs="Calibri"/>
                <w:sz w:val="18"/>
                <w:szCs w:val="18"/>
              </w:rPr>
              <w:t xml:space="preserve"> (programming) period to </w:t>
            </w:r>
            <w:r>
              <w:rPr>
                <w:rFonts w:ascii="Verdana" w:hAnsi="Verdana" w:cs="Calibri"/>
                <w:sz w:val="18"/>
                <w:szCs w:val="18"/>
              </w:rPr>
              <w:t>a reference period. The definition of the “progress level” compared to the reference period depend</w:t>
            </w:r>
            <w:r w:rsidR="00187902">
              <w:rPr>
                <w:rFonts w:ascii="Verdana" w:hAnsi="Verdana" w:cs="Calibri"/>
                <w:sz w:val="18"/>
                <w:szCs w:val="18"/>
              </w:rPr>
              <w:t>s</w:t>
            </w:r>
            <w:r>
              <w:rPr>
                <w:rFonts w:ascii="Verdana" w:hAnsi="Verdana" w:cs="Calibri"/>
                <w:sz w:val="18"/>
                <w:szCs w:val="18"/>
              </w:rPr>
              <w:t xml:space="preserve"> on the nature and variation of each component and </w:t>
            </w:r>
            <w:r w:rsidR="00187902">
              <w:rPr>
                <w:rFonts w:ascii="Verdana" w:hAnsi="Verdana" w:cs="Calibri"/>
                <w:sz w:val="18"/>
                <w:szCs w:val="18"/>
              </w:rPr>
              <w:t>is</w:t>
            </w:r>
            <w:r>
              <w:rPr>
                <w:rFonts w:ascii="Verdana" w:hAnsi="Verdana" w:cs="Calibri"/>
                <w:sz w:val="18"/>
                <w:szCs w:val="18"/>
              </w:rPr>
              <w:t xml:space="preserve"> defined by JRC with appropriate methodology.</w:t>
            </w:r>
          </w:p>
          <w:p w14:paraId="2919B496" w14:textId="6E0E748B" w:rsidR="00187902" w:rsidRDefault="00187902" w:rsidP="00801053">
            <w:pPr>
              <w:jc w:val="both"/>
              <w:rPr>
                <w:rFonts w:ascii="Verdana" w:hAnsi="Verdana" w:cs="Calibri"/>
                <w:sz w:val="18"/>
                <w:szCs w:val="18"/>
              </w:rPr>
            </w:pPr>
            <w:r>
              <w:rPr>
                <w:rFonts w:ascii="Verdana" w:hAnsi="Verdana" w:cs="Calibri"/>
                <w:sz w:val="18"/>
                <w:szCs w:val="18"/>
              </w:rPr>
              <w:t>As any composite indicator, understanding resilience requires an inspection of the progress of single components, which needs to</w:t>
            </w:r>
            <w:r w:rsidR="00A873D9">
              <w:rPr>
                <w:rFonts w:ascii="Verdana" w:hAnsi="Verdana" w:cs="Calibri"/>
                <w:sz w:val="18"/>
                <w:szCs w:val="18"/>
              </w:rPr>
              <w:t xml:space="preserve"> be</w:t>
            </w:r>
            <w:r>
              <w:rPr>
                <w:rFonts w:ascii="Verdana" w:hAnsi="Verdana" w:cs="Calibri"/>
                <w:sz w:val="18"/>
                <w:szCs w:val="18"/>
              </w:rPr>
              <w:t xml:space="preserve"> interpreted in the specific member States context.</w:t>
            </w:r>
          </w:p>
          <w:p w14:paraId="42C02895" w14:textId="77777777" w:rsidR="00263438" w:rsidRPr="000D3192" w:rsidRDefault="00263438" w:rsidP="009E5F04">
            <w:pPr>
              <w:spacing w:before="120" w:after="60"/>
              <w:rPr>
                <w:rFonts w:ascii="Verdana" w:hAnsi="Verdana" w:cs="Calibri"/>
                <w:b/>
                <w:bCs/>
                <w:sz w:val="18"/>
                <w:szCs w:val="18"/>
                <w:lang w:val="en-US"/>
              </w:rPr>
            </w:pPr>
            <w:r w:rsidRPr="0A9CF26C">
              <w:rPr>
                <w:rFonts w:ascii="Verdana" w:hAnsi="Verdana" w:cs="Calibri"/>
                <w:b/>
                <w:bCs/>
                <w:sz w:val="18"/>
                <w:szCs w:val="18"/>
                <w:lang w:val="en-US"/>
              </w:rPr>
              <w:t>Initial set of components</w:t>
            </w:r>
          </w:p>
          <w:p w14:paraId="60E1A435" w14:textId="77777777" w:rsidR="00263438" w:rsidRPr="000D3192" w:rsidRDefault="00263438" w:rsidP="009E5F04">
            <w:pPr>
              <w:spacing w:before="120" w:after="60"/>
              <w:rPr>
                <w:rFonts w:ascii="Verdana" w:hAnsi="Verdana" w:cs="Calibri"/>
                <w:sz w:val="18"/>
                <w:szCs w:val="18"/>
                <w:lang w:val="en-US"/>
              </w:rPr>
            </w:pPr>
            <w:r w:rsidRPr="0A9CF26C">
              <w:rPr>
                <w:rFonts w:ascii="Verdana" w:hAnsi="Verdana" w:cs="Calibri"/>
                <w:sz w:val="18"/>
                <w:szCs w:val="18"/>
                <w:lang w:val="en-US"/>
              </w:rPr>
              <w:t>Financial:</w:t>
            </w:r>
          </w:p>
          <w:p w14:paraId="0F3C7C82" w14:textId="64F97C1E" w:rsidR="00263438" w:rsidRPr="000D3192" w:rsidRDefault="00263438" w:rsidP="00665997">
            <w:pPr>
              <w:numPr>
                <w:ilvl w:val="0"/>
                <w:numId w:val="61"/>
              </w:numPr>
              <w:spacing w:before="120" w:after="60"/>
              <w:contextualSpacing/>
              <w:rPr>
                <w:rFonts w:ascii="Verdana" w:hAnsi="Verdana" w:cs="Calibri"/>
                <w:sz w:val="18"/>
                <w:szCs w:val="18"/>
                <w:lang w:val="en-US"/>
              </w:rPr>
            </w:pPr>
            <w:r w:rsidRPr="0A9CF26C">
              <w:rPr>
                <w:rFonts w:ascii="Verdana" w:hAnsi="Verdana" w:cs="Calibri"/>
                <w:sz w:val="18"/>
                <w:szCs w:val="18"/>
                <w:lang w:val="en-US"/>
              </w:rPr>
              <w:t>Agricultur</w:t>
            </w:r>
            <w:r w:rsidR="00ED38D8">
              <w:rPr>
                <w:rFonts w:ascii="Verdana" w:hAnsi="Verdana" w:cs="Calibri"/>
                <w:sz w:val="18"/>
                <w:szCs w:val="18"/>
                <w:lang w:val="en-US"/>
              </w:rPr>
              <w:t>al</w:t>
            </w:r>
            <w:r w:rsidRPr="0A9CF26C">
              <w:rPr>
                <w:rFonts w:ascii="Verdana" w:hAnsi="Verdana" w:cs="Calibri"/>
                <w:sz w:val="18"/>
                <w:szCs w:val="18"/>
                <w:lang w:val="en-US"/>
              </w:rPr>
              <w:t xml:space="preserve"> factor income </w:t>
            </w:r>
            <w:r w:rsidR="00187902">
              <w:rPr>
                <w:rFonts w:ascii="Verdana" w:hAnsi="Verdana" w:cs="Calibri"/>
                <w:sz w:val="18"/>
                <w:szCs w:val="18"/>
                <w:lang w:val="en-US"/>
              </w:rPr>
              <w:t>stability (from C.</w:t>
            </w:r>
            <w:r w:rsidR="00A873D9">
              <w:rPr>
                <w:rFonts w:ascii="Verdana" w:hAnsi="Verdana" w:cs="Calibri"/>
                <w:sz w:val="18"/>
                <w:szCs w:val="18"/>
                <w:lang w:val="en-US"/>
              </w:rPr>
              <w:t>2</w:t>
            </w:r>
            <w:r w:rsidR="00DE5E11">
              <w:rPr>
                <w:rFonts w:ascii="Verdana" w:hAnsi="Verdana" w:cs="Calibri"/>
                <w:sz w:val="18"/>
                <w:szCs w:val="18"/>
                <w:lang w:val="en-US"/>
              </w:rPr>
              <w:t>5</w:t>
            </w:r>
            <w:r w:rsidR="00187902">
              <w:rPr>
                <w:rFonts w:ascii="Verdana" w:hAnsi="Verdana" w:cs="Calibri"/>
                <w:sz w:val="18"/>
                <w:szCs w:val="18"/>
                <w:lang w:val="en-US"/>
              </w:rPr>
              <w:t xml:space="preserve"> data)</w:t>
            </w:r>
          </w:p>
          <w:p w14:paraId="1E814964" w14:textId="77777777" w:rsidR="00263438" w:rsidRPr="000D3192" w:rsidRDefault="00263438" w:rsidP="009E5F04">
            <w:pPr>
              <w:spacing w:before="120" w:after="60"/>
              <w:rPr>
                <w:rFonts w:ascii="Verdana" w:hAnsi="Verdana" w:cs="Calibri"/>
                <w:sz w:val="18"/>
                <w:szCs w:val="18"/>
                <w:lang w:val="en-US"/>
              </w:rPr>
            </w:pPr>
            <w:r w:rsidRPr="0A9CF26C">
              <w:rPr>
                <w:rFonts w:ascii="Verdana" w:hAnsi="Verdana" w:cs="Calibri"/>
                <w:sz w:val="18"/>
                <w:szCs w:val="18"/>
                <w:lang w:val="en-US"/>
              </w:rPr>
              <w:t>Bio-physical components:</w:t>
            </w:r>
          </w:p>
          <w:p w14:paraId="46C39F05" w14:textId="3DD257B8" w:rsidR="00187902" w:rsidRPr="00187902" w:rsidRDefault="00187902" w:rsidP="00187902">
            <w:pPr>
              <w:numPr>
                <w:ilvl w:val="0"/>
                <w:numId w:val="62"/>
              </w:numPr>
              <w:spacing w:before="120" w:after="60"/>
              <w:contextualSpacing/>
              <w:rPr>
                <w:rFonts w:ascii="Verdana" w:hAnsi="Verdana" w:cs="Calibri"/>
                <w:sz w:val="18"/>
                <w:szCs w:val="18"/>
                <w:lang w:val="en-US"/>
              </w:rPr>
            </w:pPr>
            <w:r>
              <w:rPr>
                <w:rFonts w:ascii="Verdana" w:hAnsi="Verdana" w:cs="Calibri"/>
                <w:sz w:val="18"/>
                <w:szCs w:val="18"/>
                <w:lang w:val="en-US"/>
              </w:rPr>
              <w:t>Crop production stability – annual cereals production resilience (from Eurostat)</w:t>
            </w:r>
          </w:p>
          <w:p w14:paraId="60E943B7" w14:textId="521B6B55" w:rsidR="00263438" w:rsidRPr="00187902" w:rsidRDefault="00263438" w:rsidP="00187902">
            <w:pPr>
              <w:numPr>
                <w:ilvl w:val="0"/>
                <w:numId w:val="62"/>
              </w:numPr>
              <w:spacing w:before="120" w:after="60"/>
              <w:contextualSpacing/>
              <w:rPr>
                <w:rFonts w:ascii="Verdana" w:hAnsi="Verdana" w:cs="Calibri"/>
                <w:sz w:val="18"/>
                <w:szCs w:val="18"/>
                <w:lang w:val="en-US"/>
              </w:rPr>
            </w:pPr>
            <w:r w:rsidRPr="0A9CF26C">
              <w:rPr>
                <w:rFonts w:ascii="Verdana" w:hAnsi="Verdana" w:cs="Calibri"/>
                <w:sz w:val="18"/>
                <w:szCs w:val="18"/>
                <w:lang w:val="en-US"/>
              </w:rPr>
              <w:t xml:space="preserve">Water exploitation </w:t>
            </w:r>
            <w:r w:rsidR="00ED38D8">
              <w:rPr>
                <w:rFonts w:ascii="Verdana" w:hAnsi="Verdana" w:cs="Calibri"/>
                <w:sz w:val="18"/>
                <w:szCs w:val="18"/>
                <w:lang w:val="en-US"/>
              </w:rPr>
              <w:t>i</w:t>
            </w:r>
            <w:r w:rsidRPr="0A9CF26C">
              <w:rPr>
                <w:rFonts w:ascii="Verdana" w:hAnsi="Verdana" w:cs="Calibri"/>
                <w:sz w:val="18"/>
                <w:szCs w:val="18"/>
                <w:lang w:val="en-US"/>
              </w:rPr>
              <w:t>nd</w:t>
            </w:r>
            <w:r w:rsidR="00ED38D8">
              <w:rPr>
                <w:rFonts w:ascii="Verdana" w:hAnsi="Verdana" w:cs="Calibri"/>
                <w:sz w:val="18"/>
                <w:szCs w:val="18"/>
                <w:lang w:val="en-US"/>
              </w:rPr>
              <w:t>ex plus</w:t>
            </w:r>
            <w:r w:rsidRPr="0A9CF26C">
              <w:rPr>
                <w:rFonts w:ascii="Verdana" w:hAnsi="Verdana" w:cs="Calibri"/>
                <w:sz w:val="18"/>
                <w:szCs w:val="18"/>
                <w:lang w:val="en-US"/>
              </w:rPr>
              <w:t xml:space="preserve"> </w:t>
            </w:r>
            <w:r w:rsidR="00ED38D8">
              <w:rPr>
                <w:rFonts w:ascii="Verdana" w:hAnsi="Verdana" w:cs="Calibri"/>
                <w:sz w:val="18"/>
                <w:szCs w:val="18"/>
                <w:lang w:val="en-US"/>
              </w:rPr>
              <w:t>(</w:t>
            </w:r>
            <w:r w:rsidRPr="0A9CF26C">
              <w:rPr>
                <w:rFonts w:ascii="Verdana" w:hAnsi="Verdana" w:cs="Calibri"/>
                <w:sz w:val="18"/>
                <w:szCs w:val="18"/>
                <w:lang w:val="en-US"/>
              </w:rPr>
              <w:t>WEI+</w:t>
            </w:r>
            <w:r w:rsidR="00ED38D8">
              <w:rPr>
                <w:rFonts w:ascii="Verdana" w:hAnsi="Verdana" w:cs="Calibri"/>
                <w:sz w:val="18"/>
                <w:szCs w:val="18"/>
                <w:lang w:val="en-US"/>
              </w:rPr>
              <w:t>)</w:t>
            </w:r>
            <w:r w:rsidRPr="0A9CF26C">
              <w:rPr>
                <w:rFonts w:ascii="Verdana" w:hAnsi="Verdana" w:cs="Calibri"/>
                <w:sz w:val="18"/>
                <w:szCs w:val="18"/>
                <w:lang w:val="en-US"/>
              </w:rPr>
              <w:t xml:space="preserve"> </w:t>
            </w:r>
            <w:r w:rsidR="00187902">
              <w:rPr>
                <w:rFonts w:ascii="Verdana" w:hAnsi="Verdana" w:cs="Calibri"/>
                <w:sz w:val="18"/>
                <w:szCs w:val="18"/>
                <w:lang w:val="en-US"/>
              </w:rPr>
              <w:t>regionally and monthly for the agricultural sector</w:t>
            </w:r>
            <w:r w:rsidR="00187902" w:rsidRPr="0A9CF26C">
              <w:rPr>
                <w:rFonts w:ascii="Verdana" w:hAnsi="Verdana" w:cs="Calibri"/>
                <w:sz w:val="18"/>
                <w:szCs w:val="18"/>
                <w:lang w:val="en-US"/>
              </w:rPr>
              <w:t xml:space="preserve"> (</w:t>
            </w:r>
            <w:r w:rsidR="00187902">
              <w:rPr>
                <w:rFonts w:ascii="Verdana" w:hAnsi="Verdana" w:cs="Calibri"/>
                <w:sz w:val="18"/>
                <w:szCs w:val="18"/>
                <w:lang w:val="en-US"/>
              </w:rPr>
              <w:t>from C.3</w:t>
            </w:r>
            <w:r w:rsidR="00DE5E11">
              <w:rPr>
                <w:rFonts w:ascii="Verdana" w:hAnsi="Verdana" w:cs="Calibri"/>
                <w:sz w:val="18"/>
                <w:szCs w:val="18"/>
                <w:lang w:val="en-US"/>
              </w:rPr>
              <w:t>8</w:t>
            </w:r>
            <w:r w:rsidR="00187902">
              <w:rPr>
                <w:rFonts w:ascii="Verdana" w:hAnsi="Verdana" w:cs="Calibri"/>
                <w:sz w:val="18"/>
                <w:szCs w:val="18"/>
                <w:lang w:val="en-US"/>
              </w:rPr>
              <w:t xml:space="preserve"> data, supplemented with model results </w:t>
            </w:r>
            <w:r w:rsidR="00187902" w:rsidRPr="0A9CF26C">
              <w:rPr>
                <w:rFonts w:ascii="Verdana" w:hAnsi="Verdana" w:cs="Calibri"/>
                <w:sz w:val="18"/>
                <w:szCs w:val="18"/>
                <w:lang w:val="en-US"/>
              </w:rPr>
              <w:t>)</w:t>
            </w:r>
            <w:r w:rsidR="00187902">
              <w:rPr>
                <w:rFonts w:ascii="Verdana" w:hAnsi="Verdana" w:cs="Calibri"/>
                <w:sz w:val="18"/>
                <w:szCs w:val="18"/>
                <w:lang w:val="en-US"/>
              </w:rPr>
              <w:t xml:space="preserve"> </w:t>
            </w:r>
          </w:p>
          <w:p w14:paraId="6FD79AC5" w14:textId="00F16CF5" w:rsidR="00263438" w:rsidRPr="000D3192" w:rsidRDefault="00263438" w:rsidP="00665997">
            <w:pPr>
              <w:numPr>
                <w:ilvl w:val="0"/>
                <w:numId w:val="62"/>
              </w:numPr>
              <w:spacing w:before="120" w:after="60"/>
              <w:contextualSpacing/>
              <w:rPr>
                <w:rFonts w:ascii="Verdana" w:hAnsi="Verdana" w:cs="Calibri"/>
                <w:sz w:val="18"/>
                <w:szCs w:val="18"/>
              </w:rPr>
            </w:pPr>
            <w:r w:rsidRPr="0A9CF26C">
              <w:rPr>
                <w:rFonts w:ascii="Verdana" w:hAnsi="Verdana" w:cs="Calibri"/>
                <w:sz w:val="18"/>
                <w:szCs w:val="18"/>
                <w:lang w:val="en-US"/>
              </w:rPr>
              <w:t xml:space="preserve">Soil organic carbon </w:t>
            </w:r>
            <w:r w:rsidR="00ED38D8">
              <w:rPr>
                <w:rFonts w:ascii="Verdana" w:hAnsi="Verdana" w:cs="Calibri"/>
                <w:sz w:val="18"/>
                <w:szCs w:val="18"/>
                <w:lang w:val="en-US"/>
              </w:rPr>
              <w:t xml:space="preserve">in agricultural land </w:t>
            </w:r>
            <w:r w:rsidR="00187902" w:rsidRPr="0A9CF26C">
              <w:rPr>
                <w:rFonts w:ascii="Verdana" w:hAnsi="Verdana" w:cs="Calibri"/>
                <w:sz w:val="18"/>
                <w:szCs w:val="18"/>
                <w:lang w:val="en-US"/>
              </w:rPr>
              <w:t>(</w:t>
            </w:r>
            <w:r w:rsidR="00187902">
              <w:rPr>
                <w:rFonts w:ascii="Verdana" w:hAnsi="Verdana" w:cs="Calibri"/>
                <w:sz w:val="18"/>
                <w:szCs w:val="18"/>
                <w:lang w:val="en-US"/>
              </w:rPr>
              <w:t>from C.</w:t>
            </w:r>
            <w:r w:rsidR="00DE5E11">
              <w:rPr>
                <w:rFonts w:ascii="Verdana" w:hAnsi="Verdana" w:cs="Calibri"/>
                <w:sz w:val="18"/>
                <w:szCs w:val="18"/>
                <w:lang w:val="en-US"/>
              </w:rPr>
              <w:t>40</w:t>
            </w:r>
            <w:r w:rsidR="00187902">
              <w:rPr>
                <w:rFonts w:ascii="Verdana" w:hAnsi="Verdana" w:cs="Calibri"/>
                <w:sz w:val="18"/>
                <w:szCs w:val="18"/>
                <w:lang w:val="en-US"/>
              </w:rPr>
              <w:t xml:space="preserve"> data</w:t>
            </w:r>
            <w:r w:rsidR="00187902" w:rsidRPr="0A9CF26C">
              <w:rPr>
                <w:rFonts w:ascii="Verdana" w:hAnsi="Verdana" w:cs="Calibri"/>
                <w:sz w:val="18"/>
                <w:szCs w:val="18"/>
                <w:lang w:val="en-US"/>
              </w:rPr>
              <w:t>)</w:t>
            </w:r>
            <w:r w:rsidR="00187902">
              <w:rPr>
                <w:rFonts w:ascii="Verdana" w:hAnsi="Verdana" w:cs="Calibri"/>
                <w:sz w:val="18"/>
                <w:szCs w:val="18"/>
                <w:lang w:val="en-US"/>
              </w:rPr>
              <w:t xml:space="preserve">, including regional change of modelled carbon stocks. </w:t>
            </w:r>
          </w:p>
          <w:p w14:paraId="0ABEB750" w14:textId="77777777" w:rsidR="00263438" w:rsidRPr="000D3192" w:rsidRDefault="00263438" w:rsidP="009E5F04">
            <w:pPr>
              <w:spacing w:after="0"/>
              <w:rPr>
                <w:rFonts w:ascii="Verdana" w:eastAsiaTheme="minorHAnsi" w:hAnsi="Verdana" w:cs="Calibri"/>
                <w:sz w:val="18"/>
                <w:szCs w:val="18"/>
                <w:lang w:val="en-US"/>
              </w:rPr>
            </w:pPr>
          </w:p>
          <w:p w14:paraId="518B2219" w14:textId="77777777" w:rsidR="00263438" w:rsidRPr="000D3192" w:rsidRDefault="00263438" w:rsidP="00801053">
            <w:pPr>
              <w:jc w:val="both"/>
              <w:rPr>
                <w:rFonts w:ascii="Verdana" w:hAnsi="Verdana" w:cs="Calibri"/>
                <w:sz w:val="18"/>
                <w:szCs w:val="18"/>
                <w:lang w:val="en-US"/>
              </w:rPr>
            </w:pPr>
            <w:r w:rsidRPr="0A9CF26C">
              <w:rPr>
                <w:rFonts w:ascii="Verdana" w:hAnsi="Verdana" w:cs="Calibri"/>
                <w:sz w:val="18"/>
                <w:szCs w:val="18"/>
                <w:lang w:val="en-US"/>
              </w:rPr>
              <w:t xml:space="preserve">The indicator illustrates progress in agriculture resilience in a simple way, while accounting for its different dimensions. It captures both the level of adaptation efforts (e.g. climate/environment investment support, advice and training), as well as effects on resilience (e.g. income stability, crop </w:t>
            </w:r>
            <w:r w:rsidRPr="0A9CF26C">
              <w:rPr>
                <w:rFonts w:ascii="Verdana" w:hAnsi="Verdana" w:cs="Calibri"/>
                <w:sz w:val="18"/>
                <w:szCs w:val="18"/>
                <w:lang w:val="en-US"/>
              </w:rPr>
              <w:lastRenderedPageBreak/>
              <w:t>production stability).</w:t>
            </w:r>
          </w:p>
          <w:p w14:paraId="61A7EF19" w14:textId="2C671F66" w:rsidR="00263438" w:rsidRDefault="00263438" w:rsidP="790C88FB">
            <w:pPr>
              <w:jc w:val="both"/>
              <w:rPr>
                <w:rFonts w:ascii="Verdana" w:hAnsi="Verdana"/>
                <w:i/>
                <w:iCs/>
                <w:sz w:val="18"/>
                <w:szCs w:val="18"/>
                <w:lang w:val="en-US"/>
              </w:rPr>
            </w:pPr>
            <w:r w:rsidRPr="790C88FB">
              <w:rPr>
                <w:rFonts w:ascii="Verdana" w:hAnsi="Verdana"/>
                <w:i/>
                <w:iCs/>
                <w:sz w:val="18"/>
                <w:szCs w:val="18"/>
                <w:lang w:val="en-US"/>
              </w:rPr>
              <w:t>* The references in brackets correspond to other PMEF indicators  or to other existing sources of information</w:t>
            </w:r>
          </w:p>
          <w:p w14:paraId="028C8002" w14:textId="0B2C6765" w:rsidR="00263438" w:rsidRPr="00416ABB" w:rsidRDefault="00263438" w:rsidP="00801053">
            <w:pPr>
              <w:spacing w:before="120" w:after="60"/>
              <w:jc w:val="both"/>
              <w:rPr>
                <w:rFonts w:ascii="Verdana" w:hAnsi="Verdana" w:cs="Calibri"/>
                <w:sz w:val="18"/>
                <w:szCs w:val="18"/>
              </w:rPr>
            </w:pPr>
            <w:r>
              <w:rPr>
                <w:rFonts w:ascii="Verdana" w:hAnsi="Verdana" w:cs="Calibri"/>
                <w:sz w:val="18"/>
                <w:szCs w:val="18"/>
              </w:rPr>
              <w:t>Agricultur</w:t>
            </w:r>
            <w:r w:rsidR="00ED38D8">
              <w:rPr>
                <w:rFonts w:ascii="Verdana" w:hAnsi="Verdana" w:cs="Calibri"/>
                <w:sz w:val="18"/>
                <w:szCs w:val="18"/>
              </w:rPr>
              <w:t>al</w:t>
            </w:r>
            <w:r>
              <w:rPr>
                <w:rFonts w:ascii="Verdana" w:hAnsi="Verdana" w:cs="Calibri"/>
                <w:sz w:val="18"/>
                <w:szCs w:val="18"/>
              </w:rPr>
              <w:t xml:space="preserve"> sector resilience progress indicator = proportion of</w:t>
            </w:r>
            <w:r w:rsidR="00801053">
              <w:rPr>
                <w:rFonts w:ascii="Verdana" w:hAnsi="Verdana" w:cs="Calibri"/>
                <w:sz w:val="18"/>
                <w:szCs w:val="18"/>
              </w:rPr>
              <w:t xml:space="preserve"> </w:t>
            </w:r>
            <w:r w:rsidRPr="00416ABB">
              <w:rPr>
                <w:rFonts w:ascii="Verdana" w:hAnsi="Verdana" w:cs="Calibri"/>
                <w:sz w:val="18"/>
                <w:szCs w:val="18"/>
              </w:rPr>
              <w:t xml:space="preserve">components exhibiting </w:t>
            </w:r>
            <w:r w:rsidR="00187902" w:rsidRPr="00416ABB">
              <w:rPr>
                <w:rFonts w:ascii="Verdana" w:hAnsi="Verdana" w:cs="Calibri"/>
                <w:sz w:val="18"/>
                <w:szCs w:val="18"/>
              </w:rPr>
              <w:t xml:space="preserve">a good resilience status or </w:t>
            </w:r>
            <w:r w:rsidRPr="00416ABB">
              <w:rPr>
                <w:rFonts w:ascii="Verdana" w:hAnsi="Verdana" w:cs="Calibri"/>
                <w:sz w:val="18"/>
                <w:szCs w:val="18"/>
              </w:rPr>
              <w:t xml:space="preserve">progress toward </w:t>
            </w:r>
            <w:r w:rsidR="00187902" w:rsidRPr="00416ABB">
              <w:rPr>
                <w:rFonts w:ascii="Verdana" w:hAnsi="Verdana" w:cs="Calibri"/>
                <w:sz w:val="18"/>
                <w:szCs w:val="18"/>
              </w:rPr>
              <w:t xml:space="preserve">good </w:t>
            </w:r>
            <w:r w:rsidRPr="00416ABB">
              <w:rPr>
                <w:rFonts w:ascii="Verdana" w:hAnsi="Verdana" w:cs="Calibri"/>
                <w:sz w:val="18"/>
                <w:szCs w:val="18"/>
              </w:rPr>
              <w:t>resilience</w:t>
            </w:r>
          </w:p>
          <w:p w14:paraId="63176BBF" w14:textId="2C977B8A" w:rsidR="00263438" w:rsidRPr="00614D7E" w:rsidRDefault="00263438" w:rsidP="7D5D9235">
            <w:pPr>
              <w:pStyle w:val="ListParagraph"/>
              <w:numPr>
                <w:ilvl w:val="0"/>
                <w:numId w:val="63"/>
              </w:numPr>
              <w:spacing w:before="120" w:after="60"/>
              <w:jc w:val="both"/>
              <w:rPr>
                <w:rFonts w:ascii="Verdana" w:hAnsi="Verdana" w:cs="Calibri"/>
                <w:sz w:val="18"/>
                <w:szCs w:val="18"/>
              </w:rPr>
            </w:pPr>
            <w:r w:rsidRPr="7D5D9235">
              <w:rPr>
                <w:rFonts w:ascii="Verdana" w:hAnsi="Verdana" w:cs="Calibri"/>
                <w:sz w:val="18"/>
                <w:szCs w:val="18"/>
              </w:rPr>
              <w:t>The components of the indicator have a value of 0</w:t>
            </w:r>
            <w:r w:rsidR="00187902" w:rsidRPr="7D5D9235">
              <w:rPr>
                <w:rFonts w:ascii="Verdana" w:hAnsi="Verdana" w:cs="Calibri"/>
                <w:sz w:val="18"/>
                <w:szCs w:val="18"/>
              </w:rPr>
              <w:t>, 0.5</w:t>
            </w:r>
            <w:r w:rsidRPr="7D5D9235">
              <w:rPr>
                <w:rFonts w:ascii="Verdana" w:hAnsi="Verdana" w:cs="Calibri"/>
                <w:sz w:val="18"/>
                <w:szCs w:val="18"/>
              </w:rPr>
              <w:t xml:space="preserve"> or 1.</w:t>
            </w:r>
          </w:p>
          <w:p w14:paraId="0EA3C48F" w14:textId="48437509" w:rsidR="00263438" w:rsidRPr="00614D7E" w:rsidRDefault="00263438" w:rsidP="7D5D9235">
            <w:pPr>
              <w:pStyle w:val="ListParagraph"/>
              <w:numPr>
                <w:ilvl w:val="0"/>
                <w:numId w:val="63"/>
              </w:numPr>
              <w:spacing w:before="120" w:after="60"/>
              <w:jc w:val="both"/>
              <w:rPr>
                <w:rFonts w:ascii="Verdana" w:hAnsi="Verdana" w:cs="Calibri"/>
                <w:sz w:val="18"/>
                <w:szCs w:val="18"/>
              </w:rPr>
            </w:pPr>
            <w:r w:rsidRPr="7D5D9235">
              <w:rPr>
                <w:rFonts w:ascii="Verdana" w:hAnsi="Verdana" w:cs="Calibri"/>
                <w:sz w:val="18"/>
                <w:szCs w:val="18"/>
              </w:rPr>
              <w:t xml:space="preserve">A value of 1 is attributed to components that </w:t>
            </w:r>
            <w:r w:rsidR="00187902" w:rsidRPr="7D5D9235">
              <w:rPr>
                <w:rFonts w:ascii="Verdana" w:hAnsi="Verdana" w:cs="Calibri"/>
                <w:sz w:val="18"/>
                <w:szCs w:val="18"/>
              </w:rPr>
              <w:t>have reached and maintain a good resilience status. A value of 0.5 is attributed to components which are currently less resilient, but showing significant progress towards resilience, or for components that are currently sufficiently resilient, but with significantly declining values. A</w:t>
            </w:r>
            <w:r w:rsidRPr="7D5D9235">
              <w:rPr>
                <w:rFonts w:ascii="Verdana" w:hAnsi="Verdana" w:cs="Calibri"/>
                <w:sz w:val="18"/>
                <w:szCs w:val="18"/>
              </w:rPr>
              <w:t xml:space="preserve"> value of 0 is attributed otherwise</w:t>
            </w:r>
            <w:r w:rsidR="00187902" w:rsidRPr="7D5D9235">
              <w:rPr>
                <w:rFonts w:ascii="Verdana" w:hAnsi="Verdana" w:cs="Calibri"/>
                <w:sz w:val="18"/>
                <w:szCs w:val="18"/>
              </w:rPr>
              <w:t xml:space="preserve"> (less resilient without progress). </w:t>
            </w:r>
            <w:r w:rsidRPr="7D5D9235">
              <w:rPr>
                <w:rFonts w:ascii="Verdana" w:hAnsi="Verdana" w:cs="Calibri"/>
                <w:sz w:val="18"/>
                <w:szCs w:val="18"/>
              </w:rPr>
              <w:t xml:space="preserve">Progress is assessed compared to baseline reference levels, i.e. the previous programming period, </w:t>
            </w:r>
            <w:r w:rsidR="00187902" w:rsidRPr="7D5D9235">
              <w:rPr>
                <w:rFonts w:ascii="Verdana" w:hAnsi="Verdana" w:cs="Calibri"/>
                <w:sz w:val="18"/>
                <w:szCs w:val="18"/>
              </w:rPr>
              <w:t xml:space="preserve">or a climate-relevant </w:t>
            </w:r>
            <w:r w:rsidRPr="7D5D9235">
              <w:rPr>
                <w:rFonts w:ascii="Verdana" w:hAnsi="Verdana" w:cs="Calibri"/>
                <w:sz w:val="18"/>
                <w:szCs w:val="18"/>
              </w:rPr>
              <w:t>longer period depending on data availability.</w:t>
            </w:r>
          </w:p>
          <w:p w14:paraId="3BB84D8F" w14:textId="5F8B0EB2" w:rsidR="00263438" w:rsidRPr="00614D7E" w:rsidRDefault="00263438" w:rsidP="7D5D9235">
            <w:pPr>
              <w:pStyle w:val="ListParagraph"/>
              <w:numPr>
                <w:ilvl w:val="0"/>
                <w:numId w:val="63"/>
              </w:numPr>
              <w:spacing w:before="120" w:after="60"/>
              <w:jc w:val="both"/>
              <w:rPr>
                <w:rFonts w:ascii="Verdana" w:hAnsi="Verdana" w:cs="Calibri"/>
                <w:sz w:val="18"/>
                <w:szCs w:val="18"/>
              </w:rPr>
            </w:pPr>
            <w:r w:rsidRPr="7D5D9235">
              <w:rPr>
                <w:rFonts w:ascii="Verdana" w:hAnsi="Verdana" w:cs="Calibri"/>
                <w:sz w:val="18"/>
                <w:szCs w:val="18"/>
              </w:rPr>
              <w:t>Threshold value</w:t>
            </w:r>
            <w:r w:rsidR="00187902" w:rsidRPr="7D5D9235">
              <w:rPr>
                <w:rFonts w:ascii="Verdana" w:hAnsi="Verdana" w:cs="Calibri"/>
                <w:sz w:val="18"/>
                <w:szCs w:val="18"/>
              </w:rPr>
              <w:t>s</w:t>
            </w:r>
            <w:r w:rsidRPr="7D5D9235">
              <w:rPr>
                <w:rFonts w:ascii="Verdana" w:hAnsi="Verdana" w:cs="Calibri"/>
                <w:sz w:val="18"/>
                <w:szCs w:val="18"/>
              </w:rPr>
              <w:t xml:space="preserve"> and related methodology </w:t>
            </w:r>
            <w:r w:rsidR="00187902" w:rsidRPr="7D5D9235">
              <w:rPr>
                <w:rFonts w:ascii="Verdana" w:hAnsi="Verdana" w:cs="Calibri"/>
                <w:sz w:val="18"/>
                <w:szCs w:val="18"/>
              </w:rPr>
              <w:t xml:space="preserve">are </w:t>
            </w:r>
            <w:r w:rsidRPr="7D5D9235">
              <w:rPr>
                <w:rFonts w:ascii="Verdana" w:hAnsi="Verdana" w:cs="Calibri"/>
                <w:sz w:val="18"/>
                <w:szCs w:val="18"/>
              </w:rPr>
              <w:t>defined by JRC component by component, based on the nature and values of the component.</w:t>
            </w:r>
          </w:p>
          <w:p w14:paraId="7312A9EF" w14:textId="74BFB6A6" w:rsidR="00263438" w:rsidRPr="00801053" w:rsidRDefault="00263438" w:rsidP="00187902">
            <w:pPr>
              <w:pStyle w:val="ListParagraph"/>
              <w:numPr>
                <w:ilvl w:val="0"/>
                <w:numId w:val="63"/>
              </w:numPr>
              <w:spacing w:before="120" w:after="60"/>
              <w:jc w:val="both"/>
              <w:rPr>
                <w:rFonts w:ascii="Verdana" w:hAnsi="Verdana" w:cs="Calibri"/>
                <w:sz w:val="18"/>
                <w:szCs w:val="18"/>
                <w:lang w:val="en-US"/>
              </w:rPr>
            </w:pPr>
            <w:r w:rsidRPr="7D5D9235">
              <w:rPr>
                <w:rFonts w:ascii="Verdana" w:hAnsi="Verdana" w:cs="Calibri"/>
                <w:sz w:val="18"/>
                <w:szCs w:val="18"/>
              </w:rPr>
              <w:t xml:space="preserve">The </w:t>
            </w:r>
            <w:r w:rsidR="00187902" w:rsidRPr="7D5D9235">
              <w:rPr>
                <w:rFonts w:ascii="Verdana" w:hAnsi="Verdana" w:cs="Calibri"/>
                <w:sz w:val="18"/>
                <w:szCs w:val="18"/>
              </w:rPr>
              <w:t>composite i</w:t>
            </w:r>
            <w:r w:rsidRPr="7D5D9235">
              <w:rPr>
                <w:rFonts w:ascii="Verdana" w:hAnsi="Verdana" w:cs="Calibri"/>
                <w:sz w:val="18"/>
                <w:szCs w:val="18"/>
              </w:rPr>
              <w:t>ndicator can have a maximum value of 100%</w:t>
            </w:r>
            <w:r w:rsidR="00187902" w:rsidRPr="7D5D9235">
              <w:rPr>
                <w:rFonts w:ascii="Verdana" w:hAnsi="Verdana" w:cs="Calibri"/>
                <w:sz w:val="18"/>
                <w:szCs w:val="18"/>
              </w:rPr>
              <w:t>, indicating a good status of all evaluated components.</w:t>
            </w:r>
          </w:p>
        </w:tc>
      </w:tr>
      <w:tr w:rsidR="00263438" w:rsidRPr="00C34DE9" w14:paraId="5004E081"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70589204" w14:textId="77777777"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lastRenderedPageBreak/>
              <w:t>Unit of measurement</w:t>
            </w:r>
          </w:p>
        </w:tc>
        <w:tc>
          <w:tcPr>
            <w:tcW w:w="7048" w:type="dxa"/>
            <w:tcBorders>
              <w:top w:val="single" w:sz="4" w:space="0" w:color="auto"/>
              <w:left w:val="single" w:sz="4" w:space="0" w:color="auto"/>
              <w:bottom w:val="single" w:sz="4" w:space="0" w:color="auto"/>
              <w:right w:val="single" w:sz="4" w:space="0" w:color="auto"/>
            </w:tcBorders>
          </w:tcPr>
          <w:p w14:paraId="10E6859D" w14:textId="77777777" w:rsidR="00263438" w:rsidRPr="000D3192" w:rsidRDefault="00263438" w:rsidP="00801053">
            <w:pPr>
              <w:spacing w:before="120" w:after="60"/>
              <w:jc w:val="both"/>
              <w:rPr>
                <w:rFonts w:ascii="Verdana" w:hAnsi="Verdana" w:cs="Calibri"/>
                <w:sz w:val="18"/>
                <w:szCs w:val="18"/>
                <w:lang w:val="en-US"/>
              </w:rPr>
            </w:pPr>
            <w:r w:rsidRPr="0A9CF26C">
              <w:rPr>
                <w:rFonts w:ascii="Verdana" w:hAnsi="Verdana" w:cs="Calibri"/>
                <w:sz w:val="18"/>
                <w:szCs w:val="18"/>
                <w:lang w:val="en-US"/>
              </w:rPr>
              <w:t>Dimensionless.</w:t>
            </w:r>
          </w:p>
          <w:p w14:paraId="76A089B6" w14:textId="598F48D4" w:rsidR="00263438" w:rsidRDefault="00162E03" w:rsidP="00801053">
            <w:pPr>
              <w:spacing w:before="120" w:after="60"/>
              <w:jc w:val="both"/>
              <w:rPr>
                <w:rFonts w:ascii="Verdana" w:hAnsi="Verdana" w:cs="Calibri"/>
                <w:sz w:val="18"/>
                <w:szCs w:val="18"/>
              </w:rPr>
            </w:pPr>
            <w:r>
              <w:rPr>
                <w:rFonts w:ascii="Calibri" w:hAnsi="Calibri" w:cs="Calibri"/>
                <w:color w:val="000000"/>
              </w:rPr>
              <w:t>The synthetic value of the indicator is given by</w:t>
            </w:r>
            <w:r w:rsidR="00BF04C8">
              <w:rPr>
                <w:rFonts w:ascii="Calibri" w:hAnsi="Calibri" w:cs="Calibri"/>
                <w:color w:val="000000"/>
              </w:rPr>
              <w:t xml:space="preserve"> </w:t>
            </w:r>
            <w:r w:rsidR="00BF04C8">
              <w:t>the cumulative score of components scaled to range between 0 and 100</w:t>
            </w:r>
            <w:r w:rsidR="00BF04C8" w:rsidRPr="790C88FB">
              <w:t>%.</w:t>
            </w:r>
          </w:p>
          <w:p w14:paraId="07CFF55F" w14:textId="4FA18C43" w:rsidR="00263438" w:rsidRPr="00C34DE9" w:rsidRDefault="00263438" w:rsidP="00801053">
            <w:pPr>
              <w:spacing w:before="120" w:after="60"/>
              <w:jc w:val="both"/>
              <w:rPr>
                <w:rFonts w:ascii="Verdana" w:hAnsi="Verdana"/>
                <w:b/>
                <w:bCs/>
                <w:sz w:val="18"/>
                <w:szCs w:val="18"/>
              </w:rPr>
            </w:pPr>
            <w:r>
              <w:rPr>
                <w:rFonts w:ascii="Verdana" w:hAnsi="Verdana" w:cs="Calibri"/>
                <w:sz w:val="18"/>
                <w:szCs w:val="18"/>
              </w:rPr>
              <w:t>The fiche will display both the synthetic value of the indicator and the improvement score (0</w:t>
            </w:r>
            <w:r w:rsidR="00187902">
              <w:rPr>
                <w:rFonts w:ascii="Verdana" w:hAnsi="Verdana" w:cs="Calibri"/>
                <w:sz w:val="18"/>
                <w:szCs w:val="18"/>
              </w:rPr>
              <w:t>, 0.5</w:t>
            </w:r>
            <w:r>
              <w:rPr>
                <w:rFonts w:ascii="Verdana" w:hAnsi="Verdana" w:cs="Calibri"/>
                <w:sz w:val="18"/>
                <w:szCs w:val="18"/>
              </w:rPr>
              <w:t xml:space="preserve"> or 1) of all selected components.</w:t>
            </w:r>
            <w:r w:rsidR="00187902">
              <w:rPr>
                <w:rFonts w:ascii="Verdana" w:hAnsi="Verdana" w:cs="Calibri"/>
                <w:sz w:val="18"/>
                <w:szCs w:val="18"/>
              </w:rPr>
              <w:t xml:space="preserve"> A dashboard approach provides additional visual support to the numerical values.</w:t>
            </w:r>
          </w:p>
        </w:tc>
      </w:tr>
      <w:tr w:rsidR="00263438" w:rsidRPr="00C34DE9" w14:paraId="697DABEE"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66258808"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Data source</w:t>
            </w:r>
          </w:p>
        </w:tc>
        <w:tc>
          <w:tcPr>
            <w:tcW w:w="7048" w:type="dxa"/>
            <w:tcBorders>
              <w:top w:val="single" w:sz="4" w:space="0" w:color="auto"/>
              <w:left w:val="single" w:sz="4" w:space="0" w:color="auto"/>
              <w:bottom w:val="single" w:sz="4" w:space="0" w:color="auto"/>
              <w:right w:val="single" w:sz="4" w:space="0" w:color="auto"/>
            </w:tcBorders>
          </w:tcPr>
          <w:p w14:paraId="48E08C92" w14:textId="68E9E08E" w:rsidR="00263438" w:rsidRPr="00C34DE9" w:rsidRDefault="00263438" w:rsidP="00187902">
            <w:pPr>
              <w:rPr>
                <w:rFonts w:ascii="Verdana" w:hAnsi="Verdana" w:cs="Calibri"/>
                <w:sz w:val="18"/>
                <w:szCs w:val="18"/>
              </w:rPr>
            </w:pPr>
            <w:r w:rsidRPr="172AA083">
              <w:rPr>
                <w:rFonts w:ascii="Verdana" w:hAnsi="Verdana" w:cs="Calibri"/>
                <w:sz w:val="18"/>
                <w:szCs w:val="18"/>
              </w:rPr>
              <w:t xml:space="preserve">CAP CMEF and PMEF, </w:t>
            </w:r>
            <w:r w:rsidR="00187902" w:rsidRPr="172AA083">
              <w:rPr>
                <w:rFonts w:ascii="Verdana" w:hAnsi="Verdana" w:cs="Calibri"/>
                <w:sz w:val="18"/>
                <w:szCs w:val="18"/>
              </w:rPr>
              <w:t>JRC</w:t>
            </w:r>
            <w:r w:rsidR="00187902">
              <w:rPr>
                <w:rFonts w:ascii="Verdana" w:hAnsi="Verdana" w:cs="Calibri"/>
                <w:sz w:val="18"/>
                <w:szCs w:val="18"/>
              </w:rPr>
              <w:t>,</w:t>
            </w:r>
            <w:r w:rsidR="00187902" w:rsidRPr="172AA083">
              <w:rPr>
                <w:rFonts w:ascii="Verdana" w:hAnsi="Verdana" w:cs="Calibri"/>
                <w:sz w:val="18"/>
                <w:szCs w:val="18"/>
              </w:rPr>
              <w:t xml:space="preserve"> Eurostat</w:t>
            </w:r>
            <w:r w:rsidRPr="172AA083">
              <w:rPr>
                <w:rFonts w:ascii="Verdana" w:hAnsi="Verdana" w:cs="Calibri"/>
                <w:sz w:val="18"/>
                <w:szCs w:val="18"/>
              </w:rPr>
              <w:t xml:space="preserve"> </w:t>
            </w:r>
            <w:r w:rsidR="00187902">
              <w:rPr>
                <w:rFonts w:ascii="Verdana" w:hAnsi="Verdana" w:cs="Calibri"/>
                <w:sz w:val="18"/>
                <w:szCs w:val="18"/>
              </w:rPr>
              <w:t xml:space="preserve">and EEA </w:t>
            </w:r>
            <w:r w:rsidRPr="172AA083">
              <w:rPr>
                <w:rFonts w:ascii="Verdana" w:hAnsi="Verdana" w:cs="Calibri"/>
                <w:sz w:val="18"/>
                <w:szCs w:val="18"/>
              </w:rPr>
              <w:t>data.</w:t>
            </w:r>
          </w:p>
        </w:tc>
      </w:tr>
      <w:tr w:rsidR="00263438" w:rsidRPr="00C34DE9" w14:paraId="09B7FEFA"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1539C313" w14:textId="77777777"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t>References / location of the data</w:t>
            </w:r>
          </w:p>
        </w:tc>
        <w:tc>
          <w:tcPr>
            <w:tcW w:w="7048" w:type="dxa"/>
            <w:tcBorders>
              <w:top w:val="single" w:sz="4" w:space="0" w:color="auto"/>
              <w:left w:val="single" w:sz="4" w:space="0" w:color="auto"/>
              <w:bottom w:val="single" w:sz="4" w:space="0" w:color="auto"/>
              <w:right w:val="single" w:sz="4" w:space="0" w:color="auto"/>
            </w:tcBorders>
          </w:tcPr>
          <w:p w14:paraId="63FD5BCF" w14:textId="6F5884DE" w:rsidR="00263438" w:rsidRPr="00C34DE9" w:rsidRDefault="00263438" w:rsidP="00187902">
            <w:pPr>
              <w:spacing w:before="120" w:after="60"/>
              <w:rPr>
                <w:rFonts w:ascii="Verdana" w:hAnsi="Verdana"/>
                <w:sz w:val="18"/>
                <w:szCs w:val="18"/>
              </w:rPr>
            </w:pPr>
            <w:r w:rsidRPr="172AA083">
              <w:rPr>
                <w:rFonts w:ascii="Verdana" w:hAnsi="Verdana" w:cs="Calibri"/>
                <w:sz w:val="18"/>
                <w:szCs w:val="18"/>
              </w:rPr>
              <w:t>CAP CMEF and PMEF, JRC</w:t>
            </w:r>
            <w:r w:rsidR="00187902">
              <w:rPr>
                <w:rFonts w:ascii="Verdana" w:hAnsi="Verdana" w:cs="Calibri"/>
                <w:sz w:val="18"/>
                <w:szCs w:val="18"/>
              </w:rPr>
              <w:t>,</w:t>
            </w:r>
            <w:r w:rsidRPr="172AA083">
              <w:rPr>
                <w:rFonts w:ascii="Verdana" w:hAnsi="Verdana" w:cs="Calibri"/>
                <w:sz w:val="18"/>
                <w:szCs w:val="18"/>
              </w:rPr>
              <w:t xml:space="preserve"> Eurostat </w:t>
            </w:r>
            <w:r w:rsidR="00187902">
              <w:rPr>
                <w:rFonts w:ascii="Verdana" w:hAnsi="Verdana" w:cs="Calibri"/>
                <w:sz w:val="18"/>
                <w:szCs w:val="18"/>
              </w:rPr>
              <w:t xml:space="preserve">and EEA </w:t>
            </w:r>
            <w:r w:rsidRPr="172AA083">
              <w:rPr>
                <w:rFonts w:ascii="Verdana" w:hAnsi="Verdana" w:cs="Calibri"/>
                <w:sz w:val="18"/>
                <w:szCs w:val="18"/>
              </w:rPr>
              <w:t>data.</w:t>
            </w:r>
          </w:p>
        </w:tc>
      </w:tr>
      <w:tr w:rsidR="00263438" w:rsidRPr="00C34DE9" w14:paraId="4C597FB2"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72BD6A13"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Data collection</w:t>
            </w:r>
            <w:r w:rsidRPr="0A9CF26C" w:rsidDel="00D07B30">
              <w:rPr>
                <w:rFonts w:ascii="Verdana" w:hAnsi="Verdana"/>
                <w:b/>
                <w:bCs/>
                <w:sz w:val="18"/>
                <w:szCs w:val="18"/>
              </w:rPr>
              <w:t xml:space="preserve"> </w:t>
            </w:r>
            <w:r w:rsidRPr="0A9CF26C">
              <w:rPr>
                <w:rFonts w:ascii="Verdana" w:hAnsi="Verdana"/>
                <w:b/>
                <w:bCs/>
                <w:sz w:val="18"/>
                <w:szCs w:val="18"/>
              </w:rPr>
              <w:t>/ dissemination level</w:t>
            </w:r>
          </w:p>
        </w:tc>
        <w:tc>
          <w:tcPr>
            <w:tcW w:w="7048" w:type="dxa"/>
            <w:tcBorders>
              <w:top w:val="single" w:sz="4" w:space="0" w:color="auto"/>
              <w:left w:val="single" w:sz="4" w:space="0" w:color="auto"/>
              <w:bottom w:val="single" w:sz="4" w:space="0" w:color="auto"/>
              <w:right w:val="single" w:sz="4" w:space="0" w:color="auto"/>
            </w:tcBorders>
          </w:tcPr>
          <w:p w14:paraId="679B5003" w14:textId="77777777" w:rsidR="00263438" w:rsidRPr="00C34DE9" w:rsidRDefault="00263438" w:rsidP="009E5F04">
            <w:pPr>
              <w:spacing w:before="120" w:after="60"/>
              <w:rPr>
                <w:rFonts w:ascii="Verdana" w:hAnsi="Verdana"/>
                <w:sz w:val="18"/>
                <w:szCs w:val="18"/>
              </w:rPr>
            </w:pPr>
            <w:r w:rsidRPr="0A9CF26C">
              <w:rPr>
                <w:rFonts w:ascii="Verdana" w:hAnsi="Verdana" w:cs="Calibri"/>
                <w:sz w:val="18"/>
                <w:szCs w:val="18"/>
              </w:rPr>
              <w:t>See the individual selected impact indicators</w:t>
            </w:r>
          </w:p>
        </w:tc>
      </w:tr>
      <w:tr w:rsidR="00263438" w:rsidRPr="00C34DE9" w14:paraId="5F015A55"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2084AC21"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 xml:space="preserve">Frequency </w:t>
            </w:r>
          </w:p>
        </w:tc>
        <w:tc>
          <w:tcPr>
            <w:tcW w:w="7048" w:type="dxa"/>
            <w:tcBorders>
              <w:top w:val="single" w:sz="4" w:space="0" w:color="auto"/>
              <w:left w:val="single" w:sz="4" w:space="0" w:color="auto"/>
              <w:bottom w:val="single" w:sz="4" w:space="0" w:color="auto"/>
              <w:right w:val="single" w:sz="4" w:space="0" w:color="auto"/>
            </w:tcBorders>
          </w:tcPr>
          <w:p w14:paraId="1CCC2703" w14:textId="77777777" w:rsidR="00263438" w:rsidRPr="00C34DE9" w:rsidRDefault="00263438" w:rsidP="009E5F04">
            <w:pPr>
              <w:spacing w:before="120" w:after="60"/>
              <w:rPr>
                <w:rFonts w:ascii="Verdana" w:hAnsi="Verdana"/>
                <w:b/>
                <w:bCs/>
                <w:sz w:val="18"/>
                <w:szCs w:val="18"/>
              </w:rPr>
            </w:pPr>
            <w:r w:rsidRPr="0A9CF26C">
              <w:rPr>
                <w:rFonts w:ascii="Verdana" w:hAnsi="Verdana" w:cs="Calibri"/>
                <w:sz w:val="18"/>
                <w:szCs w:val="18"/>
              </w:rPr>
              <w:t>Beginning, mid and end of programming period.</w:t>
            </w:r>
          </w:p>
        </w:tc>
      </w:tr>
      <w:tr w:rsidR="00263438" w:rsidRPr="00C34DE9" w14:paraId="4150C328"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51F34A37" w14:textId="77777777" w:rsidR="00263438" w:rsidRPr="00C34DE9" w:rsidRDefault="00263438" w:rsidP="790C88FB">
            <w:pPr>
              <w:spacing w:before="120" w:after="60"/>
              <w:rPr>
                <w:rFonts w:ascii="Verdana" w:hAnsi="Verdana"/>
                <w:b/>
                <w:bCs/>
                <w:i/>
                <w:iCs/>
                <w:sz w:val="18"/>
                <w:szCs w:val="18"/>
              </w:rPr>
            </w:pPr>
            <w:r w:rsidRPr="0A9CF26C">
              <w:rPr>
                <w:rFonts w:ascii="Verdana" w:hAnsi="Verdana"/>
                <w:b/>
                <w:bCs/>
                <w:sz w:val="18"/>
                <w:szCs w:val="18"/>
              </w:rPr>
              <w:t>Timeliness</w:t>
            </w:r>
          </w:p>
        </w:tc>
        <w:tc>
          <w:tcPr>
            <w:tcW w:w="7048" w:type="dxa"/>
            <w:tcBorders>
              <w:top w:val="single" w:sz="4" w:space="0" w:color="auto"/>
              <w:left w:val="single" w:sz="4" w:space="0" w:color="auto"/>
              <w:bottom w:val="single" w:sz="4" w:space="0" w:color="auto"/>
              <w:right w:val="single" w:sz="4" w:space="0" w:color="auto"/>
            </w:tcBorders>
          </w:tcPr>
          <w:p w14:paraId="7D7309ED" w14:textId="77777777" w:rsidR="00263438" w:rsidRPr="00C34DE9" w:rsidRDefault="00263438" w:rsidP="009E5F04">
            <w:pPr>
              <w:spacing w:before="120" w:after="60"/>
              <w:rPr>
                <w:rFonts w:ascii="Verdana" w:hAnsi="Verdana"/>
                <w:sz w:val="18"/>
                <w:szCs w:val="18"/>
              </w:rPr>
            </w:pPr>
            <w:r w:rsidRPr="172AA083">
              <w:rPr>
                <w:rFonts w:ascii="Verdana" w:hAnsi="Verdana" w:cs="Calibri"/>
                <w:sz w:val="18"/>
                <w:szCs w:val="18"/>
              </w:rPr>
              <w:t>Corresponding to CAP PMEF, JRC and Eurostat data.</w:t>
            </w:r>
          </w:p>
        </w:tc>
      </w:tr>
      <w:tr w:rsidR="00263438" w:rsidRPr="00C34DE9" w14:paraId="739AAF7C" w14:textId="77777777" w:rsidTr="240ABBB4">
        <w:tc>
          <w:tcPr>
            <w:tcW w:w="2983" w:type="dxa"/>
            <w:tcBorders>
              <w:top w:val="single" w:sz="4" w:space="0" w:color="auto"/>
              <w:left w:val="single" w:sz="4" w:space="0" w:color="auto"/>
              <w:bottom w:val="single" w:sz="4" w:space="0" w:color="auto"/>
              <w:right w:val="single" w:sz="4" w:space="0" w:color="auto"/>
            </w:tcBorders>
            <w:shd w:val="clear" w:color="auto" w:fill="auto"/>
          </w:tcPr>
          <w:p w14:paraId="525BAB53" w14:textId="77777777" w:rsidR="00263438" w:rsidRPr="00C34DE9" w:rsidRDefault="00263438" w:rsidP="009E5F04">
            <w:pPr>
              <w:spacing w:before="120" w:after="60"/>
              <w:rPr>
                <w:rFonts w:ascii="Verdana" w:hAnsi="Verdana"/>
                <w:b/>
                <w:bCs/>
                <w:sz w:val="18"/>
                <w:szCs w:val="18"/>
              </w:rPr>
            </w:pPr>
            <w:r w:rsidRPr="0A9CF26C">
              <w:rPr>
                <w:rFonts w:ascii="Verdana" w:hAnsi="Verdana"/>
                <w:b/>
                <w:bCs/>
                <w:sz w:val="18"/>
                <w:szCs w:val="18"/>
              </w:rPr>
              <w:t>Comments/caveats</w:t>
            </w:r>
            <w:r w:rsidRPr="00C34DE9">
              <w:rPr>
                <w:rFonts w:ascii="Verdana" w:hAnsi="Verdana"/>
                <w:sz w:val="18"/>
                <w:szCs w:val="18"/>
              </w:rPr>
              <w:t xml:space="preserve"> </w:t>
            </w:r>
          </w:p>
        </w:tc>
        <w:tc>
          <w:tcPr>
            <w:tcW w:w="7048" w:type="dxa"/>
            <w:tcBorders>
              <w:top w:val="single" w:sz="4" w:space="0" w:color="auto"/>
              <w:left w:val="single" w:sz="4" w:space="0" w:color="auto"/>
              <w:bottom w:val="single" w:sz="4" w:space="0" w:color="auto"/>
              <w:right w:val="single" w:sz="4" w:space="0" w:color="auto"/>
            </w:tcBorders>
          </w:tcPr>
          <w:p w14:paraId="21C8682B" w14:textId="19FCF0AB"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 xml:space="preserve">[Indication capacity] Resilience depends on a large number of context specific factors, the </w:t>
            </w:r>
            <w:r w:rsidR="00187902">
              <w:rPr>
                <w:rFonts w:ascii="Verdana" w:hAnsi="Verdana"/>
                <w:sz w:val="18"/>
                <w:szCs w:val="18"/>
              </w:rPr>
              <w:t xml:space="preserve">current </w:t>
            </w:r>
            <w:r w:rsidRPr="000D3192">
              <w:rPr>
                <w:rFonts w:ascii="Verdana" w:hAnsi="Verdana"/>
                <w:sz w:val="18"/>
                <w:szCs w:val="18"/>
              </w:rPr>
              <w:t xml:space="preserve">selection is a subset of a larger number of </w:t>
            </w:r>
            <w:r w:rsidR="00187902">
              <w:rPr>
                <w:rFonts w:ascii="Verdana" w:hAnsi="Verdana"/>
                <w:sz w:val="18"/>
                <w:szCs w:val="18"/>
              </w:rPr>
              <w:t>possible components</w:t>
            </w:r>
            <w:r w:rsidRPr="000D3192">
              <w:rPr>
                <w:rFonts w:ascii="Verdana" w:hAnsi="Verdana"/>
                <w:sz w:val="18"/>
                <w:szCs w:val="18"/>
              </w:rPr>
              <w:t xml:space="preserve">. Elements such as </w:t>
            </w:r>
            <w:r w:rsidR="00E905C1">
              <w:rPr>
                <w:rFonts w:ascii="Verdana" w:hAnsi="Verdana"/>
                <w:sz w:val="18"/>
                <w:szCs w:val="18"/>
              </w:rPr>
              <w:t xml:space="preserve">risk management, </w:t>
            </w:r>
            <w:r w:rsidRPr="000D3192">
              <w:rPr>
                <w:rFonts w:ascii="Verdana" w:hAnsi="Verdana"/>
                <w:sz w:val="18"/>
                <w:szCs w:val="18"/>
              </w:rPr>
              <w:t xml:space="preserve">training, participation to innovation schemes, the </w:t>
            </w:r>
            <w:r w:rsidR="00E905C1">
              <w:rPr>
                <w:rFonts w:ascii="Verdana" w:hAnsi="Verdana"/>
                <w:sz w:val="18"/>
                <w:szCs w:val="18"/>
              </w:rPr>
              <w:t xml:space="preserve">farmer’s </w:t>
            </w:r>
            <w:r w:rsidRPr="000D3192">
              <w:rPr>
                <w:rFonts w:ascii="Verdana" w:hAnsi="Verdana"/>
                <w:sz w:val="18"/>
                <w:szCs w:val="18"/>
              </w:rPr>
              <w:t>age structure, investments and others directly or indirectly linked with resilience of the sector can be taken in consideration.</w:t>
            </w:r>
          </w:p>
          <w:p w14:paraId="20510B5F" w14:textId="1EDBBF63" w:rsidR="00263438" w:rsidRDefault="00263438" w:rsidP="00801053">
            <w:pPr>
              <w:spacing w:before="120" w:after="60"/>
              <w:jc w:val="both"/>
              <w:rPr>
                <w:rFonts w:ascii="Verdana" w:hAnsi="Verdana"/>
                <w:sz w:val="18"/>
                <w:szCs w:val="18"/>
              </w:rPr>
            </w:pPr>
            <w:r w:rsidRPr="000D3192">
              <w:rPr>
                <w:rFonts w:ascii="Verdana" w:hAnsi="Verdana"/>
                <w:sz w:val="18"/>
                <w:szCs w:val="18"/>
              </w:rPr>
              <w:t>It is important to recogni</w:t>
            </w:r>
            <w:r w:rsidR="00A873D9">
              <w:rPr>
                <w:rFonts w:ascii="Verdana" w:hAnsi="Verdana"/>
                <w:sz w:val="18"/>
                <w:szCs w:val="18"/>
              </w:rPr>
              <w:t>s</w:t>
            </w:r>
            <w:r w:rsidRPr="000D3192">
              <w:rPr>
                <w:rFonts w:ascii="Verdana" w:hAnsi="Verdana"/>
                <w:sz w:val="18"/>
                <w:szCs w:val="18"/>
              </w:rPr>
              <w:t>e that a comprehensive assessment of the resilience would imply to describe dimensions such as i)</w:t>
            </w:r>
            <w:r w:rsidR="00A873D9">
              <w:rPr>
                <w:rFonts w:ascii="Verdana" w:hAnsi="Verdana"/>
                <w:sz w:val="18"/>
                <w:szCs w:val="18"/>
              </w:rPr>
              <w:t>Socio-economic aspects</w:t>
            </w:r>
            <w:r w:rsidRPr="000D3192">
              <w:rPr>
                <w:rFonts w:ascii="Verdana" w:hAnsi="Verdana"/>
                <w:sz w:val="18"/>
                <w:szCs w:val="18"/>
              </w:rPr>
              <w:t>; ii) Governance; iii) Social and innovation and iv) Bio-physical</w:t>
            </w:r>
            <w:r w:rsidR="00A873D9">
              <w:rPr>
                <w:rFonts w:ascii="Verdana" w:hAnsi="Verdana"/>
                <w:sz w:val="18"/>
                <w:szCs w:val="18"/>
              </w:rPr>
              <w:t xml:space="preserve"> aspects</w:t>
            </w:r>
            <w:r w:rsidRPr="000D3192">
              <w:rPr>
                <w:rFonts w:ascii="Verdana" w:hAnsi="Verdana"/>
                <w:sz w:val="18"/>
                <w:szCs w:val="18"/>
              </w:rPr>
              <w:t xml:space="preserve">. </w:t>
            </w:r>
            <w:r>
              <w:rPr>
                <w:rFonts w:ascii="Verdana" w:hAnsi="Verdana"/>
                <w:sz w:val="18"/>
                <w:szCs w:val="18"/>
              </w:rPr>
              <w:t>F</w:t>
            </w:r>
            <w:r>
              <w:rPr>
                <w:rFonts w:ascii="Verdana" w:hAnsi="Verdana" w:cs="Calibri"/>
                <w:sz w:val="18"/>
                <w:szCs w:val="18"/>
              </w:rPr>
              <w:t>or some components, data</w:t>
            </w:r>
            <w:r w:rsidR="00E905C1">
              <w:rPr>
                <w:rFonts w:ascii="Verdana" w:hAnsi="Verdana" w:cs="Calibri"/>
                <w:sz w:val="18"/>
                <w:szCs w:val="18"/>
              </w:rPr>
              <w:t xml:space="preserve"> are </w:t>
            </w:r>
            <w:r>
              <w:rPr>
                <w:rFonts w:ascii="Verdana" w:hAnsi="Verdana" w:cs="Calibri"/>
                <w:sz w:val="18"/>
                <w:szCs w:val="18"/>
              </w:rPr>
              <w:t xml:space="preserve">not readily available or data </w:t>
            </w:r>
            <w:r>
              <w:rPr>
                <w:rFonts w:ascii="Verdana" w:hAnsi="Verdana" w:cs="Calibri"/>
                <w:sz w:val="18"/>
                <w:szCs w:val="18"/>
              </w:rPr>
              <w:lastRenderedPageBreak/>
              <w:t xml:space="preserve">collection will only start with the new programming period. For this reason, the indicator </w:t>
            </w:r>
            <w:r w:rsidR="00E905C1">
              <w:rPr>
                <w:rFonts w:ascii="Verdana" w:hAnsi="Verdana" w:cs="Calibri"/>
                <w:sz w:val="18"/>
                <w:szCs w:val="18"/>
              </w:rPr>
              <w:t xml:space="preserve">is </w:t>
            </w:r>
            <w:r w:rsidRPr="003561AB">
              <w:rPr>
                <w:rFonts w:ascii="Verdana" w:hAnsi="Verdana" w:cs="Calibri"/>
                <w:sz w:val="18"/>
                <w:szCs w:val="18"/>
              </w:rPr>
              <w:t xml:space="preserve">initially based on </w:t>
            </w:r>
            <w:r>
              <w:rPr>
                <w:rFonts w:ascii="Verdana" w:hAnsi="Verdana" w:cs="Calibri"/>
                <w:sz w:val="18"/>
                <w:szCs w:val="18"/>
              </w:rPr>
              <w:t>components for which an assessment of the trend or a comparison with a reference period can be carried out. More components related to the</w:t>
            </w:r>
            <w:r w:rsidR="00A873D9">
              <w:rPr>
                <w:rFonts w:ascii="Verdana" w:hAnsi="Verdana" w:cs="Calibri"/>
                <w:sz w:val="18"/>
                <w:szCs w:val="18"/>
              </w:rPr>
              <w:t xml:space="preserve"> socio-economic</w:t>
            </w:r>
            <w:r>
              <w:rPr>
                <w:rFonts w:ascii="Verdana" w:hAnsi="Verdana" w:cs="Calibri"/>
                <w:sz w:val="18"/>
                <w:szCs w:val="18"/>
              </w:rPr>
              <w:t xml:space="preserve">, governance, social, innovation and bio-physical aspects of resilience </w:t>
            </w:r>
            <w:r w:rsidR="00E905C1">
              <w:rPr>
                <w:rFonts w:ascii="Verdana" w:hAnsi="Verdana" w:cs="Calibri"/>
                <w:sz w:val="18"/>
                <w:szCs w:val="18"/>
              </w:rPr>
              <w:t xml:space="preserve">will </w:t>
            </w:r>
            <w:r>
              <w:rPr>
                <w:rFonts w:ascii="Verdana" w:hAnsi="Verdana" w:cs="Calibri"/>
                <w:sz w:val="18"/>
                <w:szCs w:val="18"/>
              </w:rPr>
              <w:t xml:space="preserve">be included at a later stage when data will be available in order to build a more comprehensive picture of agriculture resilience. Those </w:t>
            </w:r>
            <w:r w:rsidR="00A873D9">
              <w:rPr>
                <w:rFonts w:ascii="Verdana" w:hAnsi="Verdana" w:cs="Calibri"/>
                <w:sz w:val="18"/>
                <w:szCs w:val="18"/>
              </w:rPr>
              <w:t>will</w:t>
            </w:r>
            <w:r w:rsidR="00462F4B">
              <w:rPr>
                <w:rFonts w:ascii="Verdana" w:hAnsi="Verdana" w:cs="Calibri"/>
                <w:sz w:val="18"/>
                <w:szCs w:val="18"/>
              </w:rPr>
              <w:t xml:space="preserve"> </w:t>
            </w:r>
            <w:r>
              <w:rPr>
                <w:rFonts w:ascii="Verdana" w:hAnsi="Verdana" w:cs="Calibri"/>
                <w:sz w:val="18"/>
                <w:szCs w:val="18"/>
              </w:rPr>
              <w:t xml:space="preserve">include for instance: implementation of </w:t>
            </w:r>
            <w:r w:rsidR="00E905C1">
              <w:rPr>
                <w:rFonts w:ascii="Verdana" w:hAnsi="Verdana" w:cs="Calibri"/>
                <w:sz w:val="18"/>
                <w:szCs w:val="18"/>
              </w:rPr>
              <w:t xml:space="preserve">(agro-management) </w:t>
            </w:r>
            <w:r>
              <w:rPr>
                <w:rFonts w:cs="Calibri"/>
              </w:rPr>
              <w:t>a</w:t>
            </w:r>
            <w:r w:rsidRPr="00A811B1">
              <w:rPr>
                <w:rFonts w:cs="Calibri"/>
              </w:rPr>
              <w:t xml:space="preserve">daptation </w:t>
            </w:r>
            <w:r>
              <w:rPr>
                <w:rFonts w:cs="Calibri"/>
              </w:rPr>
              <w:t xml:space="preserve">measures </w:t>
            </w:r>
            <w:r w:rsidRPr="00A811B1">
              <w:rPr>
                <w:rFonts w:cs="Calibri"/>
              </w:rPr>
              <w:t>to climate change</w:t>
            </w:r>
            <w:r>
              <w:rPr>
                <w:rFonts w:cs="Calibri"/>
              </w:rPr>
              <w:t>, i</w:t>
            </w:r>
            <w:r w:rsidRPr="00A811B1">
              <w:rPr>
                <w:rFonts w:cs="Calibri"/>
              </w:rPr>
              <w:t xml:space="preserve">nvestments related to care for the environment or climate, </w:t>
            </w:r>
            <w:r w:rsidR="00E905C1">
              <w:rPr>
                <w:rFonts w:cs="Calibri"/>
              </w:rPr>
              <w:t xml:space="preserve">risk assessment methods, including climate services, </w:t>
            </w:r>
            <w:r w:rsidRPr="00A811B1">
              <w:rPr>
                <w:rFonts w:cs="Calibri"/>
              </w:rPr>
              <w:t>training, related to environmental/climate performance</w:t>
            </w:r>
            <w:r>
              <w:rPr>
                <w:rFonts w:cs="Calibri"/>
              </w:rPr>
              <w:t>.</w:t>
            </w:r>
            <w:r w:rsidRPr="009D1B23">
              <w:rPr>
                <w:rFonts w:cs="Calibri"/>
                <w:strike/>
              </w:rPr>
              <w:t xml:space="preserve"> </w:t>
            </w:r>
          </w:p>
          <w:p w14:paraId="602DF581" w14:textId="77777777" w:rsidR="00263438" w:rsidRPr="000D3192" w:rsidRDefault="00263438" w:rsidP="00801053">
            <w:pPr>
              <w:spacing w:before="120" w:after="60"/>
              <w:jc w:val="both"/>
              <w:rPr>
                <w:rFonts w:ascii="Verdana" w:hAnsi="Verdana"/>
                <w:sz w:val="18"/>
                <w:szCs w:val="18"/>
              </w:rPr>
            </w:pPr>
            <w:r>
              <w:rPr>
                <w:rFonts w:ascii="Verdana" w:hAnsi="Verdana"/>
                <w:sz w:val="18"/>
                <w:szCs w:val="18"/>
              </w:rPr>
              <w:t>This indicator provides a basic framework open to further development and selection of components.</w:t>
            </w:r>
          </w:p>
          <w:p w14:paraId="5E304654" w14:textId="7777777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It is also possible that the overall system resilience will depend on the ‘weakest’ factor, and careful analysis of the contributing factors and importance in the local context remains imperative. Systematic analysis of relationships between driving factors that enhance or weaken aspects of resilience may help refining the indicator in the local context.</w:t>
            </w:r>
          </w:p>
          <w:p w14:paraId="7D06F701" w14:textId="77777777" w:rsidR="00263438" w:rsidRDefault="00263438" w:rsidP="00801053">
            <w:pPr>
              <w:spacing w:before="120" w:after="60"/>
              <w:jc w:val="both"/>
              <w:rPr>
                <w:rFonts w:ascii="Verdana" w:hAnsi="Verdana"/>
                <w:sz w:val="18"/>
                <w:szCs w:val="18"/>
              </w:rPr>
            </w:pPr>
            <w:r>
              <w:rPr>
                <w:rFonts w:ascii="Verdana" w:hAnsi="Verdana"/>
                <w:sz w:val="18"/>
                <w:szCs w:val="18"/>
              </w:rPr>
              <w:t>The indicator fiche will display both the synthetic value of the indicator and the direction of each component, giving the possibility to use the fiche as a resilience dashboard.</w:t>
            </w:r>
          </w:p>
          <w:p w14:paraId="0F3ED02F" w14:textId="6F4A05D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[Readily available] Directly depend on the readiness of the other components</w:t>
            </w:r>
            <w:r w:rsidR="00E905C1">
              <w:rPr>
                <w:rFonts w:ascii="Verdana" w:hAnsi="Verdana"/>
                <w:sz w:val="18"/>
                <w:szCs w:val="18"/>
              </w:rPr>
              <w:t>, typically with delays of 2-3 years. Several model based indicators can be further improved using detailed information on e.g. agro-management and other practices.</w:t>
            </w:r>
          </w:p>
          <w:p w14:paraId="77C5676C" w14:textId="7777777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 xml:space="preserve">[Downscaling/aggregation] The indicator provides aggregated information on MS level, however where possible makes use of (sub-) regional information. </w:t>
            </w:r>
          </w:p>
          <w:p w14:paraId="6B1D9DF5" w14:textId="77777777" w:rsidR="00263438" w:rsidRPr="000D3192" w:rsidRDefault="00263438" w:rsidP="00801053">
            <w:pPr>
              <w:spacing w:before="120" w:after="60"/>
              <w:jc w:val="both"/>
              <w:rPr>
                <w:rFonts w:ascii="Verdana" w:hAnsi="Verdana"/>
                <w:sz w:val="18"/>
                <w:szCs w:val="18"/>
              </w:rPr>
            </w:pPr>
            <w:r w:rsidRPr="000D3192">
              <w:rPr>
                <w:rFonts w:ascii="Verdana" w:hAnsi="Verdana"/>
                <w:sz w:val="18"/>
                <w:szCs w:val="18"/>
              </w:rPr>
              <w:t xml:space="preserve">[Quality] Linked to the components, and the relative importance of these components for resilience aspects. </w:t>
            </w:r>
          </w:p>
          <w:p w14:paraId="6A41A66E" w14:textId="77777777" w:rsidR="00263438" w:rsidRPr="00C34DE9" w:rsidRDefault="00263438" w:rsidP="00801053">
            <w:pPr>
              <w:spacing w:before="120" w:after="60"/>
              <w:jc w:val="both"/>
              <w:rPr>
                <w:rFonts w:ascii="Verdana" w:hAnsi="Verdana"/>
                <w:sz w:val="18"/>
                <w:szCs w:val="18"/>
              </w:rPr>
            </w:pPr>
            <w:r w:rsidRPr="000D3192">
              <w:rPr>
                <w:rFonts w:ascii="Verdana" w:hAnsi="Verdana"/>
                <w:sz w:val="18"/>
                <w:szCs w:val="18"/>
              </w:rPr>
              <w:t>[Baseline] The situation at the start of the programming period, some of underlying indicators with large variability are based on longer (climate relevant) reference periods prior to the start of the programming period.</w:t>
            </w:r>
            <w:r>
              <w:rPr>
                <w:rFonts w:ascii="Verdana" w:hAnsi="Verdana"/>
                <w:sz w:val="18"/>
                <w:szCs w:val="18"/>
              </w:rPr>
              <w:t xml:space="preserve">  </w:t>
            </w:r>
          </w:p>
        </w:tc>
      </w:tr>
    </w:tbl>
    <w:p w14:paraId="104B2CF9" w14:textId="77777777" w:rsidR="00263438" w:rsidRPr="00C34DE9" w:rsidRDefault="00263438" w:rsidP="003C3153"/>
    <w:p w14:paraId="2F0908ED" w14:textId="77777777" w:rsidR="00263438" w:rsidRDefault="00263438">
      <w:pPr>
        <w:spacing w:after="0" w:line="240" w:lineRule="auto"/>
      </w:pPr>
      <w:r>
        <w:br w:type="page"/>
      </w:r>
    </w:p>
    <w:p w14:paraId="08A835FB" w14:textId="77777777" w:rsidR="00544872" w:rsidRDefault="00544872" w:rsidP="003C315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90"/>
      </w:tblGrid>
      <w:tr w:rsidR="00263438" w:rsidRPr="00263438" w14:paraId="1E6B5E1A"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82B9568" w14:textId="48ED94A6" w:rsidR="00263438" w:rsidRPr="00263438" w:rsidRDefault="00263438" w:rsidP="00DE5E11">
            <w:pPr>
              <w:spacing w:after="60"/>
              <w:rPr>
                <w:rFonts w:ascii="Verdana" w:hAnsi="Verdana"/>
                <w:b/>
                <w:bCs/>
                <w:sz w:val="18"/>
                <w:szCs w:val="18"/>
              </w:rPr>
            </w:pPr>
            <w:bookmarkStart w:id="70" w:name="C45"/>
            <w:r w:rsidRPr="00263438">
              <w:rPr>
                <w:rFonts w:ascii="Verdana" w:hAnsi="Verdana"/>
                <w:b/>
                <w:bCs/>
                <w:smallCaps/>
                <w:sz w:val="18"/>
                <w:szCs w:val="18"/>
              </w:rPr>
              <w:t>Indicator C.4</w:t>
            </w:r>
            <w:r w:rsidR="00DE5E11">
              <w:rPr>
                <w:rFonts w:ascii="Verdana" w:hAnsi="Verdana"/>
                <w:b/>
                <w:bCs/>
                <w:smallCaps/>
                <w:sz w:val="18"/>
                <w:szCs w:val="18"/>
              </w:rPr>
              <w:t>6</w:t>
            </w:r>
            <w:bookmarkEnd w:id="70"/>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7B0F8B99" w14:textId="77777777" w:rsidR="00263438" w:rsidRPr="00263438" w:rsidRDefault="00263438" w:rsidP="009E5F04">
            <w:pPr>
              <w:spacing w:after="60"/>
              <w:rPr>
                <w:rFonts w:ascii="Verdana" w:hAnsi="Verdana"/>
                <w:caps/>
                <w:sz w:val="18"/>
                <w:szCs w:val="18"/>
              </w:rPr>
            </w:pPr>
          </w:p>
        </w:tc>
      </w:tr>
      <w:tr w:rsidR="00263438" w:rsidRPr="00263438" w14:paraId="749469AC"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805C61E"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Indicator Name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8C765AC" w14:textId="36120567" w:rsidR="00263438" w:rsidRPr="00DE5E11" w:rsidRDefault="00263438" w:rsidP="00DE5E11">
            <w:pPr>
              <w:spacing w:after="60"/>
              <w:jc w:val="center"/>
              <w:rPr>
                <w:rFonts w:ascii="Verdana" w:hAnsi="Verdana"/>
                <w:b/>
                <w:bCs/>
                <w:sz w:val="18"/>
                <w:szCs w:val="18"/>
              </w:rPr>
            </w:pPr>
            <w:r w:rsidRPr="00263438">
              <w:rPr>
                <w:rFonts w:ascii="Verdana" w:hAnsi="Verdana"/>
                <w:b/>
                <w:bCs/>
                <w:sz w:val="18"/>
                <w:szCs w:val="18"/>
              </w:rPr>
              <w:t>Direct agricultural loss attributed to disasters</w:t>
            </w:r>
          </w:p>
        </w:tc>
      </w:tr>
      <w:tr w:rsidR="00263438" w:rsidRPr="00693B7B" w14:paraId="245187E2" w14:textId="77777777" w:rsidTr="790C88FB">
        <w:trPr>
          <w:trHeight w:val="894"/>
        </w:trPr>
        <w:tc>
          <w:tcPr>
            <w:tcW w:w="2518" w:type="dxa"/>
            <w:tcBorders>
              <w:top w:val="single" w:sz="4" w:space="0" w:color="auto"/>
              <w:left w:val="single" w:sz="4" w:space="0" w:color="auto"/>
              <w:bottom w:val="single" w:sz="4" w:space="0" w:color="auto"/>
              <w:right w:val="single" w:sz="4" w:space="0" w:color="auto"/>
            </w:tcBorders>
            <w:vAlign w:val="center"/>
          </w:tcPr>
          <w:p w14:paraId="7CA6E4CA"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 xml:space="preserve">Definition </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29A41C95" w14:textId="77777777" w:rsidR="00263438" w:rsidRPr="00263438" w:rsidRDefault="00263438" w:rsidP="00801053">
            <w:pPr>
              <w:spacing w:after="0"/>
              <w:jc w:val="both"/>
              <w:rPr>
                <w:rFonts w:ascii="Verdana" w:hAnsi="Verdana"/>
                <w:sz w:val="18"/>
                <w:szCs w:val="18"/>
              </w:rPr>
            </w:pPr>
            <w:r w:rsidRPr="00263438">
              <w:rPr>
                <w:rFonts w:ascii="Verdana" w:hAnsi="Verdana"/>
                <w:sz w:val="18"/>
                <w:szCs w:val="18"/>
              </w:rPr>
              <w:t xml:space="preserve">This indicator measures the direct agricultural losses attributed to disasters. </w:t>
            </w:r>
          </w:p>
          <w:p w14:paraId="17E95C12" w14:textId="77777777" w:rsidR="00263438" w:rsidRPr="00263438" w:rsidRDefault="00263438" w:rsidP="00801053">
            <w:pPr>
              <w:spacing w:after="0"/>
              <w:jc w:val="both"/>
              <w:rPr>
                <w:rFonts w:ascii="Verdana" w:hAnsi="Verdana"/>
                <w:sz w:val="18"/>
                <w:szCs w:val="18"/>
              </w:rPr>
            </w:pPr>
          </w:p>
          <w:p w14:paraId="6E7DCD24" w14:textId="6E6AE116"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IE"/>
              </w:rPr>
              <w:t xml:space="preserve">It corresponds to </w:t>
            </w:r>
            <w:r w:rsidR="00E4662E" w:rsidRPr="00E4662E">
              <w:rPr>
                <w:rFonts w:ascii="Verdana" w:hAnsi="Verdana"/>
                <w:sz w:val="18"/>
                <w:szCs w:val="18"/>
                <w:lang w:val="en-IE"/>
              </w:rPr>
              <w:t xml:space="preserve">a subset of </w:t>
            </w:r>
            <w:r w:rsidRPr="00263438">
              <w:rPr>
                <w:rFonts w:ascii="Verdana" w:hAnsi="Verdana"/>
                <w:sz w:val="18"/>
                <w:szCs w:val="18"/>
                <w:lang w:val="en-IE"/>
              </w:rPr>
              <w:t>the Sendai Monitoring Framework indicator C-2 which assesses the direct loss occurring in the agricultural sector as a result of disasters. It takes into consideration the specificities of each sub-sector, i.e. crops, livestock, forestry.</w:t>
            </w:r>
            <w:r w:rsidRPr="00263438">
              <w:rPr>
                <w:rFonts w:ascii="Verdana" w:hAnsi="Verdana"/>
                <w:sz w:val="18"/>
                <w:szCs w:val="18"/>
                <w:lang w:val="en-US"/>
              </w:rPr>
              <w:t xml:space="preserve"> It applies to disasters of various scales – from large-scale shocks to small and medium-scale events with a cumulative impact.</w:t>
            </w:r>
          </w:p>
          <w:p w14:paraId="6B33DD87"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It is calculated according to the following:</w:t>
            </w:r>
          </w:p>
          <w:p w14:paraId="3FC68332" w14:textId="77777777" w:rsidR="00263438" w:rsidRPr="00263438" w:rsidRDefault="00263438" w:rsidP="00801053">
            <w:pPr>
              <w:spacing w:after="0"/>
              <w:jc w:val="both"/>
              <w:rPr>
                <w:rFonts w:ascii="Verdana" w:hAnsi="Verdana" w:cstheme="minorHAnsi"/>
                <w:sz w:val="18"/>
                <w:szCs w:val="18"/>
                <w:lang w:val="en-US"/>
              </w:rPr>
            </w:pPr>
          </w:p>
          <w:p w14:paraId="3DA3F872" w14:textId="1549F38B"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Impact to agriculture = C2C + C2L + C2FO</w:t>
            </w:r>
          </w:p>
          <w:p w14:paraId="567EFABD" w14:textId="77777777" w:rsidR="00263438" w:rsidRPr="00263438" w:rsidRDefault="00263438" w:rsidP="00801053">
            <w:pPr>
              <w:spacing w:after="0"/>
              <w:jc w:val="both"/>
              <w:rPr>
                <w:rFonts w:ascii="Verdana" w:hAnsi="Verdana" w:cstheme="minorHAnsi"/>
                <w:sz w:val="18"/>
                <w:szCs w:val="18"/>
                <w:lang w:val="en-US"/>
              </w:rPr>
            </w:pPr>
          </w:p>
          <w:p w14:paraId="60660FE2"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Where:</w:t>
            </w:r>
          </w:p>
          <w:p w14:paraId="467C282B" w14:textId="77777777" w:rsidR="00263438" w:rsidRPr="00263438" w:rsidRDefault="00ED38D8" w:rsidP="00801053">
            <w:pPr>
              <w:spacing w:after="0"/>
              <w:jc w:val="both"/>
              <w:rPr>
                <w:rFonts w:ascii="Verdana" w:hAnsi="Verdana"/>
                <w:sz w:val="18"/>
                <w:szCs w:val="18"/>
                <w:lang w:val="en-US"/>
              </w:rPr>
            </w:pPr>
            <w:r>
              <w:rPr>
                <w:rFonts w:ascii="Verdana" w:hAnsi="Verdana"/>
                <w:sz w:val="18"/>
                <w:szCs w:val="18"/>
                <w:lang w:val="en-US"/>
              </w:rPr>
              <w:t>C</w:t>
            </w:r>
            <w:r w:rsidR="00263438" w:rsidRPr="00263438">
              <w:rPr>
                <w:rFonts w:ascii="Verdana" w:hAnsi="Verdana"/>
                <w:sz w:val="18"/>
                <w:szCs w:val="18"/>
                <w:lang w:val="en-US"/>
              </w:rPr>
              <w:t>-2C: Direct crop loss</w:t>
            </w:r>
          </w:p>
          <w:p w14:paraId="241DD602"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C-2L: Direct livestock loss</w:t>
            </w:r>
          </w:p>
          <w:p w14:paraId="27A7E325" w14:textId="77777777" w:rsidR="00263438" w:rsidRPr="00263438" w:rsidRDefault="00263438" w:rsidP="00801053">
            <w:pPr>
              <w:spacing w:after="0"/>
              <w:jc w:val="both"/>
              <w:rPr>
                <w:rFonts w:ascii="Verdana" w:hAnsi="Verdana"/>
                <w:sz w:val="18"/>
                <w:szCs w:val="18"/>
                <w:lang w:val="en-US"/>
              </w:rPr>
            </w:pPr>
            <w:r w:rsidRPr="00263438">
              <w:rPr>
                <w:rFonts w:ascii="Verdana" w:hAnsi="Verdana"/>
                <w:sz w:val="18"/>
                <w:szCs w:val="18"/>
                <w:lang w:val="en-US"/>
              </w:rPr>
              <w:t>C-2FO: Direct forestry loss</w:t>
            </w:r>
          </w:p>
          <w:p w14:paraId="37DF06BB" w14:textId="77777777" w:rsidR="00263438" w:rsidRPr="00263438" w:rsidRDefault="00263438" w:rsidP="00801053">
            <w:pPr>
              <w:spacing w:after="0"/>
              <w:jc w:val="both"/>
              <w:rPr>
                <w:rFonts w:ascii="Verdana" w:hAnsi="Verdana" w:cstheme="minorHAnsi"/>
                <w:sz w:val="18"/>
                <w:szCs w:val="18"/>
                <w:lang w:val="en-US"/>
              </w:rPr>
            </w:pPr>
          </w:p>
          <w:p w14:paraId="021203D0" w14:textId="276AC2C3" w:rsidR="00263438" w:rsidRPr="00263438" w:rsidRDefault="00263438" w:rsidP="009E5F04">
            <w:pPr>
              <w:spacing w:after="0"/>
              <w:jc w:val="both"/>
              <w:rPr>
                <w:rFonts w:ascii="Verdana" w:hAnsi="Verdana"/>
                <w:sz w:val="18"/>
                <w:szCs w:val="18"/>
                <w:lang w:val="en-US"/>
              </w:rPr>
            </w:pPr>
            <w:r w:rsidRPr="00263438">
              <w:rPr>
                <w:rFonts w:ascii="Verdana" w:hAnsi="Verdana"/>
                <w:sz w:val="18"/>
                <w:szCs w:val="18"/>
                <w:lang w:val="en-US"/>
              </w:rPr>
              <w:t>Each sub-sector is sub-divided into two main sub-components, production (loss from disasters on both production input and outputs) and assets (loss from disasters of facilities, machinery, tools, and key infrastructure). It takes into account losses (changes in economic flows arising from disasters, such as reduction in output of crops, livestock</w:t>
            </w:r>
            <w:r w:rsidR="005521C3">
              <w:rPr>
                <w:rFonts w:ascii="Verdana" w:hAnsi="Verdana"/>
                <w:sz w:val="18"/>
                <w:szCs w:val="18"/>
                <w:lang w:val="en-US"/>
              </w:rPr>
              <w:t xml:space="preserve"> </w:t>
            </w:r>
            <w:r w:rsidRPr="00263438">
              <w:rPr>
                <w:rFonts w:ascii="Verdana" w:hAnsi="Verdana"/>
                <w:sz w:val="18"/>
                <w:szCs w:val="18"/>
                <w:lang w:val="en-US"/>
              </w:rPr>
              <w:t>and forestry); and replacement or recovery costs o</w:t>
            </w:r>
            <w:r w:rsidR="00ED38D8">
              <w:rPr>
                <w:rFonts w:ascii="Verdana" w:hAnsi="Verdana"/>
                <w:sz w:val="18"/>
                <w:szCs w:val="18"/>
                <w:lang w:val="en-US"/>
              </w:rPr>
              <w:t>f</w:t>
            </w:r>
            <w:r w:rsidRPr="00263438">
              <w:rPr>
                <w:rFonts w:ascii="Verdana" w:hAnsi="Verdana"/>
                <w:sz w:val="18"/>
                <w:szCs w:val="18"/>
                <w:lang w:val="en-US"/>
              </w:rPr>
              <w:t xml:space="preserve"> totally or partially destroyed physical assets and stocks in disaster-affected areas.</w:t>
            </w:r>
          </w:p>
          <w:p w14:paraId="0828E7CE" w14:textId="77777777" w:rsidR="00263438" w:rsidRPr="00263438" w:rsidRDefault="00263438" w:rsidP="009E5F04">
            <w:pPr>
              <w:spacing w:after="0"/>
              <w:jc w:val="both"/>
              <w:rPr>
                <w:rFonts w:ascii="Verdana" w:hAnsi="Verdana"/>
                <w:sz w:val="18"/>
                <w:szCs w:val="18"/>
                <w:lang w:val="fr-BE"/>
              </w:rPr>
            </w:pPr>
            <w:r w:rsidRPr="00263438">
              <w:rPr>
                <w:rFonts w:ascii="Verdana" w:hAnsi="Verdana"/>
                <w:sz w:val="18"/>
                <w:szCs w:val="18"/>
                <w:lang w:val="fr-BE"/>
              </w:rPr>
              <w:t xml:space="preserve">Source: </w:t>
            </w:r>
            <w:hyperlink r:id="rId205" w:history="1">
              <w:r w:rsidRPr="00263438">
                <w:rPr>
                  <w:rStyle w:val="Hyperlink"/>
                  <w:rFonts w:ascii="Verdana" w:hAnsi="Verdana"/>
                  <w:sz w:val="18"/>
                  <w:szCs w:val="18"/>
                  <w:lang w:val="fr-BE"/>
                </w:rPr>
                <w:t>https://www.preventionweb.net/files/54970_techguidancefdigitalhr.pdf</w:t>
              </w:r>
            </w:hyperlink>
          </w:p>
        </w:tc>
      </w:tr>
      <w:tr w:rsidR="00263438" w:rsidRPr="00263438" w14:paraId="404BE5E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6D69C7E"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Unit of measurement</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523E6F97" w14:textId="05CEF0E3" w:rsidR="00263438" w:rsidRPr="00263438" w:rsidRDefault="00C96174" w:rsidP="009E5F04">
            <w:pPr>
              <w:spacing w:after="60"/>
              <w:rPr>
                <w:rFonts w:ascii="Verdana" w:hAnsi="Verdana"/>
                <w:sz w:val="18"/>
                <w:szCs w:val="18"/>
              </w:rPr>
            </w:pPr>
            <w:r>
              <w:rPr>
                <w:rFonts w:ascii="Verdana" w:hAnsi="Verdana"/>
                <w:sz w:val="18"/>
                <w:szCs w:val="18"/>
              </w:rPr>
              <w:t xml:space="preserve">USD (US dollar) by year </w:t>
            </w:r>
          </w:p>
        </w:tc>
      </w:tr>
      <w:tr w:rsidR="00263438" w:rsidRPr="00263438" w14:paraId="5B5A8192" w14:textId="77777777" w:rsidTr="790C88FB">
        <w:trPr>
          <w:trHeight w:val="675"/>
        </w:trPr>
        <w:tc>
          <w:tcPr>
            <w:tcW w:w="2518" w:type="dxa"/>
            <w:tcBorders>
              <w:top w:val="single" w:sz="4" w:space="0" w:color="auto"/>
              <w:left w:val="single" w:sz="4" w:space="0" w:color="auto"/>
              <w:bottom w:val="single" w:sz="4" w:space="0" w:color="auto"/>
              <w:right w:val="single" w:sz="4" w:space="0" w:color="auto"/>
            </w:tcBorders>
            <w:vAlign w:val="center"/>
          </w:tcPr>
          <w:p w14:paraId="3ABF6D90" w14:textId="77777777" w:rsidR="00263438" w:rsidRPr="00263438" w:rsidRDefault="00263438" w:rsidP="790C88FB">
            <w:pPr>
              <w:spacing w:after="60"/>
              <w:rPr>
                <w:rFonts w:ascii="Verdana" w:hAnsi="Verdana"/>
                <w:i/>
                <w:iCs/>
                <w:sz w:val="18"/>
                <w:szCs w:val="18"/>
              </w:rPr>
            </w:pPr>
            <w:r w:rsidRPr="00263438">
              <w:rPr>
                <w:rFonts w:ascii="Verdana" w:hAnsi="Verdana"/>
                <w:b/>
                <w:bCs/>
                <w:sz w:val="18"/>
                <w:szCs w:val="18"/>
              </w:rPr>
              <w:t>Data source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5CDB1250" w14:textId="77777777" w:rsidR="00263438" w:rsidRPr="00263438" w:rsidRDefault="00263438" w:rsidP="009E5F04">
            <w:pPr>
              <w:spacing w:after="60"/>
              <w:rPr>
                <w:rFonts w:ascii="Verdana" w:hAnsi="Verdana"/>
                <w:sz w:val="18"/>
                <w:szCs w:val="18"/>
                <w:lang w:val="en-IE"/>
              </w:rPr>
            </w:pPr>
            <w:r w:rsidRPr="00263438">
              <w:rPr>
                <w:rFonts w:ascii="Verdana" w:eastAsia="Times New Roman" w:hAnsi="Verdana"/>
                <w:sz w:val="18"/>
                <w:szCs w:val="18"/>
              </w:rPr>
              <w:t xml:space="preserve">Sendai </w:t>
            </w:r>
            <w:r w:rsidRPr="00263438">
              <w:rPr>
                <w:rFonts w:ascii="Verdana" w:hAnsi="Verdana"/>
                <w:sz w:val="18"/>
                <w:szCs w:val="18"/>
                <w:lang w:val="en-IE"/>
              </w:rPr>
              <w:t>Monitoring and Reporting Framework</w:t>
            </w:r>
          </w:p>
        </w:tc>
      </w:tr>
      <w:tr w:rsidR="00263438" w:rsidRPr="00263438" w14:paraId="1469292C"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3A299734" w14:textId="77777777" w:rsidR="00263438" w:rsidRPr="00263438" w:rsidRDefault="00263438" w:rsidP="009E5F04">
            <w:pPr>
              <w:spacing w:after="60"/>
              <w:rPr>
                <w:rFonts w:ascii="Verdana" w:hAnsi="Verdana"/>
                <w:b/>
                <w:bCs/>
                <w:sz w:val="18"/>
                <w:szCs w:val="18"/>
              </w:rPr>
            </w:pPr>
            <w:r w:rsidRPr="00263438">
              <w:rPr>
                <w:rFonts w:ascii="Verdana" w:hAnsi="Verdana"/>
                <w:b/>
                <w:bCs/>
                <w:sz w:val="18"/>
                <w:szCs w:val="18"/>
              </w:rPr>
              <w:t>References / location of the data</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689A8592" w14:textId="77777777" w:rsidR="00263438" w:rsidRPr="00263438" w:rsidRDefault="00263438" w:rsidP="009E5F04">
            <w:pPr>
              <w:spacing w:after="60"/>
              <w:rPr>
                <w:rFonts w:ascii="Verdana" w:hAnsi="Verdana"/>
                <w:sz w:val="18"/>
                <w:szCs w:val="18"/>
                <w:lang w:val="nl-BE"/>
              </w:rPr>
            </w:pPr>
            <w:r w:rsidRPr="00263438">
              <w:rPr>
                <w:rFonts w:ascii="Verdana" w:hAnsi="Verdana"/>
                <w:sz w:val="18"/>
                <w:szCs w:val="18"/>
                <w:lang w:val="nl-BE"/>
              </w:rPr>
              <w:t xml:space="preserve">UNISDR: </w:t>
            </w:r>
            <w:hyperlink r:id="rId206" w:history="1">
              <w:r w:rsidRPr="00263438">
                <w:rPr>
                  <w:rStyle w:val="Hyperlink"/>
                  <w:rFonts w:ascii="Verdana" w:hAnsi="Verdana"/>
                  <w:sz w:val="18"/>
                  <w:szCs w:val="18"/>
                  <w:lang w:val="nl-BE"/>
                </w:rPr>
                <w:t>https://sendaimonitor.unisdr.org/</w:t>
              </w:r>
            </w:hyperlink>
          </w:p>
          <w:p w14:paraId="0B033086" w14:textId="77777777" w:rsidR="00263438" w:rsidRPr="00263438" w:rsidRDefault="00263438" w:rsidP="009E5F04">
            <w:pPr>
              <w:spacing w:after="60"/>
              <w:rPr>
                <w:rFonts w:ascii="Verdana" w:eastAsia="Times New Roman" w:hAnsi="Verdana"/>
                <w:color w:val="0000FF"/>
                <w:sz w:val="18"/>
                <w:szCs w:val="18"/>
                <w:u w:val="single"/>
              </w:rPr>
            </w:pPr>
            <w:r w:rsidRPr="00263438">
              <w:rPr>
                <w:rFonts w:ascii="Verdana" w:hAnsi="Verdana"/>
                <w:sz w:val="18"/>
                <w:szCs w:val="18"/>
              </w:rPr>
              <w:t xml:space="preserve">Member States </w:t>
            </w:r>
          </w:p>
        </w:tc>
      </w:tr>
      <w:tr w:rsidR="00263438" w:rsidRPr="00263438" w14:paraId="0573EBD5"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5D4212" w14:textId="77777777" w:rsidR="00263438" w:rsidRPr="00263438" w:rsidRDefault="00263438" w:rsidP="009E5F04">
            <w:pPr>
              <w:spacing w:after="60"/>
              <w:rPr>
                <w:rFonts w:ascii="Verdana" w:hAnsi="Verdana"/>
                <w:b/>
                <w:bCs/>
                <w:sz w:val="18"/>
                <w:szCs w:val="18"/>
              </w:rPr>
            </w:pPr>
            <w:r w:rsidRPr="00263438">
              <w:rPr>
                <w:rFonts w:ascii="Verdana" w:hAnsi="Verdana"/>
                <w:b/>
                <w:bCs/>
                <w:sz w:val="18"/>
                <w:szCs w:val="18"/>
              </w:rPr>
              <w:t>Data collection / dissemination level</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1BC7227" w14:textId="77777777" w:rsidR="00263438" w:rsidRPr="00263438" w:rsidDel="00F9611E" w:rsidRDefault="00263438" w:rsidP="009E5F04">
            <w:pPr>
              <w:spacing w:after="60"/>
              <w:rPr>
                <w:rFonts w:ascii="Verdana" w:hAnsi="Verdana"/>
                <w:sz w:val="18"/>
                <w:szCs w:val="18"/>
              </w:rPr>
            </w:pPr>
            <w:r w:rsidRPr="00263438">
              <w:rPr>
                <w:rFonts w:ascii="Verdana" w:hAnsi="Verdana"/>
                <w:sz w:val="18"/>
                <w:szCs w:val="18"/>
              </w:rPr>
              <w:t>EU, National (NUTS 0)</w:t>
            </w:r>
          </w:p>
        </w:tc>
      </w:tr>
      <w:tr w:rsidR="00263438" w:rsidRPr="00263438" w14:paraId="0C4BE544" w14:textId="77777777" w:rsidTr="790C88FB">
        <w:trPr>
          <w:trHeight w:val="592"/>
        </w:trPr>
        <w:tc>
          <w:tcPr>
            <w:tcW w:w="2518" w:type="dxa"/>
            <w:tcBorders>
              <w:top w:val="single" w:sz="4" w:space="0" w:color="auto"/>
              <w:left w:val="single" w:sz="4" w:space="0" w:color="auto"/>
              <w:bottom w:val="single" w:sz="4" w:space="0" w:color="auto"/>
              <w:right w:val="single" w:sz="4" w:space="0" w:color="auto"/>
            </w:tcBorders>
            <w:vAlign w:val="center"/>
          </w:tcPr>
          <w:p w14:paraId="4B2AFD8E" w14:textId="77777777" w:rsidR="00263438" w:rsidRPr="00263438" w:rsidRDefault="00263438" w:rsidP="790C88FB">
            <w:pPr>
              <w:spacing w:after="60"/>
              <w:rPr>
                <w:rFonts w:ascii="Verdana" w:hAnsi="Verdana"/>
                <w:b/>
                <w:bCs/>
                <w:i/>
                <w:iCs/>
                <w:sz w:val="18"/>
                <w:szCs w:val="18"/>
              </w:rPr>
            </w:pPr>
            <w:r w:rsidRPr="00263438">
              <w:rPr>
                <w:rFonts w:ascii="Verdana" w:hAnsi="Verdana"/>
                <w:b/>
                <w:bCs/>
                <w:sz w:val="18"/>
                <w:szCs w:val="18"/>
              </w:rPr>
              <w:t>Frequency</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4B4E0CBF" w14:textId="77777777" w:rsidR="00263438" w:rsidRPr="00263438" w:rsidRDefault="00263438" w:rsidP="009E5F04">
            <w:pPr>
              <w:spacing w:after="60"/>
              <w:rPr>
                <w:rFonts w:ascii="Verdana" w:eastAsia="Times New Roman" w:hAnsi="Verdana"/>
                <w:sz w:val="18"/>
                <w:szCs w:val="18"/>
              </w:rPr>
            </w:pPr>
            <w:r w:rsidRPr="00263438">
              <w:rPr>
                <w:rFonts w:ascii="Verdana" w:eastAsia="Times New Roman" w:hAnsi="Verdana"/>
                <w:sz w:val="18"/>
                <w:szCs w:val="18"/>
              </w:rPr>
              <w:t>Annual</w:t>
            </w:r>
          </w:p>
        </w:tc>
      </w:tr>
      <w:tr w:rsidR="00263438" w:rsidRPr="00263438" w14:paraId="0AD6C121"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56A70811" w14:textId="77777777" w:rsidR="00263438" w:rsidRPr="00263438" w:rsidRDefault="00263438" w:rsidP="009E5F04">
            <w:pPr>
              <w:spacing w:after="60"/>
              <w:rPr>
                <w:rFonts w:ascii="Verdana" w:hAnsi="Verdana"/>
                <w:b/>
                <w:bCs/>
                <w:sz w:val="18"/>
                <w:szCs w:val="18"/>
              </w:rPr>
            </w:pPr>
            <w:r w:rsidRPr="00263438">
              <w:rPr>
                <w:rFonts w:ascii="Verdana" w:hAnsi="Verdana"/>
                <w:b/>
                <w:bCs/>
                <w:sz w:val="18"/>
                <w:szCs w:val="18"/>
              </w:rPr>
              <w:t>Timeliness</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60ED4E03" w14:textId="77777777" w:rsidR="00263438" w:rsidRPr="00263438" w:rsidRDefault="00263438" w:rsidP="009E5F04">
            <w:pPr>
              <w:spacing w:after="60"/>
              <w:rPr>
                <w:rFonts w:ascii="Verdana" w:hAnsi="Verdana"/>
                <w:sz w:val="18"/>
                <w:szCs w:val="18"/>
                <w:lang w:val="en-US"/>
              </w:rPr>
            </w:pPr>
            <w:r w:rsidRPr="00263438">
              <w:rPr>
                <w:rFonts w:ascii="Verdana" w:hAnsi="Verdana"/>
                <w:sz w:val="18"/>
                <w:szCs w:val="18"/>
                <w:lang w:val="en-US"/>
              </w:rPr>
              <w:t xml:space="preserve">N-1 </w:t>
            </w:r>
          </w:p>
        </w:tc>
      </w:tr>
      <w:tr w:rsidR="00263438" w:rsidRPr="00263438" w14:paraId="2A76E6A3"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6BBBC203" w14:textId="77777777" w:rsidR="00263438" w:rsidRPr="00263438" w:rsidRDefault="00263438" w:rsidP="5CB4B133">
            <w:pPr>
              <w:spacing w:after="60"/>
              <w:rPr>
                <w:rFonts w:ascii="Verdana" w:hAnsi="Verdana"/>
                <w:b/>
                <w:bCs/>
                <w:sz w:val="18"/>
                <w:szCs w:val="18"/>
                <w:lang w:eastAsia="zh-CN"/>
              </w:rPr>
            </w:pPr>
            <w:r w:rsidRPr="5CB4B133">
              <w:rPr>
                <w:rFonts w:ascii="Verdana" w:hAnsi="Verdana"/>
                <w:b/>
                <w:bCs/>
                <w:sz w:val="18"/>
                <w:szCs w:val="18"/>
                <w:lang w:eastAsia="zh-CN"/>
              </w:rPr>
              <w:t>Comments/caveats</w:t>
            </w:r>
          </w:p>
        </w:tc>
        <w:tc>
          <w:tcPr>
            <w:tcW w:w="7490" w:type="dxa"/>
            <w:tcBorders>
              <w:top w:val="single" w:sz="4" w:space="0" w:color="auto"/>
              <w:left w:val="single" w:sz="4" w:space="0" w:color="auto"/>
              <w:bottom w:val="single" w:sz="4" w:space="0" w:color="auto"/>
              <w:right w:val="single" w:sz="4" w:space="0" w:color="auto"/>
            </w:tcBorders>
            <w:shd w:val="clear" w:color="auto" w:fill="auto"/>
          </w:tcPr>
          <w:p w14:paraId="1D0EE1AE" w14:textId="77777777" w:rsidR="00E4662E" w:rsidRPr="00A85A9D" w:rsidRDefault="00E4662E" w:rsidP="00E4662E">
            <w:pPr>
              <w:jc w:val="both"/>
              <w:rPr>
                <w:rFonts w:ascii="Verdana" w:hAnsi="Verdana"/>
                <w:sz w:val="18"/>
                <w:szCs w:val="18"/>
              </w:rPr>
            </w:pPr>
            <w:r w:rsidRPr="00A85A9D">
              <w:rPr>
                <w:rFonts w:ascii="Verdana" w:hAnsi="Verdana"/>
                <w:sz w:val="18"/>
                <w:szCs w:val="18"/>
              </w:rPr>
              <w:t>The indicator is a subset of Sendai indicator C2, which records direct losses in aquaculture and fisheries in addition to crop, livestock and forestry. Member state who report on an aggregate C2 indicator under Sendai (thus including aquaculture and fisheries) should clearly mention it.</w:t>
            </w:r>
          </w:p>
          <w:p w14:paraId="5EF49BF6" w14:textId="77777777" w:rsidR="00E4662E" w:rsidRPr="00A85A9D" w:rsidRDefault="00E4662E" w:rsidP="00E4662E">
            <w:pPr>
              <w:jc w:val="both"/>
              <w:rPr>
                <w:rFonts w:ascii="Verdana" w:hAnsi="Verdana"/>
                <w:sz w:val="18"/>
                <w:szCs w:val="18"/>
              </w:rPr>
            </w:pPr>
            <w:r w:rsidRPr="00A85A9D">
              <w:rPr>
                <w:rFonts w:ascii="Verdana" w:hAnsi="Verdana"/>
                <w:sz w:val="18"/>
                <w:szCs w:val="18"/>
              </w:rPr>
              <w:t>A lag may exist in reporting data, depending on how soon the disaster losses are reported under Sendai. Appropriate information about data time reference should be provided.</w:t>
            </w:r>
          </w:p>
          <w:p w14:paraId="4DB7CBA4" w14:textId="77777777" w:rsidR="00263438" w:rsidRDefault="00263438" w:rsidP="009E5F04">
            <w:pPr>
              <w:spacing w:after="0"/>
              <w:jc w:val="both"/>
              <w:rPr>
                <w:rFonts w:ascii="Verdana" w:hAnsi="Verdana"/>
                <w:sz w:val="18"/>
                <w:szCs w:val="18"/>
                <w:lang w:eastAsia="zh-CN"/>
              </w:rPr>
            </w:pPr>
            <w:r w:rsidRPr="00263438">
              <w:rPr>
                <w:rFonts w:ascii="Verdana" w:hAnsi="Verdana"/>
                <w:sz w:val="18"/>
                <w:szCs w:val="18"/>
                <w:lang w:eastAsia="zh-CN"/>
              </w:rPr>
              <w:t>23 EU</w:t>
            </w:r>
            <w:r>
              <w:rPr>
                <w:rFonts w:ascii="Verdana" w:hAnsi="Verdana"/>
                <w:sz w:val="18"/>
                <w:szCs w:val="18"/>
                <w:lang w:eastAsia="zh-CN"/>
              </w:rPr>
              <w:t xml:space="preserve"> </w:t>
            </w:r>
            <w:r w:rsidRPr="00263438">
              <w:rPr>
                <w:rFonts w:ascii="Verdana" w:hAnsi="Verdana"/>
                <w:sz w:val="18"/>
                <w:szCs w:val="18"/>
                <w:lang w:eastAsia="zh-CN"/>
              </w:rPr>
              <w:t>MS have already engaged on reporting under this framework. To date, 13 EU</w:t>
            </w:r>
            <w:r>
              <w:rPr>
                <w:rFonts w:ascii="Verdana" w:hAnsi="Verdana"/>
                <w:sz w:val="18"/>
                <w:szCs w:val="18"/>
                <w:lang w:eastAsia="zh-CN"/>
              </w:rPr>
              <w:t xml:space="preserve"> </w:t>
            </w:r>
            <w:r w:rsidRPr="00263438">
              <w:rPr>
                <w:rFonts w:ascii="Verdana" w:hAnsi="Verdana"/>
                <w:sz w:val="18"/>
                <w:szCs w:val="18"/>
                <w:lang w:eastAsia="zh-CN"/>
              </w:rPr>
              <w:t>MS have already reported economic losses in the agricultural sector due to disasters and 5 have already validated their data (HR, CZ, EE, IE, SE), i</w:t>
            </w:r>
            <w:r>
              <w:rPr>
                <w:rFonts w:ascii="Verdana" w:hAnsi="Verdana"/>
                <w:sz w:val="18"/>
                <w:szCs w:val="18"/>
                <w:lang w:eastAsia="zh-CN"/>
              </w:rPr>
              <w:t>.</w:t>
            </w:r>
            <w:r w:rsidRPr="00263438">
              <w:rPr>
                <w:rFonts w:ascii="Verdana" w:hAnsi="Verdana"/>
                <w:sz w:val="18"/>
                <w:szCs w:val="18"/>
                <w:lang w:eastAsia="zh-CN"/>
              </w:rPr>
              <w:t>e</w:t>
            </w:r>
            <w:r>
              <w:rPr>
                <w:rFonts w:ascii="Verdana" w:hAnsi="Verdana"/>
                <w:sz w:val="18"/>
                <w:szCs w:val="18"/>
                <w:lang w:eastAsia="zh-CN"/>
              </w:rPr>
              <w:t>.</w:t>
            </w:r>
            <w:r w:rsidRPr="00263438">
              <w:rPr>
                <w:rFonts w:ascii="Verdana" w:hAnsi="Verdana"/>
                <w:sz w:val="18"/>
                <w:szCs w:val="18"/>
                <w:lang w:eastAsia="zh-CN"/>
              </w:rPr>
              <w:t xml:space="preserve"> </w:t>
            </w:r>
            <w:r w:rsidRPr="00263438">
              <w:rPr>
                <w:rFonts w:ascii="Verdana" w:hAnsi="Verdana"/>
                <w:sz w:val="18"/>
                <w:szCs w:val="18"/>
                <w:lang w:eastAsia="zh-CN"/>
              </w:rPr>
              <w:lastRenderedPageBreak/>
              <w:t>made them public.</w:t>
            </w:r>
          </w:p>
          <w:p w14:paraId="69101EB5" w14:textId="1F91DC49" w:rsidR="00D107B8" w:rsidRPr="00263438" w:rsidRDefault="00D107B8" w:rsidP="009E5F04">
            <w:pPr>
              <w:spacing w:after="0"/>
              <w:jc w:val="both"/>
              <w:rPr>
                <w:rFonts w:ascii="Verdana" w:hAnsi="Verdana"/>
                <w:sz w:val="18"/>
                <w:szCs w:val="18"/>
                <w:lang w:eastAsia="zh-CN"/>
              </w:rPr>
            </w:pPr>
            <w:r>
              <w:rPr>
                <w:rFonts w:ascii="Verdana" w:hAnsi="Verdana"/>
                <w:b/>
                <w:bCs/>
                <w:sz w:val="18"/>
                <w:szCs w:val="18"/>
              </w:rPr>
              <w:t>This indicator has common ground with the one used for the EU reporting on UN Sustainable Development Goals.</w:t>
            </w:r>
          </w:p>
        </w:tc>
      </w:tr>
    </w:tbl>
    <w:p w14:paraId="388034F1" w14:textId="77777777" w:rsidR="00A240BB" w:rsidRPr="00C34DE9" w:rsidRDefault="00FA7E72" w:rsidP="003C3153">
      <w:r w:rsidRPr="00C34DE9">
        <w:lastRenderedPageBreak/>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3E4A1D" w:rsidRPr="00C34DE9" w14:paraId="62B0EC9B"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00B0F0"/>
            <w:vAlign w:val="center"/>
          </w:tcPr>
          <w:p w14:paraId="297BCCA1" w14:textId="1AE726B6" w:rsidR="003E4A1D" w:rsidRPr="00C34DE9" w:rsidRDefault="00B02442" w:rsidP="009F6BD0">
            <w:pPr>
              <w:spacing w:after="60"/>
              <w:rPr>
                <w:rFonts w:ascii="Verdana" w:hAnsi="Verdana"/>
                <w:b/>
                <w:bCs/>
                <w:sz w:val="18"/>
                <w:szCs w:val="18"/>
              </w:rPr>
            </w:pPr>
            <w:bookmarkStart w:id="71" w:name="C46"/>
            <w:r w:rsidRPr="5CB4B133">
              <w:rPr>
                <w:rFonts w:ascii="Verdana" w:hAnsi="Verdana"/>
                <w:b/>
                <w:bCs/>
                <w:smallCaps/>
                <w:sz w:val="18"/>
                <w:szCs w:val="18"/>
              </w:rPr>
              <w:lastRenderedPageBreak/>
              <w:t>Indicator C.</w:t>
            </w:r>
            <w:r w:rsidR="003E4A1D" w:rsidRPr="5CB4B133">
              <w:rPr>
                <w:rFonts w:ascii="Verdana" w:hAnsi="Verdana"/>
                <w:b/>
                <w:bCs/>
                <w:smallCaps/>
                <w:sz w:val="18"/>
                <w:szCs w:val="18"/>
              </w:rPr>
              <w:t>4</w:t>
            </w:r>
            <w:r w:rsidR="009F6BD0">
              <w:rPr>
                <w:rFonts w:ascii="Verdana" w:hAnsi="Verdana"/>
                <w:b/>
                <w:bCs/>
                <w:smallCaps/>
                <w:sz w:val="18"/>
                <w:szCs w:val="18"/>
              </w:rPr>
              <w:t>7</w:t>
            </w:r>
            <w:bookmarkEnd w:id="71"/>
          </w:p>
        </w:tc>
        <w:tc>
          <w:tcPr>
            <w:tcW w:w="7512" w:type="dxa"/>
            <w:tcBorders>
              <w:top w:val="single" w:sz="4" w:space="0" w:color="auto"/>
              <w:left w:val="single" w:sz="4" w:space="0" w:color="auto"/>
              <w:bottom w:val="single" w:sz="4" w:space="0" w:color="auto"/>
              <w:right w:val="single" w:sz="4" w:space="0" w:color="auto"/>
            </w:tcBorders>
            <w:shd w:val="clear" w:color="auto" w:fill="00B0F0"/>
          </w:tcPr>
          <w:p w14:paraId="0D66167B" w14:textId="77777777" w:rsidR="00D1251C" w:rsidRPr="00D1251C" w:rsidRDefault="00D1251C" w:rsidP="00D1251C">
            <w:pPr>
              <w:spacing w:after="60"/>
              <w:rPr>
                <w:rFonts w:ascii="Verdana" w:hAnsi="Verdana"/>
                <w:caps/>
                <w:sz w:val="18"/>
                <w:szCs w:val="18"/>
              </w:rPr>
            </w:pPr>
            <w:bookmarkStart w:id="72" w:name="I14"/>
            <w:r w:rsidRPr="5CB4B133">
              <w:rPr>
                <w:rFonts w:ascii="Verdana" w:hAnsi="Verdana"/>
                <w:b/>
                <w:bCs/>
                <w:sz w:val="18"/>
                <w:szCs w:val="18"/>
              </w:rPr>
              <w:t>Indicator I.14</w:t>
            </w:r>
            <w:bookmarkEnd w:id="72"/>
            <w:r w:rsidRPr="5CB4B133">
              <w:rPr>
                <w:rFonts w:ascii="Verdana" w:hAnsi="Verdana"/>
                <w:b/>
                <w:bCs/>
                <w:sz w:val="18"/>
                <w:szCs w:val="18"/>
              </w:rPr>
              <w:t xml:space="preserve"> Improving air quality</w:t>
            </w:r>
            <w:r w:rsidRPr="00D1251C">
              <w:rPr>
                <w:rFonts w:ascii="Verdana" w:hAnsi="Verdana"/>
                <w:sz w:val="18"/>
                <w:szCs w:val="18"/>
              </w:rPr>
              <w:t>:</w:t>
            </w:r>
          </w:p>
          <w:p w14:paraId="207925EE" w14:textId="4E8B366A" w:rsidR="003E4A1D" w:rsidRPr="00C34DE9" w:rsidRDefault="0037595B" w:rsidP="3B80D187">
            <w:pPr>
              <w:spacing w:after="60"/>
              <w:rPr>
                <w:rFonts w:ascii="Verdana" w:hAnsi="Verdana"/>
                <w:b/>
                <w:bCs/>
                <w:caps/>
                <w:sz w:val="18"/>
                <w:szCs w:val="18"/>
              </w:rPr>
            </w:pPr>
            <w:r>
              <w:rPr>
                <w:rFonts w:ascii="Verdana" w:hAnsi="Verdana"/>
                <w:sz w:val="18"/>
                <w:szCs w:val="18"/>
              </w:rPr>
              <w:t>A</w:t>
            </w:r>
            <w:r w:rsidR="00D1251C" w:rsidRPr="00D1251C">
              <w:rPr>
                <w:rFonts w:ascii="Verdana" w:hAnsi="Verdana"/>
                <w:sz w:val="18"/>
                <w:szCs w:val="18"/>
              </w:rPr>
              <w:t>mmonia emissions from agriculture</w:t>
            </w:r>
          </w:p>
        </w:tc>
      </w:tr>
      <w:tr w:rsidR="003E4A1D" w:rsidRPr="00C34DE9" w14:paraId="06927463" w14:textId="77777777" w:rsidTr="790C88F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8534825"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t>Indicator Name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E037B00" w14:textId="77777777" w:rsidR="003E4A1D" w:rsidRPr="0060145A" w:rsidRDefault="0060145A" w:rsidP="3F4AE0BD">
            <w:pPr>
              <w:spacing w:after="60"/>
              <w:jc w:val="center"/>
              <w:rPr>
                <w:rFonts w:ascii="Verdana" w:hAnsi="Verdana"/>
                <w:b/>
                <w:bCs/>
                <w:sz w:val="18"/>
                <w:szCs w:val="18"/>
              </w:rPr>
            </w:pPr>
            <w:r w:rsidRPr="3F4AE0BD">
              <w:rPr>
                <w:rFonts w:ascii="Verdana" w:hAnsi="Verdana"/>
                <w:b/>
                <w:bCs/>
                <w:sz w:val="18"/>
                <w:szCs w:val="18"/>
              </w:rPr>
              <w:t>Ammonia emissions</w:t>
            </w:r>
            <w:r w:rsidR="002E07A6">
              <w:t xml:space="preserve"> </w:t>
            </w:r>
            <w:r w:rsidR="002E07A6" w:rsidRPr="3F4AE0BD">
              <w:rPr>
                <w:rFonts w:ascii="Verdana" w:hAnsi="Verdana"/>
                <w:b/>
                <w:bCs/>
                <w:sz w:val="18"/>
                <w:szCs w:val="18"/>
              </w:rPr>
              <w:t>from agriculture</w:t>
            </w:r>
          </w:p>
        </w:tc>
      </w:tr>
      <w:tr w:rsidR="003E4A1D" w:rsidRPr="00C34DE9" w14:paraId="11708272" w14:textId="77777777" w:rsidTr="790C88FB">
        <w:trPr>
          <w:trHeight w:val="894"/>
        </w:trPr>
        <w:tc>
          <w:tcPr>
            <w:tcW w:w="2802" w:type="dxa"/>
            <w:tcBorders>
              <w:top w:val="single" w:sz="4" w:space="0" w:color="auto"/>
              <w:left w:val="single" w:sz="4" w:space="0" w:color="auto"/>
              <w:bottom w:val="single" w:sz="4" w:space="0" w:color="auto"/>
              <w:right w:val="single" w:sz="4" w:space="0" w:color="auto"/>
            </w:tcBorders>
            <w:vAlign w:val="center"/>
          </w:tcPr>
          <w:p w14:paraId="3B87B515"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03ACC88" w14:textId="77777777" w:rsidR="003E4A1D" w:rsidRDefault="003E4A1D"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This indicator measures total annual ammonia emissions (NH</w:t>
            </w:r>
            <w:r w:rsidRPr="5CB4B133">
              <w:rPr>
                <w:rFonts w:ascii="Verdana" w:hAnsi="Verdana"/>
                <w:sz w:val="18"/>
                <w:szCs w:val="18"/>
                <w:vertAlign w:val="subscript"/>
              </w:rPr>
              <w:t>3</w:t>
            </w:r>
            <w:r w:rsidRPr="00C34DE9">
              <w:rPr>
                <w:rFonts w:ascii="Verdana" w:eastAsia="Times New Roman" w:hAnsi="Verdana"/>
                <w:sz w:val="18"/>
                <w:szCs w:val="18"/>
              </w:rPr>
              <w:t>) from agriculture, considering manure management, as well as application of fertili</w:t>
            </w:r>
            <w:r w:rsidR="00007995">
              <w:rPr>
                <w:rFonts w:ascii="Verdana" w:eastAsia="Times New Roman" w:hAnsi="Verdana"/>
                <w:sz w:val="18"/>
                <w:szCs w:val="18"/>
              </w:rPr>
              <w:t>s</w:t>
            </w:r>
            <w:r w:rsidRPr="00C34DE9">
              <w:rPr>
                <w:rFonts w:ascii="Verdana" w:eastAsia="Times New Roman" w:hAnsi="Verdana"/>
                <w:sz w:val="18"/>
                <w:szCs w:val="18"/>
              </w:rPr>
              <w:t>ers and manure to soils.</w:t>
            </w:r>
          </w:p>
          <w:p w14:paraId="4AC55872" w14:textId="77777777" w:rsidR="006228CD" w:rsidRDefault="006228CD" w:rsidP="00801053">
            <w:pPr>
              <w:spacing w:after="0" w:line="240" w:lineRule="auto"/>
              <w:jc w:val="both"/>
              <w:rPr>
                <w:rFonts w:ascii="Verdana" w:eastAsia="Times New Roman" w:hAnsi="Verdana"/>
                <w:sz w:val="18"/>
                <w:szCs w:val="18"/>
              </w:rPr>
            </w:pPr>
          </w:p>
          <w:p w14:paraId="0FDEDB7E" w14:textId="77777777" w:rsidR="006228CD" w:rsidRDefault="006228CD" w:rsidP="00801053">
            <w:pPr>
              <w:spacing w:after="0" w:line="240" w:lineRule="auto"/>
              <w:jc w:val="both"/>
              <w:rPr>
                <w:rFonts w:ascii="Verdana" w:eastAsia="Times New Roman" w:hAnsi="Verdana"/>
                <w:sz w:val="18"/>
                <w:szCs w:val="18"/>
              </w:rPr>
            </w:pPr>
            <w:r>
              <w:rPr>
                <w:rFonts w:ascii="Verdana" w:eastAsia="Times New Roman" w:hAnsi="Verdana"/>
                <w:sz w:val="18"/>
                <w:szCs w:val="18"/>
              </w:rPr>
              <w:t>It includes 2 specific indicators:</w:t>
            </w:r>
          </w:p>
          <w:p w14:paraId="73972E96" w14:textId="77777777" w:rsidR="006228CD" w:rsidRPr="006228CD" w:rsidRDefault="006228CD" w:rsidP="00665997">
            <w:pPr>
              <w:pStyle w:val="ListParagraph"/>
              <w:numPr>
                <w:ilvl w:val="0"/>
                <w:numId w:val="103"/>
              </w:numPr>
              <w:spacing w:after="0" w:line="240" w:lineRule="auto"/>
              <w:jc w:val="both"/>
              <w:rPr>
                <w:rFonts w:ascii="Verdana" w:eastAsia="Times New Roman" w:hAnsi="Verdana"/>
                <w:sz w:val="18"/>
                <w:szCs w:val="18"/>
              </w:rPr>
            </w:pPr>
            <w:r w:rsidRPr="006228CD">
              <w:rPr>
                <w:rFonts w:ascii="Verdana" w:eastAsia="Times New Roman" w:hAnsi="Verdana"/>
                <w:sz w:val="18"/>
                <w:szCs w:val="18"/>
              </w:rPr>
              <w:t>Total ammonia emissions</w:t>
            </w:r>
          </w:p>
          <w:p w14:paraId="09E32B14" w14:textId="77777777" w:rsidR="006228CD" w:rsidRPr="006228CD" w:rsidRDefault="006228CD" w:rsidP="00665997">
            <w:pPr>
              <w:pStyle w:val="ListParagraph"/>
              <w:numPr>
                <w:ilvl w:val="0"/>
                <w:numId w:val="103"/>
              </w:numPr>
              <w:spacing w:after="0" w:line="240" w:lineRule="auto"/>
              <w:jc w:val="both"/>
              <w:rPr>
                <w:rFonts w:ascii="Verdana" w:eastAsia="Times New Roman" w:hAnsi="Verdana"/>
                <w:sz w:val="18"/>
                <w:szCs w:val="18"/>
              </w:rPr>
            </w:pPr>
            <w:r w:rsidRPr="006228CD">
              <w:rPr>
                <w:rFonts w:ascii="Verdana" w:eastAsia="Times New Roman" w:hAnsi="Verdana"/>
                <w:sz w:val="18"/>
                <w:szCs w:val="18"/>
              </w:rPr>
              <w:t>Change in ammonia emissions compared to 2005</w:t>
            </w:r>
          </w:p>
          <w:p w14:paraId="6AF85808" w14:textId="77777777" w:rsidR="006228CD" w:rsidRPr="00C34DE9" w:rsidRDefault="006228CD" w:rsidP="00801053">
            <w:pPr>
              <w:spacing w:after="0" w:line="240" w:lineRule="auto"/>
              <w:jc w:val="both"/>
              <w:rPr>
                <w:rFonts w:ascii="Verdana" w:eastAsia="Times New Roman" w:hAnsi="Verdana"/>
                <w:sz w:val="18"/>
                <w:szCs w:val="18"/>
              </w:rPr>
            </w:pPr>
          </w:p>
          <w:p w14:paraId="54562CD5" w14:textId="77777777" w:rsidR="003E4A1D" w:rsidRPr="00C34DE9" w:rsidRDefault="003E4A1D"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Categories include</w:t>
            </w:r>
            <w:r w:rsidRPr="00C34DE9">
              <w:rPr>
                <w:rFonts w:ascii="Verdana" w:eastAsia="Times New Roman" w:hAnsi="Verdana"/>
                <w:sz w:val="18"/>
                <w:szCs w:val="18"/>
                <w:vertAlign w:val="superscript"/>
              </w:rPr>
              <w:footnoteReference w:id="20"/>
            </w:r>
            <w:r w:rsidRPr="00C34DE9">
              <w:rPr>
                <w:rFonts w:ascii="Verdana" w:eastAsia="Times New Roman" w:hAnsi="Verdana"/>
                <w:sz w:val="18"/>
                <w:szCs w:val="18"/>
              </w:rPr>
              <w:t>:</w:t>
            </w:r>
          </w:p>
          <w:p w14:paraId="0902C006" w14:textId="77777777" w:rsidR="003E4A1D" w:rsidRPr="00C34DE9" w:rsidRDefault="003E4A1D" w:rsidP="00801053">
            <w:pPr>
              <w:spacing w:after="0" w:line="240" w:lineRule="auto"/>
              <w:jc w:val="both"/>
              <w:rPr>
                <w:rFonts w:ascii="Verdana" w:eastAsia="Times New Roman" w:hAnsi="Verdana"/>
                <w:sz w:val="18"/>
                <w:szCs w:val="18"/>
              </w:rPr>
            </w:pPr>
          </w:p>
          <w:p w14:paraId="498D5516" w14:textId="77777777" w:rsidR="003E4A1D" w:rsidRPr="00C34DE9" w:rsidRDefault="003E4A1D" w:rsidP="003E4A1D">
            <w:pPr>
              <w:spacing w:after="0" w:line="240" w:lineRule="auto"/>
              <w:rPr>
                <w:rFonts w:ascii="Verdana" w:eastAsia="Times New Roman" w:hAnsi="Verdana"/>
                <w:sz w:val="18"/>
                <w:szCs w:val="18"/>
              </w:rPr>
            </w:pPr>
            <w:r w:rsidRPr="5CB4B133">
              <w:rPr>
                <w:rFonts w:ascii="Verdana" w:eastAsia="Times New Roman" w:hAnsi="Verdana"/>
                <w:b/>
                <w:bCs/>
                <w:sz w:val="18"/>
                <w:szCs w:val="18"/>
              </w:rPr>
              <w:t>Manure management</w:t>
            </w:r>
          </w:p>
          <w:p w14:paraId="4E05FB97"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3B1a - Manure management - Dairy cattle</w:t>
            </w:r>
          </w:p>
          <w:p w14:paraId="5691BE73"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3B1b - Manure management - Non-dairy cattle</w:t>
            </w:r>
          </w:p>
          <w:p w14:paraId="30441F84"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3B2 - Manure management – Sheep</w:t>
            </w:r>
          </w:p>
          <w:p w14:paraId="4079C758"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3B3 - Manure management – Swine</w:t>
            </w:r>
          </w:p>
          <w:p w14:paraId="1AE1643F"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3B4a - Manure management – Buffalo</w:t>
            </w:r>
          </w:p>
          <w:p w14:paraId="53CF803B"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3B4d - Manure management – Goats</w:t>
            </w:r>
          </w:p>
          <w:p w14:paraId="5A772BE0"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3B4e - Manure management – Horses</w:t>
            </w:r>
          </w:p>
          <w:p w14:paraId="28DB256A"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3B4f - Manure management - Mules and asses</w:t>
            </w:r>
          </w:p>
          <w:p w14:paraId="7A3722B4"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xml:space="preserve">● 3B4gi - Manure </w:t>
            </w:r>
            <w:r w:rsidR="00D1251C" w:rsidRPr="00C34DE9">
              <w:rPr>
                <w:rFonts w:ascii="Verdana" w:eastAsia="Times New Roman" w:hAnsi="Verdana"/>
                <w:sz w:val="18"/>
                <w:szCs w:val="18"/>
              </w:rPr>
              <w:t>management</w:t>
            </w:r>
            <w:r w:rsidRPr="00C34DE9">
              <w:rPr>
                <w:rFonts w:ascii="Verdana" w:eastAsia="Times New Roman" w:hAnsi="Verdana"/>
                <w:sz w:val="18"/>
                <w:szCs w:val="18"/>
              </w:rPr>
              <w:t xml:space="preserve"> - Laying hens</w:t>
            </w:r>
          </w:p>
          <w:p w14:paraId="303B535F" w14:textId="77777777" w:rsidR="003E4A1D" w:rsidRPr="00C34DE9" w:rsidRDefault="003E4A1D" w:rsidP="5CB4B133">
            <w:pPr>
              <w:spacing w:after="0" w:line="240" w:lineRule="auto"/>
              <w:rPr>
                <w:rFonts w:ascii="Verdana" w:hAnsi="Verdana"/>
                <w:sz w:val="18"/>
                <w:szCs w:val="18"/>
              </w:rPr>
            </w:pPr>
            <w:r w:rsidRPr="5CB4B133">
              <w:rPr>
                <w:rFonts w:ascii="Verdana" w:hAnsi="Verdana"/>
                <w:sz w:val="18"/>
                <w:szCs w:val="18"/>
              </w:rPr>
              <w:t xml:space="preserve">● 3B4gii - Manure </w:t>
            </w:r>
            <w:r w:rsidR="00D1251C" w:rsidRPr="5CB4B133">
              <w:rPr>
                <w:rFonts w:ascii="Verdana" w:hAnsi="Verdana"/>
                <w:sz w:val="18"/>
                <w:szCs w:val="18"/>
              </w:rPr>
              <w:t>management</w:t>
            </w:r>
            <w:r w:rsidRPr="5CB4B133">
              <w:rPr>
                <w:rFonts w:ascii="Verdana" w:hAnsi="Verdana"/>
                <w:sz w:val="18"/>
                <w:szCs w:val="18"/>
              </w:rPr>
              <w:t xml:space="preserve"> - Broilers</w:t>
            </w:r>
          </w:p>
          <w:p w14:paraId="6EFA2047" w14:textId="77777777" w:rsidR="003E4A1D" w:rsidRPr="00C34DE9" w:rsidRDefault="003E4A1D" w:rsidP="5CB4B133">
            <w:pPr>
              <w:spacing w:after="0" w:line="240" w:lineRule="auto"/>
              <w:rPr>
                <w:rFonts w:ascii="Verdana" w:hAnsi="Verdana"/>
                <w:sz w:val="18"/>
                <w:szCs w:val="18"/>
              </w:rPr>
            </w:pPr>
            <w:r w:rsidRPr="5CB4B133">
              <w:rPr>
                <w:rFonts w:ascii="Verdana" w:hAnsi="Verdana"/>
                <w:sz w:val="18"/>
                <w:szCs w:val="18"/>
              </w:rPr>
              <w:t xml:space="preserve">● 3B4giii - Manure </w:t>
            </w:r>
            <w:r w:rsidR="00D1251C" w:rsidRPr="5CB4B133">
              <w:rPr>
                <w:rFonts w:ascii="Verdana" w:hAnsi="Verdana"/>
                <w:sz w:val="18"/>
                <w:szCs w:val="18"/>
              </w:rPr>
              <w:t>management</w:t>
            </w:r>
            <w:r w:rsidRPr="5CB4B133">
              <w:rPr>
                <w:rFonts w:ascii="Verdana" w:hAnsi="Verdana"/>
                <w:sz w:val="18"/>
                <w:szCs w:val="18"/>
              </w:rPr>
              <w:t xml:space="preserve"> – Turkeys</w:t>
            </w:r>
          </w:p>
          <w:p w14:paraId="0CB5298D"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3B4giv - Manure management - Other poultry</w:t>
            </w:r>
          </w:p>
          <w:p w14:paraId="1D07AD1D"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3B4h - Manure management - Other animals</w:t>
            </w:r>
          </w:p>
          <w:p w14:paraId="4A88EF6D" w14:textId="77777777" w:rsidR="003E4A1D" w:rsidRPr="00C34DE9" w:rsidRDefault="003E4A1D" w:rsidP="5CB4B133">
            <w:pPr>
              <w:spacing w:after="0" w:line="240" w:lineRule="auto"/>
              <w:rPr>
                <w:rFonts w:ascii="Verdana" w:eastAsia="Times New Roman" w:hAnsi="Verdana"/>
                <w:b/>
                <w:bCs/>
                <w:sz w:val="18"/>
                <w:szCs w:val="18"/>
              </w:rPr>
            </w:pPr>
            <w:r w:rsidRPr="5CB4B133">
              <w:rPr>
                <w:rFonts w:ascii="Verdana" w:eastAsia="Times New Roman" w:hAnsi="Verdana"/>
                <w:b/>
                <w:bCs/>
                <w:sz w:val="18"/>
                <w:szCs w:val="18"/>
              </w:rPr>
              <w:t>Application to soil</w:t>
            </w:r>
          </w:p>
          <w:p w14:paraId="025603CA"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3Da1 - Inorganic N-fertili</w:t>
            </w:r>
            <w:r w:rsidR="00007995">
              <w:rPr>
                <w:rFonts w:ascii="Verdana" w:eastAsia="Times New Roman" w:hAnsi="Verdana"/>
                <w:sz w:val="18"/>
                <w:szCs w:val="18"/>
              </w:rPr>
              <w:t>s</w:t>
            </w:r>
            <w:r w:rsidRPr="00C34DE9">
              <w:rPr>
                <w:rFonts w:ascii="Verdana" w:eastAsia="Times New Roman" w:hAnsi="Verdana"/>
                <w:sz w:val="18"/>
                <w:szCs w:val="18"/>
              </w:rPr>
              <w:t>ers (includes also urea application)</w:t>
            </w:r>
          </w:p>
          <w:p w14:paraId="38DC1208"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3Da2a - Animal manure applied to soils</w:t>
            </w:r>
          </w:p>
          <w:p w14:paraId="6DAC98D8" w14:textId="77777777" w:rsidR="003E4A1D" w:rsidRPr="00C34DE9" w:rsidRDefault="003E4A1D" w:rsidP="003E4A1D">
            <w:pPr>
              <w:spacing w:after="0" w:line="240" w:lineRule="auto"/>
              <w:rPr>
                <w:rFonts w:ascii="Verdana" w:eastAsia="Times New Roman" w:hAnsi="Verdana"/>
                <w:sz w:val="18"/>
                <w:szCs w:val="18"/>
              </w:rPr>
            </w:pPr>
            <w:r w:rsidRPr="00C34DE9">
              <w:rPr>
                <w:rFonts w:ascii="Verdana" w:eastAsia="Times New Roman" w:hAnsi="Verdana"/>
                <w:sz w:val="18"/>
                <w:szCs w:val="18"/>
              </w:rPr>
              <w:t>● 3Da3 - Urine and dung deposited by grazing animals</w:t>
            </w:r>
          </w:p>
        </w:tc>
      </w:tr>
      <w:tr w:rsidR="003E4A1D" w:rsidRPr="00C34DE9" w14:paraId="7B07AFB1"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2448F927"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27D081" w14:textId="77777777" w:rsidR="0068692A" w:rsidRDefault="003E4A1D" w:rsidP="0068692A">
            <w:pPr>
              <w:pStyle w:val="ListParagraph"/>
              <w:numPr>
                <w:ilvl w:val="0"/>
                <w:numId w:val="117"/>
              </w:numPr>
              <w:rPr>
                <w:rFonts w:ascii="Verdana" w:hAnsi="Verdana"/>
                <w:sz w:val="18"/>
                <w:szCs w:val="18"/>
              </w:rPr>
            </w:pPr>
            <w:r w:rsidRPr="0094745F">
              <w:rPr>
                <w:rFonts w:ascii="Verdana" w:hAnsi="Verdana"/>
                <w:sz w:val="18"/>
                <w:szCs w:val="18"/>
              </w:rPr>
              <w:t>Kilotonnes of NH</w:t>
            </w:r>
            <w:r w:rsidRPr="0094745F">
              <w:rPr>
                <w:rFonts w:ascii="Verdana" w:hAnsi="Verdana"/>
                <w:sz w:val="18"/>
                <w:szCs w:val="18"/>
                <w:vertAlign w:val="subscript"/>
              </w:rPr>
              <w:t>3</w:t>
            </w:r>
            <w:r w:rsidRPr="0094745F">
              <w:rPr>
                <w:rFonts w:ascii="Verdana" w:hAnsi="Verdana"/>
                <w:sz w:val="18"/>
                <w:szCs w:val="18"/>
              </w:rPr>
              <w:t xml:space="preserve"> per year</w:t>
            </w:r>
          </w:p>
          <w:p w14:paraId="56A4601A" w14:textId="7E68649F" w:rsidR="003E4A1D" w:rsidRPr="0068692A" w:rsidRDefault="003E4A1D" w:rsidP="0068692A">
            <w:pPr>
              <w:pStyle w:val="ListParagraph"/>
              <w:numPr>
                <w:ilvl w:val="0"/>
                <w:numId w:val="117"/>
              </w:numPr>
              <w:rPr>
                <w:rFonts w:ascii="Verdana" w:hAnsi="Verdana"/>
                <w:sz w:val="18"/>
                <w:szCs w:val="18"/>
              </w:rPr>
            </w:pPr>
            <w:r w:rsidRPr="0068692A">
              <w:rPr>
                <w:rFonts w:ascii="Verdana" w:eastAsia="Times New Roman" w:hAnsi="Verdana"/>
                <w:sz w:val="18"/>
                <w:szCs w:val="18"/>
              </w:rPr>
              <w:t>%</w:t>
            </w:r>
            <w:r w:rsidR="00851307" w:rsidRPr="0068692A">
              <w:rPr>
                <w:rFonts w:ascii="Verdana" w:eastAsia="Times New Roman" w:hAnsi="Verdana"/>
                <w:sz w:val="18"/>
                <w:szCs w:val="18"/>
              </w:rPr>
              <w:t xml:space="preserve"> </w:t>
            </w:r>
          </w:p>
        </w:tc>
      </w:tr>
      <w:tr w:rsidR="003E4A1D" w:rsidRPr="00C34DE9" w14:paraId="393ADC61" w14:textId="77777777" w:rsidTr="790C88FB">
        <w:trPr>
          <w:trHeight w:val="675"/>
        </w:trPr>
        <w:tc>
          <w:tcPr>
            <w:tcW w:w="2802" w:type="dxa"/>
            <w:tcBorders>
              <w:top w:val="single" w:sz="4" w:space="0" w:color="auto"/>
              <w:left w:val="single" w:sz="4" w:space="0" w:color="auto"/>
              <w:bottom w:val="single" w:sz="4" w:space="0" w:color="auto"/>
              <w:right w:val="single" w:sz="4" w:space="0" w:color="auto"/>
            </w:tcBorders>
            <w:vAlign w:val="center"/>
          </w:tcPr>
          <w:p w14:paraId="70EC08DE" w14:textId="77777777" w:rsidR="003E4A1D" w:rsidRPr="00C34DE9" w:rsidRDefault="003E4A1D" w:rsidP="790C88FB">
            <w:pPr>
              <w:spacing w:after="60"/>
              <w:rPr>
                <w:rFonts w:ascii="Verdana" w:hAnsi="Verdana"/>
                <w:i/>
                <w:iCs/>
                <w:sz w:val="18"/>
                <w:szCs w:val="18"/>
              </w:rPr>
            </w:pPr>
            <w:r w:rsidRPr="5CB4B133">
              <w:rPr>
                <w:rFonts w:ascii="Verdana" w:hAnsi="Verdana"/>
                <w:b/>
                <w:bCs/>
                <w:sz w:val="18"/>
                <w:szCs w:val="18"/>
              </w:rPr>
              <w:t>Data source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A1D1852" w14:textId="77777777" w:rsidR="003E4A1D" w:rsidRPr="00C34DE9" w:rsidRDefault="003E4A1D" w:rsidP="00007995">
            <w:pPr>
              <w:spacing w:after="0" w:line="240" w:lineRule="auto"/>
              <w:jc w:val="both"/>
              <w:rPr>
                <w:rFonts w:ascii="Verdana" w:eastAsia="Times New Roman" w:hAnsi="Verdana"/>
                <w:sz w:val="18"/>
                <w:szCs w:val="18"/>
              </w:rPr>
            </w:pPr>
            <w:r w:rsidRPr="00C34DE9">
              <w:rPr>
                <w:rFonts w:ascii="Verdana" w:eastAsia="Times New Roman" w:hAnsi="Verdana"/>
                <w:sz w:val="18"/>
                <w:szCs w:val="18"/>
              </w:rPr>
              <w:t>The Member States report their total national emissions of NH</w:t>
            </w:r>
            <w:r w:rsidRPr="00C34DE9">
              <w:rPr>
                <w:rFonts w:ascii="Verdana" w:eastAsia="Times New Roman" w:hAnsi="Verdana"/>
                <w:sz w:val="18"/>
                <w:szCs w:val="18"/>
                <w:vertAlign w:val="subscript"/>
              </w:rPr>
              <w:t>3</w:t>
            </w:r>
            <w:r w:rsidRPr="00C34DE9">
              <w:rPr>
                <w:rFonts w:ascii="Verdana" w:eastAsia="Times New Roman" w:hAnsi="Verdana"/>
                <w:sz w:val="18"/>
                <w:szCs w:val="18"/>
              </w:rPr>
              <w:t xml:space="preserve"> every year to the European Commission via the Member States national scale emission data (EEA) reported</w:t>
            </w:r>
            <w:r w:rsidR="009A0468">
              <w:rPr>
                <w:rFonts w:ascii="Verdana" w:eastAsia="Times New Roman" w:hAnsi="Verdana"/>
                <w:sz w:val="18"/>
                <w:szCs w:val="18"/>
              </w:rPr>
              <w:t xml:space="preserve"> </w:t>
            </w:r>
            <w:r w:rsidRPr="00C34DE9">
              <w:rPr>
                <w:rFonts w:ascii="Verdana" w:eastAsia="Times New Roman" w:hAnsi="Verdana"/>
                <w:sz w:val="18"/>
                <w:szCs w:val="18"/>
              </w:rPr>
              <w:t>under the existing requirements from the Directive on the reduction of national emissions of certain atmospheric pollutants (2016/2284/EU)</w:t>
            </w:r>
            <w:r w:rsidRPr="00C34DE9">
              <w:rPr>
                <w:rFonts w:ascii="Verdana" w:eastAsia="Times New Roman" w:hAnsi="Verdana"/>
                <w:sz w:val="18"/>
                <w:szCs w:val="18"/>
                <w:vertAlign w:val="superscript"/>
              </w:rPr>
              <w:footnoteReference w:id="21"/>
            </w:r>
            <w:r w:rsidRPr="00C34DE9">
              <w:rPr>
                <w:rFonts w:ascii="Verdana" w:eastAsia="Times New Roman" w:hAnsi="Verdana"/>
                <w:sz w:val="18"/>
                <w:szCs w:val="18"/>
              </w:rPr>
              <w:t>, and collected at the European Environment Agency. The reported data is available through the EEA’s website.</w:t>
            </w:r>
          </w:p>
        </w:tc>
      </w:tr>
      <w:tr w:rsidR="003E4A1D" w:rsidRPr="00C34DE9" w14:paraId="22976FC6"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22253FDE"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A0FFE32" w14:textId="4C1AFE64" w:rsidR="003E4A1D" w:rsidRPr="00C34DE9" w:rsidRDefault="003E4A1D" w:rsidP="00801053">
            <w:pPr>
              <w:spacing w:after="0" w:line="240" w:lineRule="auto"/>
              <w:jc w:val="both"/>
              <w:rPr>
                <w:rFonts w:ascii="Verdana" w:eastAsia="Times New Roman" w:hAnsi="Verdana"/>
                <w:color w:val="0000FF"/>
                <w:sz w:val="18"/>
                <w:szCs w:val="18"/>
                <w:u w:val="single"/>
              </w:rPr>
            </w:pPr>
            <w:r w:rsidRPr="00C34DE9">
              <w:rPr>
                <w:rFonts w:ascii="Verdana" w:eastAsia="Times New Roman" w:hAnsi="Verdana"/>
                <w:sz w:val="18"/>
                <w:szCs w:val="18"/>
              </w:rPr>
              <w:t>Annual data on ammonia emissions from agriculture is available at the EEA’s website. The information, broken down by Member State and sub-category, is also provided through the web-based tool "Air pollutant emissions data viewer (NEC Directive)"</w:t>
            </w:r>
            <w:r w:rsidRPr="00C34DE9">
              <w:rPr>
                <w:rFonts w:ascii="Verdana" w:hAnsi="Verdana"/>
                <w:sz w:val="18"/>
                <w:szCs w:val="18"/>
              </w:rPr>
              <w:t xml:space="preserve"> </w:t>
            </w:r>
            <w:hyperlink r:id="rId207" w:history="1">
              <w:r w:rsidRPr="00C34DE9">
                <w:rPr>
                  <w:rFonts w:ascii="Verdana" w:eastAsia="Times New Roman" w:hAnsi="Verdana"/>
                  <w:color w:val="0000FF"/>
                  <w:sz w:val="18"/>
                  <w:szCs w:val="18"/>
                  <w:u w:val="single"/>
                </w:rPr>
                <w:t>https://www.eea.europa.eu/data-and-maps/dashboards/necd-directive-data-viewer-1</w:t>
              </w:r>
            </w:hyperlink>
            <w:r w:rsidR="00A600C2" w:rsidRPr="00A600C2">
              <w:rPr>
                <w:rFonts w:ascii="Verdana" w:eastAsia="Times New Roman" w:hAnsi="Verdana"/>
                <w:sz w:val="18"/>
                <w:szCs w:val="18"/>
              </w:rPr>
              <w:t xml:space="preserve"> or Eurostat’s table on ammonia emission</w:t>
            </w:r>
            <w:r w:rsidR="00A600C2">
              <w:rPr>
                <w:rFonts w:ascii="Verdana" w:eastAsia="Times New Roman" w:hAnsi="Verdana"/>
                <w:sz w:val="18"/>
                <w:szCs w:val="18"/>
              </w:rPr>
              <w:t xml:space="preserve"> [</w:t>
            </w:r>
            <w:hyperlink r:id="rId208" w:history="1">
              <w:r w:rsidR="00A600C2" w:rsidRPr="00A600C2">
                <w:rPr>
                  <w:rStyle w:val="Hyperlink"/>
                  <w:rFonts w:ascii="Verdana" w:hAnsi="Verdana"/>
                  <w:sz w:val="18"/>
                  <w:szCs w:val="18"/>
                </w:rPr>
                <w:t>Tai07</w:t>
              </w:r>
            </w:hyperlink>
            <w:r w:rsidR="00A600C2">
              <w:rPr>
                <w:rFonts w:ascii="Verdana" w:eastAsia="Times New Roman" w:hAnsi="Verdana"/>
                <w:sz w:val="18"/>
                <w:szCs w:val="18"/>
              </w:rPr>
              <w:t>]</w:t>
            </w:r>
          </w:p>
        </w:tc>
      </w:tr>
      <w:tr w:rsidR="003E4A1D" w:rsidRPr="00C34DE9" w14:paraId="4A79CC83"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26A7CDD5"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Data collection</w:t>
            </w:r>
            <w:r w:rsidR="00CE27E0" w:rsidRPr="5CB4B133">
              <w:rPr>
                <w:rFonts w:ascii="Verdana" w:hAnsi="Verdana"/>
                <w:b/>
                <w:bCs/>
                <w:sz w:val="18"/>
                <w:szCs w:val="18"/>
              </w:rPr>
              <w:t xml:space="preserve"> </w:t>
            </w:r>
            <w:r w:rsidR="00D07B30" w:rsidRPr="5CB4B133">
              <w:rPr>
                <w:rFonts w:ascii="Verdana" w:hAnsi="Verdana"/>
                <w:b/>
                <w:bCs/>
                <w:sz w:val="18"/>
                <w:szCs w:val="18"/>
              </w:rPr>
              <w:t>/</w:t>
            </w:r>
            <w:r w:rsidR="00CE27E0" w:rsidRPr="5CB4B133">
              <w:rPr>
                <w:rFonts w:ascii="Verdana" w:hAnsi="Verdana"/>
                <w:b/>
                <w:bCs/>
                <w:sz w:val="18"/>
                <w:szCs w:val="18"/>
              </w:rPr>
              <w:t xml:space="preserve"> </w:t>
            </w:r>
            <w:r w:rsidR="00D07B30" w:rsidRPr="5CB4B133">
              <w:rPr>
                <w:rFonts w:ascii="Verdana" w:hAnsi="Verdana"/>
                <w:b/>
                <w:bCs/>
                <w:sz w:val="18"/>
                <w:szCs w:val="18"/>
              </w:rPr>
              <w:t xml:space="preserve">dissemination </w:t>
            </w:r>
            <w:r w:rsidRPr="5CB4B133">
              <w:rPr>
                <w:rFonts w:ascii="Verdana" w:hAnsi="Verdana"/>
                <w:b/>
                <w:bCs/>
                <w:sz w:val="18"/>
                <w:szCs w:val="18"/>
              </w:rPr>
              <w:t>level</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E902220" w14:textId="7AEAAA70" w:rsidR="003E4A1D" w:rsidRPr="00C34DE9" w:rsidDel="00F9611E" w:rsidRDefault="00B3192B" w:rsidP="003E4A1D">
            <w:pPr>
              <w:spacing w:after="60"/>
              <w:rPr>
                <w:rFonts w:ascii="Verdana" w:hAnsi="Verdana"/>
                <w:sz w:val="18"/>
                <w:szCs w:val="18"/>
              </w:rPr>
            </w:pPr>
            <w:r>
              <w:rPr>
                <w:rFonts w:ascii="Verdana" w:hAnsi="Verdana"/>
                <w:sz w:val="18"/>
                <w:szCs w:val="18"/>
              </w:rPr>
              <w:t>EU, National (NUTS 0)</w:t>
            </w:r>
          </w:p>
        </w:tc>
      </w:tr>
      <w:tr w:rsidR="003E4A1D" w:rsidRPr="00C34DE9" w14:paraId="7A84270A" w14:textId="77777777" w:rsidTr="790C88FB">
        <w:trPr>
          <w:trHeight w:val="592"/>
        </w:trPr>
        <w:tc>
          <w:tcPr>
            <w:tcW w:w="2802" w:type="dxa"/>
            <w:tcBorders>
              <w:top w:val="single" w:sz="4" w:space="0" w:color="auto"/>
              <w:left w:val="single" w:sz="4" w:space="0" w:color="auto"/>
              <w:bottom w:val="single" w:sz="4" w:space="0" w:color="auto"/>
              <w:right w:val="single" w:sz="4" w:space="0" w:color="auto"/>
            </w:tcBorders>
            <w:vAlign w:val="center"/>
          </w:tcPr>
          <w:p w14:paraId="3DA7A1D8" w14:textId="77777777" w:rsidR="003E4A1D" w:rsidRPr="00C34DE9" w:rsidRDefault="003E4A1D" w:rsidP="790C88FB">
            <w:pPr>
              <w:spacing w:after="60"/>
              <w:rPr>
                <w:rFonts w:ascii="Verdana" w:hAnsi="Verdana"/>
                <w:b/>
                <w:bCs/>
                <w:i/>
                <w:iCs/>
                <w:sz w:val="18"/>
                <w:szCs w:val="18"/>
              </w:rPr>
            </w:pPr>
            <w:r w:rsidRPr="5CB4B133">
              <w:rPr>
                <w:rFonts w:ascii="Verdana" w:hAnsi="Verdana"/>
                <w:b/>
                <w:bCs/>
                <w:sz w:val="18"/>
                <w:szCs w:val="18"/>
              </w:rPr>
              <w:lastRenderedPageBreak/>
              <w:t>Frequency</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2F8B6A8" w14:textId="6C72E39B" w:rsidR="003E4A1D" w:rsidRPr="00C34DE9" w:rsidRDefault="004010CF" w:rsidP="00801053">
            <w:pPr>
              <w:spacing w:after="60"/>
              <w:jc w:val="both"/>
              <w:rPr>
                <w:rFonts w:ascii="Verdana" w:eastAsia="Times New Roman" w:hAnsi="Verdana"/>
                <w:sz w:val="18"/>
                <w:szCs w:val="18"/>
              </w:rPr>
            </w:pPr>
            <w:r w:rsidRPr="00C34DE9">
              <w:rPr>
                <w:rFonts w:ascii="Verdana" w:eastAsia="Times New Roman" w:hAnsi="Verdana"/>
                <w:sz w:val="18"/>
                <w:szCs w:val="18"/>
              </w:rPr>
              <w:t>Data collected annually</w:t>
            </w:r>
            <w:r>
              <w:rPr>
                <w:rFonts w:ascii="Verdana" w:eastAsia="Times New Roman" w:hAnsi="Verdana"/>
                <w:sz w:val="18"/>
                <w:szCs w:val="18"/>
              </w:rPr>
              <w:t xml:space="preserve">. Data are recalculated annually for the whole time series due to update in coefficients or upgrading of Tiers. Therefore it is important to ensure an update of the whole time series </w:t>
            </w:r>
            <w:r w:rsidR="3A1378A7">
              <w:rPr>
                <w:rFonts w:ascii="Verdana" w:eastAsia="Times New Roman" w:hAnsi="Verdana"/>
                <w:sz w:val="18"/>
                <w:szCs w:val="18"/>
              </w:rPr>
              <w:t xml:space="preserve">for </w:t>
            </w:r>
            <w:r>
              <w:rPr>
                <w:rFonts w:ascii="Verdana" w:eastAsia="Times New Roman" w:hAnsi="Verdana"/>
                <w:sz w:val="18"/>
                <w:szCs w:val="18"/>
              </w:rPr>
              <w:t>each year this indicator is reported on.</w:t>
            </w:r>
          </w:p>
        </w:tc>
      </w:tr>
      <w:tr w:rsidR="003E4A1D" w:rsidRPr="00C34DE9" w14:paraId="72EAF17F" w14:textId="77777777" w:rsidTr="790C88FB">
        <w:trPr>
          <w:trHeight w:val="518"/>
        </w:trPr>
        <w:tc>
          <w:tcPr>
            <w:tcW w:w="2802" w:type="dxa"/>
            <w:tcBorders>
              <w:top w:val="single" w:sz="4" w:space="0" w:color="auto"/>
              <w:left w:val="single" w:sz="4" w:space="0" w:color="auto"/>
              <w:bottom w:val="single" w:sz="4" w:space="0" w:color="auto"/>
              <w:right w:val="single" w:sz="4" w:space="0" w:color="auto"/>
            </w:tcBorders>
            <w:vAlign w:val="center"/>
          </w:tcPr>
          <w:p w14:paraId="3ADAACEF"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Timeliness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22921DD" w14:textId="77777777" w:rsidR="003E4A1D" w:rsidRPr="00C34DE9" w:rsidRDefault="003E4A1D" w:rsidP="00801053">
            <w:pPr>
              <w:spacing w:after="0" w:line="240" w:lineRule="auto"/>
              <w:jc w:val="both"/>
              <w:rPr>
                <w:rFonts w:ascii="Verdana" w:eastAsia="Times New Roman" w:hAnsi="Verdana"/>
                <w:sz w:val="18"/>
                <w:szCs w:val="18"/>
              </w:rPr>
            </w:pPr>
            <w:r w:rsidRPr="00C34DE9">
              <w:rPr>
                <w:rFonts w:ascii="Verdana" w:eastAsia="Times New Roman" w:hAnsi="Verdana"/>
                <w:sz w:val="18"/>
                <w:szCs w:val="18"/>
              </w:rPr>
              <w:t xml:space="preserve">One year (Member States shall report on the emissions in year Y no later than February of year Y + 2). </w:t>
            </w:r>
          </w:p>
          <w:p w14:paraId="2F0521B5" w14:textId="77777777" w:rsidR="003E4A1D" w:rsidRPr="00C34DE9" w:rsidRDefault="003E4A1D" w:rsidP="00801053">
            <w:pPr>
              <w:spacing w:after="0" w:line="240" w:lineRule="auto"/>
              <w:jc w:val="both"/>
              <w:rPr>
                <w:rFonts w:ascii="Verdana" w:hAnsi="Verdana"/>
                <w:sz w:val="18"/>
                <w:szCs w:val="18"/>
              </w:rPr>
            </w:pPr>
            <w:r w:rsidRPr="00C34DE9">
              <w:rPr>
                <w:rFonts w:ascii="Verdana" w:eastAsia="Times New Roman" w:hAnsi="Verdana"/>
                <w:sz w:val="18"/>
                <w:szCs w:val="18"/>
              </w:rPr>
              <w:t>Projections covering 2020, 2025, 2030 and where available 2040 and 2050, shall be reported by the Member States to the EEA on a biennial basis.</w:t>
            </w:r>
          </w:p>
        </w:tc>
      </w:tr>
      <w:tr w:rsidR="003E4A1D" w:rsidRPr="00C34DE9" w14:paraId="0703B531" w14:textId="77777777" w:rsidTr="790C88FB">
        <w:tc>
          <w:tcPr>
            <w:tcW w:w="2802" w:type="dxa"/>
            <w:tcBorders>
              <w:top w:val="single" w:sz="4" w:space="0" w:color="auto"/>
              <w:left w:val="single" w:sz="4" w:space="0" w:color="auto"/>
              <w:bottom w:val="single" w:sz="4" w:space="0" w:color="auto"/>
              <w:right w:val="single" w:sz="4" w:space="0" w:color="auto"/>
            </w:tcBorders>
            <w:vAlign w:val="center"/>
          </w:tcPr>
          <w:p w14:paraId="3A3F7FAF" w14:textId="77777777" w:rsidR="003E4A1D" w:rsidRPr="00C34DE9" w:rsidRDefault="003E4A1D" w:rsidP="5CB4B133">
            <w:pPr>
              <w:spacing w:after="60"/>
              <w:rPr>
                <w:rFonts w:ascii="Verdana" w:hAnsi="Verdana"/>
                <w:b/>
                <w:bCs/>
                <w:sz w:val="18"/>
                <w:szCs w:val="18"/>
              </w:rPr>
            </w:pPr>
            <w:r w:rsidRPr="5CB4B133">
              <w:rPr>
                <w:rFonts w:ascii="Verdana" w:hAnsi="Verdana"/>
                <w:b/>
                <w:bCs/>
                <w:sz w:val="18"/>
                <w:szCs w:val="18"/>
              </w:rPr>
              <w:t>Comments/caveats</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11241CE" w14:textId="76025AB6" w:rsidR="007022E9" w:rsidRDefault="003E4A1D" w:rsidP="00801053">
            <w:pPr>
              <w:spacing w:after="0" w:line="240" w:lineRule="auto"/>
              <w:jc w:val="both"/>
              <w:rPr>
                <w:rFonts w:ascii="Verdana" w:eastAsia="Times New Roman" w:hAnsi="Verdana"/>
                <w:sz w:val="18"/>
                <w:szCs w:val="18"/>
              </w:rPr>
            </w:pPr>
            <w:r w:rsidRPr="00C34DE9">
              <w:rPr>
                <w:rFonts w:ascii="Verdana" w:hAnsi="Verdana"/>
                <w:sz w:val="18"/>
                <w:szCs w:val="18"/>
              </w:rPr>
              <w:t>[Indication capacity</w:t>
            </w:r>
            <w:r w:rsidR="00007995">
              <w:rPr>
                <w:rFonts w:ascii="Verdana" w:hAnsi="Verdana"/>
                <w:sz w:val="18"/>
                <w:szCs w:val="18"/>
              </w:rPr>
              <w:t>:</w:t>
            </w:r>
            <w:r w:rsidRPr="00C34DE9">
              <w:rPr>
                <w:rFonts w:ascii="Verdana" w:hAnsi="Verdana"/>
                <w:sz w:val="18"/>
                <w:szCs w:val="18"/>
              </w:rPr>
              <w:t xml:space="preserve">] Data are able to show </w:t>
            </w:r>
            <w:r w:rsidRPr="00C34DE9">
              <w:rPr>
                <w:rFonts w:ascii="Verdana" w:eastAsia="Times New Roman" w:hAnsi="Verdana"/>
                <w:sz w:val="18"/>
                <w:szCs w:val="18"/>
              </w:rPr>
              <w:t>emission trends over time and compare trends among Member States, and the distance to National Emission Ceilings</w:t>
            </w:r>
            <w:r w:rsidRPr="00C34DE9">
              <w:rPr>
                <w:rFonts w:ascii="Verdana" w:eastAsia="Times New Roman" w:hAnsi="Verdana"/>
                <w:sz w:val="18"/>
                <w:szCs w:val="18"/>
                <w:vertAlign w:val="superscript"/>
              </w:rPr>
              <w:footnoteReference w:id="22"/>
            </w:r>
            <w:r w:rsidRPr="00C34DE9">
              <w:rPr>
                <w:rFonts w:ascii="Verdana" w:eastAsia="Times New Roman" w:hAnsi="Verdana"/>
                <w:sz w:val="18"/>
                <w:szCs w:val="18"/>
              </w:rPr>
              <w:t xml:space="preserve"> (NEC). Also, it is able to show differences in the subcategories, such as identifying main sources within the agricultural sector within a country</w:t>
            </w:r>
            <w:r w:rsidR="007022E9">
              <w:rPr>
                <w:rFonts w:ascii="Verdana" w:eastAsia="Times New Roman" w:hAnsi="Verdana"/>
                <w:sz w:val="18"/>
                <w:szCs w:val="18"/>
              </w:rPr>
              <w:t>, although these can be strongly dependent on the Tier used</w:t>
            </w:r>
            <w:r w:rsidRPr="00C34DE9">
              <w:rPr>
                <w:rFonts w:ascii="Verdana" w:eastAsia="Times New Roman" w:hAnsi="Verdana"/>
                <w:sz w:val="18"/>
                <w:szCs w:val="18"/>
              </w:rPr>
              <w:t>.</w:t>
            </w:r>
            <w:r w:rsidR="007022E9" w:rsidRPr="00C34DE9">
              <w:rPr>
                <w:rFonts w:ascii="Verdana" w:eastAsia="Times New Roman" w:hAnsi="Verdana"/>
                <w:sz w:val="18"/>
                <w:szCs w:val="18"/>
              </w:rPr>
              <w:t xml:space="preserve"> </w:t>
            </w:r>
            <w:r w:rsidR="007022E9">
              <w:rPr>
                <w:rFonts w:ascii="Verdana" w:eastAsia="Times New Roman" w:hAnsi="Verdana"/>
                <w:sz w:val="18"/>
                <w:szCs w:val="18"/>
              </w:rPr>
              <w:t xml:space="preserve">Absolute values </w:t>
            </w:r>
            <w:r w:rsidR="14C14CD0">
              <w:rPr>
                <w:rFonts w:ascii="Verdana" w:eastAsia="Times New Roman" w:hAnsi="Verdana"/>
                <w:sz w:val="18"/>
                <w:szCs w:val="18"/>
              </w:rPr>
              <w:t xml:space="preserve">are not </w:t>
            </w:r>
            <w:r w:rsidR="657DB81D">
              <w:rPr>
                <w:rFonts w:ascii="Verdana" w:eastAsia="Times New Roman" w:hAnsi="Verdana"/>
                <w:sz w:val="18"/>
                <w:szCs w:val="18"/>
              </w:rPr>
              <w:t>fully</w:t>
            </w:r>
            <w:r w:rsidR="007022E9">
              <w:rPr>
                <w:rFonts w:ascii="Verdana" w:eastAsia="Times New Roman" w:hAnsi="Verdana"/>
                <w:sz w:val="18"/>
                <w:szCs w:val="18"/>
              </w:rPr>
              <w:t xml:space="preserve"> compar</w:t>
            </w:r>
            <w:r w:rsidR="657DB81D">
              <w:rPr>
                <w:rFonts w:ascii="Verdana" w:eastAsia="Times New Roman" w:hAnsi="Verdana"/>
                <w:sz w:val="18"/>
                <w:szCs w:val="18"/>
              </w:rPr>
              <w:t>able</w:t>
            </w:r>
            <w:r w:rsidR="007022E9">
              <w:rPr>
                <w:rFonts w:ascii="Verdana" w:eastAsia="Times New Roman" w:hAnsi="Verdana"/>
                <w:sz w:val="18"/>
                <w:szCs w:val="18"/>
              </w:rPr>
              <w:t xml:space="preserve"> due to the different Tiers available for use.</w:t>
            </w:r>
          </w:p>
          <w:p w14:paraId="24733E86" w14:textId="77777777" w:rsidR="003E4A1D" w:rsidRPr="00C34DE9" w:rsidRDefault="003E4A1D" w:rsidP="00801053">
            <w:pPr>
              <w:spacing w:after="0" w:line="240" w:lineRule="auto"/>
              <w:jc w:val="both"/>
              <w:rPr>
                <w:rFonts w:ascii="Verdana" w:hAnsi="Verdana"/>
                <w:sz w:val="18"/>
                <w:szCs w:val="18"/>
              </w:rPr>
            </w:pPr>
          </w:p>
          <w:p w14:paraId="7432677A" w14:textId="77777777" w:rsidR="003E4A1D" w:rsidRPr="00C34DE9" w:rsidRDefault="003E4A1D" w:rsidP="00801053">
            <w:pPr>
              <w:spacing w:after="0" w:line="240" w:lineRule="auto"/>
              <w:jc w:val="both"/>
              <w:rPr>
                <w:rFonts w:ascii="Verdana" w:hAnsi="Verdana"/>
                <w:sz w:val="18"/>
                <w:szCs w:val="18"/>
              </w:rPr>
            </w:pPr>
            <w:r w:rsidRPr="00C34DE9">
              <w:rPr>
                <w:rFonts w:ascii="Verdana" w:hAnsi="Verdana"/>
                <w:sz w:val="18"/>
                <w:szCs w:val="18"/>
              </w:rPr>
              <w:t>[Readily available</w:t>
            </w:r>
            <w:r w:rsidR="00007995">
              <w:rPr>
                <w:rFonts w:ascii="Verdana" w:hAnsi="Verdana"/>
                <w:sz w:val="18"/>
                <w:szCs w:val="18"/>
              </w:rPr>
              <w:t>:</w:t>
            </w:r>
            <w:r w:rsidRPr="00C34DE9">
              <w:rPr>
                <w:rFonts w:ascii="Verdana" w:hAnsi="Verdana"/>
                <w:sz w:val="18"/>
                <w:szCs w:val="18"/>
              </w:rPr>
              <w:t>] Data are already submitted by MS every year.</w:t>
            </w:r>
          </w:p>
          <w:p w14:paraId="4CB8BA7E" w14:textId="77777777" w:rsidR="003E4A1D" w:rsidRPr="00C34DE9" w:rsidRDefault="003E4A1D" w:rsidP="00801053">
            <w:pPr>
              <w:spacing w:after="0" w:line="240" w:lineRule="auto"/>
              <w:jc w:val="both"/>
              <w:rPr>
                <w:rFonts w:ascii="Verdana" w:hAnsi="Verdana"/>
                <w:sz w:val="18"/>
                <w:szCs w:val="18"/>
              </w:rPr>
            </w:pPr>
          </w:p>
          <w:p w14:paraId="65D74152" w14:textId="07A41265" w:rsidR="003E4A1D" w:rsidRPr="00C34DE9" w:rsidRDefault="003E4A1D" w:rsidP="00801053">
            <w:pPr>
              <w:tabs>
                <w:tab w:val="left" w:pos="1576"/>
              </w:tabs>
              <w:spacing w:after="0" w:line="240" w:lineRule="auto"/>
              <w:jc w:val="both"/>
              <w:rPr>
                <w:rFonts w:ascii="Verdana" w:hAnsi="Verdana"/>
                <w:sz w:val="18"/>
                <w:szCs w:val="18"/>
              </w:rPr>
            </w:pPr>
            <w:r w:rsidRPr="00C34DE9">
              <w:rPr>
                <w:rFonts w:ascii="Verdana" w:hAnsi="Verdana"/>
                <w:sz w:val="18"/>
                <w:szCs w:val="18"/>
              </w:rPr>
              <w:t>[Downscaling</w:t>
            </w:r>
            <w:r w:rsidR="00007995">
              <w:rPr>
                <w:rFonts w:ascii="Verdana" w:hAnsi="Verdana"/>
                <w:sz w:val="18"/>
                <w:szCs w:val="18"/>
              </w:rPr>
              <w:t>:</w:t>
            </w:r>
            <w:r w:rsidRPr="00C34DE9">
              <w:rPr>
                <w:rFonts w:ascii="Verdana" w:hAnsi="Verdana"/>
                <w:sz w:val="18"/>
                <w:szCs w:val="18"/>
              </w:rPr>
              <w:t xml:space="preserve">] National emission reporting (NECD; </w:t>
            </w:r>
            <w:r w:rsidR="3A1378A7" w:rsidRPr="00C34DE9">
              <w:rPr>
                <w:rFonts w:ascii="Verdana" w:hAnsi="Verdana"/>
                <w:sz w:val="18"/>
                <w:szCs w:val="18"/>
              </w:rPr>
              <w:t xml:space="preserve">UNECE/CLTAP </w:t>
            </w:r>
            <w:r w:rsidRPr="00C34DE9">
              <w:rPr>
                <w:rFonts w:ascii="Verdana" w:hAnsi="Verdana"/>
                <w:sz w:val="18"/>
                <w:szCs w:val="18"/>
              </w:rPr>
              <w:t>Gothenburg Protocol) follows recommendations of the 2016 EMEP/EEA air pollutant emission inventory guidebook, with 3 Tiers: Tier 1 (standard emission factors), Tier 2 (based on Total Ammonia Nitrogen (TAN) flows), Tier 3 (more sophisticated approaches, modelling, which can include spatial information on the implementation of specific abatement measures). Evaluation of impacts of air pollution of NH3 emissions, requires spatial information in conjunction with models. Science based gridded emission inventories, and gridded inventories from some MS are available. Satellite observations of NH3 provide new opportunities to derive spatial information.</w:t>
            </w:r>
          </w:p>
          <w:p w14:paraId="0DF1E6EB" w14:textId="77777777" w:rsidR="003E4A1D" w:rsidRPr="00C34DE9" w:rsidRDefault="003E4A1D" w:rsidP="00801053">
            <w:pPr>
              <w:spacing w:after="0" w:line="240" w:lineRule="auto"/>
              <w:jc w:val="both"/>
              <w:rPr>
                <w:rFonts w:ascii="Verdana" w:eastAsia="Times New Roman" w:hAnsi="Verdana"/>
                <w:sz w:val="18"/>
                <w:szCs w:val="18"/>
              </w:rPr>
            </w:pPr>
          </w:p>
          <w:p w14:paraId="14349014" w14:textId="77777777" w:rsidR="003E4A1D" w:rsidRPr="00C34DE9" w:rsidRDefault="003E4A1D" w:rsidP="00801053">
            <w:pPr>
              <w:spacing w:after="0" w:line="240" w:lineRule="auto"/>
              <w:jc w:val="both"/>
              <w:rPr>
                <w:rFonts w:ascii="Verdana" w:hAnsi="Verdana"/>
                <w:sz w:val="18"/>
                <w:szCs w:val="18"/>
              </w:rPr>
            </w:pPr>
            <w:r w:rsidRPr="00C34DE9">
              <w:rPr>
                <w:rFonts w:ascii="Verdana" w:hAnsi="Verdana"/>
                <w:sz w:val="18"/>
                <w:szCs w:val="18"/>
              </w:rPr>
              <w:t>[Quality</w:t>
            </w:r>
            <w:r w:rsidR="00007995">
              <w:rPr>
                <w:rFonts w:ascii="Verdana" w:hAnsi="Verdana"/>
                <w:sz w:val="18"/>
                <w:szCs w:val="18"/>
              </w:rPr>
              <w:t>:</w:t>
            </w:r>
            <w:r w:rsidRPr="00C34DE9">
              <w:rPr>
                <w:rFonts w:ascii="Verdana" w:hAnsi="Verdana"/>
                <w:sz w:val="18"/>
                <w:szCs w:val="18"/>
              </w:rPr>
              <w:t>] The use by MS of Tier 1 approaches may prevent tracking progress and policy effectiveness when using MS inventory information. Improvements such as on manure spreading methods or in productivity of milk, should be detected. Along with inventory MS submit an Informative Inventory Report (IIR). To link NH3 emission improvement to CAP, detailed information on which measures have been implemented, implementation rate (# livestock or m2 of UAA affected) are necessary, as well as improvement in emission factors.</w:t>
            </w:r>
          </w:p>
          <w:p w14:paraId="3F88066A" w14:textId="77777777" w:rsidR="003E4A1D" w:rsidRPr="00C34DE9" w:rsidRDefault="003E4A1D" w:rsidP="00801053">
            <w:pPr>
              <w:spacing w:after="0" w:line="240" w:lineRule="auto"/>
              <w:jc w:val="both"/>
              <w:rPr>
                <w:rFonts w:ascii="Verdana" w:hAnsi="Verdana"/>
                <w:sz w:val="18"/>
                <w:szCs w:val="18"/>
              </w:rPr>
            </w:pPr>
          </w:p>
          <w:p w14:paraId="606ADE5B" w14:textId="77777777" w:rsidR="003E4A1D" w:rsidRPr="00C34DE9" w:rsidRDefault="003E4A1D" w:rsidP="00801053">
            <w:pPr>
              <w:spacing w:after="0" w:line="240" w:lineRule="auto"/>
              <w:jc w:val="both"/>
              <w:rPr>
                <w:rFonts w:ascii="Verdana" w:eastAsia="Times New Roman" w:hAnsi="Verdana"/>
                <w:sz w:val="18"/>
                <w:szCs w:val="18"/>
              </w:rPr>
            </w:pPr>
            <w:r w:rsidRPr="00C34DE9">
              <w:rPr>
                <w:rFonts w:ascii="Verdana" w:hAnsi="Verdana"/>
                <w:sz w:val="18"/>
                <w:szCs w:val="18"/>
              </w:rPr>
              <w:t>[Baseline</w:t>
            </w:r>
            <w:r w:rsidR="00007995">
              <w:rPr>
                <w:rFonts w:ascii="Verdana" w:hAnsi="Verdana"/>
                <w:sz w:val="18"/>
                <w:szCs w:val="18"/>
              </w:rPr>
              <w:t>:</w:t>
            </w:r>
            <w:r w:rsidRPr="00C34DE9">
              <w:rPr>
                <w:rFonts w:ascii="Verdana" w:hAnsi="Verdana"/>
                <w:sz w:val="18"/>
                <w:szCs w:val="18"/>
              </w:rPr>
              <w:t>]</w:t>
            </w:r>
            <w:r w:rsidRPr="00C34DE9">
              <w:rPr>
                <w:rFonts w:ascii="Verdana" w:eastAsia="Times New Roman" w:hAnsi="Verdana"/>
                <w:sz w:val="18"/>
                <w:szCs w:val="18"/>
              </w:rPr>
              <w:t xml:space="preserve"> Data on emissions of air pollutants, including ammonia, are available for every year, giving the possibility to define baselines. Collection of these data is required under the reporting regime in the Directive on the reduction of national emissions of certain atmospheric pollutants (2016/2284/EU) and will not add any additional administrative burden for Member States. </w:t>
            </w:r>
          </w:p>
          <w:p w14:paraId="7EE13EB1" w14:textId="77777777" w:rsidR="003E4A1D" w:rsidRDefault="003E4A1D" w:rsidP="00801053">
            <w:pPr>
              <w:spacing w:after="0" w:line="240" w:lineRule="auto"/>
              <w:jc w:val="both"/>
              <w:rPr>
                <w:rFonts w:ascii="Verdana" w:hAnsi="Verdana"/>
                <w:sz w:val="18"/>
                <w:szCs w:val="18"/>
              </w:rPr>
            </w:pPr>
            <w:r w:rsidRPr="00C34DE9">
              <w:rPr>
                <w:rFonts w:ascii="Verdana" w:hAnsi="Verdana"/>
                <w:sz w:val="18"/>
                <w:szCs w:val="18"/>
              </w:rPr>
              <w:t>Air Quality Directive consider the % of reduction from 2005. The same year can be proposed for the impact indicator.</w:t>
            </w:r>
          </w:p>
          <w:p w14:paraId="222F1340" w14:textId="77777777" w:rsidR="00D34F97" w:rsidRDefault="00D34F97" w:rsidP="00801053">
            <w:pPr>
              <w:spacing w:after="0" w:line="240" w:lineRule="auto"/>
              <w:jc w:val="both"/>
              <w:rPr>
                <w:rFonts w:ascii="Verdana" w:hAnsi="Verdana"/>
                <w:sz w:val="18"/>
                <w:szCs w:val="18"/>
              </w:rPr>
            </w:pPr>
          </w:p>
          <w:p w14:paraId="030236FA" w14:textId="77777777" w:rsidR="00D34F97" w:rsidRPr="00C34DE9" w:rsidRDefault="00D34F97" w:rsidP="00801053">
            <w:pPr>
              <w:spacing w:after="0" w:line="240" w:lineRule="auto"/>
              <w:jc w:val="both"/>
              <w:rPr>
                <w:rFonts w:ascii="Verdana" w:hAnsi="Verdana"/>
                <w:sz w:val="18"/>
                <w:szCs w:val="18"/>
              </w:rPr>
            </w:pPr>
            <w:r w:rsidRPr="5CB4B133">
              <w:rPr>
                <w:rFonts w:ascii="Verdana" w:hAnsi="Verdana"/>
                <w:b/>
                <w:bCs/>
                <w:sz w:val="18"/>
                <w:szCs w:val="18"/>
              </w:rPr>
              <w:t>This indicator is also used for the EU reporting on UN Sustainable Development Goals.</w:t>
            </w:r>
          </w:p>
        </w:tc>
      </w:tr>
    </w:tbl>
    <w:p w14:paraId="45F36CDF" w14:textId="77777777" w:rsidR="00A240BB" w:rsidRPr="00C34DE9" w:rsidRDefault="00A240BB" w:rsidP="003C3153">
      <w:r w:rsidRPr="00C34DE9">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96"/>
      </w:tblGrid>
      <w:tr w:rsidR="00FA7E72" w:rsidRPr="00C34DE9" w14:paraId="112C013A"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00B0F0"/>
            <w:vAlign w:val="center"/>
          </w:tcPr>
          <w:p w14:paraId="26A46F9E" w14:textId="79B6256C" w:rsidR="00FA7E72" w:rsidRPr="00C34DE9" w:rsidRDefault="00FA7E72" w:rsidP="009F6BD0">
            <w:pPr>
              <w:spacing w:after="60"/>
              <w:rPr>
                <w:rFonts w:ascii="Verdana" w:hAnsi="Verdana"/>
                <w:b/>
                <w:bCs/>
                <w:sz w:val="18"/>
                <w:szCs w:val="18"/>
              </w:rPr>
            </w:pPr>
            <w:bookmarkStart w:id="73" w:name="C47"/>
            <w:r w:rsidRPr="5CB4B133">
              <w:rPr>
                <w:rFonts w:ascii="Verdana" w:hAnsi="Verdana"/>
                <w:b/>
                <w:bCs/>
                <w:smallCaps/>
                <w:sz w:val="18"/>
                <w:szCs w:val="18"/>
              </w:rPr>
              <w:lastRenderedPageBreak/>
              <w:t>Indicator C.4</w:t>
            </w:r>
            <w:r w:rsidR="009F6BD0">
              <w:rPr>
                <w:rFonts w:ascii="Verdana" w:hAnsi="Verdana"/>
                <w:b/>
                <w:bCs/>
                <w:smallCaps/>
                <w:sz w:val="18"/>
                <w:szCs w:val="18"/>
              </w:rPr>
              <w:t>8</w:t>
            </w:r>
            <w:bookmarkEnd w:id="73"/>
          </w:p>
        </w:tc>
        <w:tc>
          <w:tcPr>
            <w:tcW w:w="7796" w:type="dxa"/>
            <w:tcBorders>
              <w:top w:val="single" w:sz="4" w:space="0" w:color="auto"/>
              <w:left w:val="single" w:sz="4" w:space="0" w:color="auto"/>
              <w:bottom w:val="single" w:sz="4" w:space="0" w:color="auto"/>
              <w:right w:val="single" w:sz="4" w:space="0" w:color="auto"/>
            </w:tcBorders>
            <w:shd w:val="clear" w:color="auto" w:fill="00B0F0"/>
          </w:tcPr>
          <w:p w14:paraId="0D5ADA9E" w14:textId="2D5BE19A" w:rsidR="00D1251C" w:rsidRPr="00D1251C" w:rsidRDefault="00813DAF" w:rsidP="00D1251C">
            <w:pPr>
              <w:spacing w:after="60"/>
              <w:rPr>
                <w:rFonts w:ascii="Verdana" w:hAnsi="Verdana"/>
                <w:caps/>
                <w:sz w:val="18"/>
                <w:szCs w:val="18"/>
              </w:rPr>
            </w:pPr>
            <w:bookmarkStart w:id="74" w:name="I26"/>
            <w:r w:rsidRPr="3B80D187">
              <w:rPr>
                <w:rFonts w:ascii="Verdana" w:hAnsi="Verdana"/>
                <w:b/>
                <w:bCs/>
                <w:sz w:val="18"/>
                <w:szCs w:val="18"/>
              </w:rPr>
              <w:t>Indicator I.2</w:t>
            </w:r>
            <w:r w:rsidR="009F6BD0">
              <w:rPr>
                <w:rFonts w:ascii="Verdana" w:hAnsi="Verdana"/>
                <w:b/>
                <w:bCs/>
                <w:sz w:val="18"/>
                <w:szCs w:val="18"/>
              </w:rPr>
              <w:t>8</w:t>
            </w:r>
            <w:bookmarkEnd w:id="74"/>
            <w:r w:rsidRPr="3B80D187">
              <w:rPr>
                <w:rFonts w:ascii="Verdana" w:hAnsi="Verdana"/>
                <w:b/>
                <w:bCs/>
                <w:sz w:val="18"/>
                <w:szCs w:val="18"/>
              </w:rPr>
              <w:t xml:space="preserve"> Limiting anti</w:t>
            </w:r>
            <w:r w:rsidR="00CE3685" w:rsidRPr="3B80D187">
              <w:rPr>
                <w:rFonts w:ascii="Verdana" w:hAnsi="Verdana"/>
                <w:b/>
                <w:bCs/>
                <w:sz w:val="18"/>
                <w:szCs w:val="18"/>
              </w:rPr>
              <w:t>microbials</w:t>
            </w:r>
            <w:r w:rsidRPr="3B80D187">
              <w:rPr>
                <w:rFonts w:ascii="Verdana" w:hAnsi="Verdana"/>
                <w:b/>
                <w:bCs/>
                <w:sz w:val="18"/>
                <w:szCs w:val="18"/>
              </w:rPr>
              <w:t xml:space="preserve"> use in </w:t>
            </w:r>
            <w:r w:rsidR="00CE3685" w:rsidRPr="3B80D187">
              <w:rPr>
                <w:rFonts w:ascii="Verdana" w:hAnsi="Verdana"/>
                <w:b/>
                <w:bCs/>
                <w:sz w:val="18"/>
                <w:szCs w:val="18"/>
              </w:rPr>
              <w:t>farmed animals</w:t>
            </w:r>
            <w:r w:rsidRPr="00D1251C">
              <w:rPr>
                <w:rFonts w:ascii="Verdana" w:hAnsi="Verdana"/>
                <w:sz w:val="18"/>
                <w:szCs w:val="18"/>
              </w:rPr>
              <w:t>:</w:t>
            </w:r>
          </w:p>
          <w:p w14:paraId="7181872F" w14:textId="5D6AC5D6" w:rsidR="00FA7E72" w:rsidRPr="00C34DE9" w:rsidRDefault="00F91C28" w:rsidP="00051B8B">
            <w:pPr>
              <w:spacing w:after="60"/>
              <w:rPr>
                <w:rFonts w:ascii="Verdana" w:hAnsi="Verdana"/>
                <w:caps/>
                <w:sz w:val="18"/>
                <w:szCs w:val="18"/>
              </w:rPr>
            </w:pPr>
            <w:r>
              <w:rPr>
                <w:rFonts w:ascii="Verdana" w:hAnsi="Verdana"/>
                <w:sz w:val="18"/>
                <w:szCs w:val="18"/>
              </w:rPr>
              <w:t>Sales/use</w:t>
            </w:r>
            <w:r w:rsidR="00813DAF">
              <w:rPr>
                <w:rFonts w:ascii="Verdana" w:hAnsi="Verdana"/>
                <w:sz w:val="18"/>
                <w:szCs w:val="18"/>
              </w:rPr>
              <w:t xml:space="preserve"> </w:t>
            </w:r>
            <w:r w:rsidR="00CE3685">
              <w:rPr>
                <w:rFonts w:ascii="Verdana" w:hAnsi="Verdana"/>
                <w:sz w:val="18"/>
                <w:szCs w:val="18"/>
              </w:rPr>
              <w:t>of antimicrobials</w:t>
            </w:r>
            <w:r w:rsidR="00051B8B">
              <w:rPr>
                <w:rFonts w:ascii="Verdana" w:hAnsi="Verdana"/>
                <w:sz w:val="18"/>
                <w:szCs w:val="18"/>
              </w:rPr>
              <w:t>for</w:t>
            </w:r>
            <w:r w:rsidR="00051B8B" w:rsidRPr="00D1251C">
              <w:rPr>
                <w:rFonts w:ascii="Verdana" w:hAnsi="Verdana"/>
                <w:sz w:val="18"/>
                <w:szCs w:val="18"/>
              </w:rPr>
              <w:t xml:space="preserve"> </w:t>
            </w:r>
            <w:r w:rsidR="00813DAF" w:rsidRPr="00D1251C">
              <w:rPr>
                <w:rFonts w:ascii="Verdana" w:hAnsi="Verdana"/>
                <w:sz w:val="18"/>
                <w:szCs w:val="18"/>
              </w:rPr>
              <w:t>food</w:t>
            </w:r>
            <w:r w:rsidR="00051B8B">
              <w:rPr>
                <w:rFonts w:ascii="Verdana" w:hAnsi="Verdana"/>
                <w:sz w:val="18"/>
                <w:szCs w:val="18"/>
              </w:rPr>
              <w:t>-</w:t>
            </w:r>
            <w:r w:rsidR="00813DAF" w:rsidRPr="00D1251C">
              <w:rPr>
                <w:rFonts w:ascii="Verdana" w:hAnsi="Verdana"/>
                <w:sz w:val="18"/>
                <w:szCs w:val="18"/>
              </w:rPr>
              <w:t>producing animals</w:t>
            </w:r>
          </w:p>
        </w:tc>
      </w:tr>
      <w:tr w:rsidR="00FA7E72" w:rsidRPr="00C34DE9" w14:paraId="71E29B25" w14:textId="77777777" w:rsidTr="790C88FB">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3CCF6C3"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Indicator Name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9237F97" w14:textId="21A659A1" w:rsidR="00FA7E72" w:rsidRPr="00C34DE9" w:rsidRDefault="00CE3685" w:rsidP="3B80D187">
            <w:pPr>
              <w:spacing w:after="60"/>
              <w:jc w:val="center"/>
              <w:rPr>
                <w:rFonts w:ascii="Verdana" w:hAnsi="Verdana"/>
                <w:b/>
                <w:bCs/>
                <w:color w:val="808080"/>
                <w:sz w:val="18"/>
                <w:szCs w:val="18"/>
              </w:rPr>
            </w:pPr>
            <w:r w:rsidRPr="3B80D187">
              <w:rPr>
                <w:rFonts w:ascii="Verdana" w:hAnsi="Verdana"/>
                <w:b/>
                <w:bCs/>
                <w:sz w:val="18"/>
                <w:szCs w:val="18"/>
              </w:rPr>
              <w:t>S</w:t>
            </w:r>
            <w:r w:rsidR="006A57E0" w:rsidRPr="3B80D187">
              <w:rPr>
                <w:rFonts w:ascii="Verdana" w:hAnsi="Verdana"/>
                <w:b/>
                <w:bCs/>
                <w:sz w:val="18"/>
                <w:szCs w:val="18"/>
              </w:rPr>
              <w:t>ales</w:t>
            </w:r>
            <w:r w:rsidR="00F91C28">
              <w:rPr>
                <w:rFonts w:ascii="Verdana" w:hAnsi="Verdana"/>
                <w:b/>
                <w:bCs/>
                <w:sz w:val="18"/>
                <w:szCs w:val="18"/>
              </w:rPr>
              <w:t>/use</w:t>
            </w:r>
            <w:r w:rsidRPr="3B80D187">
              <w:rPr>
                <w:rFonts w:ascii="Verdana" w:hAnsi="Verdana"/>
                <w:b/>
                <w:bCs/>
                <w:sz w:val="18"/>
                <w:szCs w:val="18"/>
              </w:rPr>
              <w:t xml:space="preserve"> of antimicrobials</w:t>
            </w:r>
            <w:r w:rsidR="006A57E0" w:rsidRPr="3B80D187">
              <w:rPr>
                <w:rFonts w:ascii="Verdana" w:hAnsi="Verdana"/>
                <w:b/>
                <w:bCs/>
                <w:sz w:val="18"/>
                <w:szCs w:val="18"/>
              </w:rPr>
              <w:t xml:space="preserve"> in food producing animals </w:t>
            </w:r>
          </w:p>
        </w:tc>
      </w:tr>
      <w:tr w:rsidR="00FA7E72" w:rsidRPr="00C34DE9" w14:paraId="57D0693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1D66CBBC"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BA2B75A" w14:textId="77777777" w:rsidR="00FA7E72" w:rsidRPr="00C34DE9" w:rsidRDefault="00FA7E72" w:rsidP="00801053">
            <w:pPr>
              <w:spacing w:after="60"/>
              <w:jc w:val="both"/>
              <w:rPr>
                <w:rFonts w:ascii="Verdana" w:hAnsi="Verdana"/>
                <w:sz w:val="18"/>
                <w:szCs w:val="18"/>
              </w:rPr>
            </w:pPr>
            <w:r w:rsidRPr="00C34DE9">
              <w:rPr>
                <w:rFonts w:ascii="Verdana" w:hAnsi="Verdana"/>
                <w:sz w:val="18"/>
                <w:szCs w:val="18"/>
              </w:rPr>
              <w:t>This indicator refers to</w:t>
            </w:r>
            <w:r w:rsidRPr="00C34DE9">
              <w:rPr>
                <w:rFonts w:ascii="Verdana" w:hAnsi="Verdana" w:cs="Calibri"/>
                <w:sz w:val="18"/>
                <w:szCs w:val="18"/>
              </w:rPr>
              <w:t xml:space="preserve"> action to i</w:t>
            </w:r>
            <w:r w:rsidRPr="00C34DE9">
              <w:rPr>
                <w:rFonts w:ascii="Verdana" w:hAnsi="Verdana"/>
                <w:sz w:val="18"/>
                <w:szCs w:val="18"/>
              </w:rPr>
              <w:t>mprove the response of EU agriculture to societal demands on food and public health such as fighting antimicrobial resistance (AMR), promoting production of safe, nutritious and sustainable food, as well as animal welfare.</w:t>
            </w:r>
          </w:p>
          <w:p w14:paraId="7C60B92E" w14:textId="6B6CBD0D" w:rsidR="00FA7E72" w:rsidRPr="00D2508F" w:rsidRDefault="00D2508F" w:rsidP="00801053">
            <w:pPr>
              <w:pStyle w:val="RD-Indicatortabletext"/>
              <w:numPr>
                <w:ilvl w:val="0"/>
                <w:numId w:val="31"/>
              </w:numPr>
              <w:spacing w:after="60"/>
              <w:jc w:val="both"/>
              <w:rPr>
                <w:rFonts w:cs="Calibri"/>
                <w:sz w:val="18"/>
                <w:szCs w:val="18"/>
              </w:rPr>
            </w:pPr>
            <w:r w:rsidRPr="00D2508F">
              <w:rPr>
                <w:rFonts w:eastAsiaTheme="minorEastAsia" w:cs="Calibri"/>
                <w:sz w:val="18"/>
                <w:szCs w:val="18"/>
              </w:rPr>
              <w:t xml:space="preserve">Data available per calendar year for any given year by MS </w:t>
            </w:r>
          </w:p>
          <w:p w14:paraId="7A4F1977" w14:textId="77CB80FA" w:rsidR="00FA7E72" w:rsidRPr="00126F57" w:rsidRDefault="00D2508F" w:rsidP="00D2508F">
            <w:pPr>
              <w:pStyle w:val="RD-Indicatortabletext"/>
              <w:numPr>
                <w:ilvl w:val="0"/>
                <w:numId w:val="31"/>
              </w:numPr>
              <w:spacing w:after="60"/>
              <w:jc w:val="both"/>
              <w:rPr>
                <w:sz w:val="18"/>
                <w:szCs w:val="18"/>
              </w:rPr>
            </w:pPr>
            <w:r w:rsidRPr="00C34DE9">
              <w:rPr>
                <w:rFonts w:cs="Calibri"/>
                <w:sz w:val="18"/>
                <w:szCs w:val="18"/>
              </w:rPr>
              <w:t xml:space="preserve">Provided by total sales </w:t>
            </w:r>
            <w:r>
              <w:rPr>
                <w:sz w:val="18"/>
                <w:szCs w:val="18"/>
              </w:rPr>
              <w:t>for</w:t>
            </w:r>
            <w:r w:rsidRPr="00C34DE9">
              <w:rPr>
                <w:rFonts w:cs="Calibri"/>
                <w:sz w:val="18"/>
                <w:szCs w:val="18"/>
              </w:rPr>
              <w:t xml:space="preserve"> </w:t>
            </w:r>
            <w:r w:rsidRPr="00A03EAE">
              <w:rPr>
                <w:rFonts w:cs="Calibri"/>
                <w:sz w:val="18"/>
                <w:szCs w:val="18"/>
              </w:rPr>
              <w:t>food-producing animals</w:t>
            </w:r>
            <w:r>
              <w:rPr>
                <w:rFonts w:cs="Calibri"/>
                <w:sz w:val="18"/>
                <w:szCs w:val="18"/>
              </w:rPr>
              <w:t xml:space="preserve"> of </w:t>
            </w:r>
            <w:r w:rsidRPr="00C34DE9">
              <w:rPr>
                <w:sz w:val="18"/>
                <w:szCs w:val="18"/>
              </w:rPr>
              <w:t>veterinary medicinal products containing antimicrobial substances</w:t>
            </w:r>
            <w:r w:rsidR="00126F57">
              <w:rPr>
                <w:sz w:val="18"/>
                <w:szCs w:val="18"/>
              </w:rPr>
              <w:t>.</w:t>
            </w:r>
          </w:p>
          <w:p w14:paraId="7B5DC80C" w14:textId="47D1A166" w:rsidR="00126F57" w:rsidRPr="00C34DE9" w:rsidRDefault="00126F57" w:rsidP="00126F57">
            <w:pPr>
              <w:pStyle w:val="RD-Indicatortabletext"/>
              <w:spacing w:after="60"/>
              <w:jc w:val="both"/>
              <w:rPr>
                <w:sz w:val="18"/>
                <w:szCs w:val="18"/>
              </w:rPr>
            </w:pPr>
            <w:r w:rsidRPr="00D2508F">
              <w:rPr>
                <w:sz w:val="18"/>
                <w:szCs w:val="18"/>
              </w:rPr>
              <w:t xml:space="preserve">Quantity of antimicrobial active substances from veterinary medicinal products sold (product package level) corrected by a Population Correction Unit (PCU). </w:t>
            </w:r>
            <w:r w:rsidRPr="00C34DE9">
              <w:rPr>
                <w:sz w:val="18"/>
                <w:szCs w:val="18"/>
              </w:rPr>
              <w:t xml:space="preserve"> </w:t>
            </w:r>
          </w:p>
        </w:tc>
      </w:tr>
      <w:tr w:rsidR="00FA7E72" w:rsidRPr="00C34DE9" w14:paraId="48FCB3F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1627D83"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A75EC72" w14:textId="2A435B64" w:rsidR="00FA7E72" w:rsidRPr="00C34DE9" w:rsidRDefault="00D2508F" w:rsidP="5CB4B133">
            <w:pPr>
              <w:spacing w:after="60"/>
              <w:jc w:val="both"/>
              <w:rPr>
                <w:rFonts w:ascii="Verdana" w:hAnsi="Verdana"/>
                <w:b/>
                <w:bCs/>
                <w:sz w:val="18"/>
                <w:szCs w:val="18"/>
              </w:rPr>
            </w:pPr>
            <w:r w:rsidRPr="00D2508F">
              <w:rPr>
                <w:rFonts w:ascii="Verdana" w:hAnsi="Verdana"/>
                <w:sz w:val="18"/>
                <w:szCs w:val="18"/>
              </w:rPr>
              <w:t xml:space="preserve">Population Correction Unit (PCU). </w:t>
            </w:r>
            <w:r w:rsidR="00FA7E72" w:rsidRPr="00C34DE9">
              <w:rPr>
                <w:rFonts w:ascii="Verdana" w:hAnsi="Verdana"/>
                <w:sz w:val="18"/>
                <w:szCs w:val="18"/>
              </w:rPr>
              <w:t xml:space="preserve"> </w:t>
            </w:r>
          </w:p>
        </w:tc>
      </w:tr>
      <w:tr w:rsidR="00FA7E72" w:rsidRPr="00C34DE9" w14:paraId="5A0EB364"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21901F49" w14:textId="77777777" w:rsidR="00FA7E72" w:rsidRPr="00C34DE9" w:rsidRDefault="00FA7E72" w:rsidP="790C88FB">
            <w:pPr>
              <w:spacing w:after="60"/>
              <w:rPr>
                <w:rFonts w:ascii="Verdana" w:hAnsi="Verdana"/>
                <w:i/>
                <w:iCs/>
                <w:sz w:val="18"/>
                <w:szCs w:val="18"/>
              </w:rPr>
            </w:pPr>
            <w:r w:rsidRPr="5CB4B133">
              <w:rPr>
                <w:rFonts w:ascii="Verdana" w:hAnsi="Verdana"/>
                <w:b/>
                <w:bCs/>
                <w:sz w:val="18"/>
                <w:szCs w:val="18"/>
              </w:rPr>
              <w:t>Data source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10CFB3A" w14:textId="61924776" w:rsidR="00FA7E72" w:rsidRPr="00C34DE9" w:rsidRDefault="00FA7E72" w:rsidP="5CB4B133">
            <w:pPr>
              <w:spacing w:after="60"/>
              <w:jc w:val="both"/>
              <w:rPr>
                <w:rFonts w:ascii="Verdana" w:hAnsi="Verdana"/>
                <w:b/>
                <w:bCs/>
                <w:sz w:val="18"/>
                <w:szCs w:val="18"/>
              </w:rPr>
            </w:pPr>
            <w:r w:rsidRPr="00C34DE9">
              <w:rPr>
                <w:rFonts w:ascii="Verdana" w:eastAsia="Times New Roman" w:hAnsi="Verdana"/>
                <w:sz w:val="18"/>
                <w:szCs w:val="18"/>
              </w:rPr>
              <w:t xml:space="preserve">European Surveillance of Veterinary Antimicrobial Consumption (ESVAC) project, started by the European Medicines Agency (EMA) upon a request from the EC in 2009 to develop a harmonised approach for the collection and reporting of data on the use of antimicrobial agents in animals from EU Member States. </w:t>
            </w:r>
            <w:r w:rsidRPr="00C34DE9">
              <w:rPr>
                <w:rFonts w:ascii="Verdana" w:eastAsia="Times New Roman" w:hAnsi="Verdana"/>
                <w:sz w:val="18"/>
                <w:szCs w:val="18"/>
              </w:rPr>
              <w:br/>
            </w:r>
            <w:r w:rsidR="00D2508F" w:rsidRPr="00D2508F">
              <w:rPr>
                <w:rFonts w:ascii="Verdana" w:eastAsia="Times New Roman" w:hAnsi="Verdana"/>
                <w:sz w:val="18"/>
                <w:szCs w:val="18"/>
              </w:rPr>
              <w:t>Data is collected on a voluntary basis on sales of antimicrobial veterinary medicinal products (VMP) at package level from the EU Member States (MSs), EEA countries and Switzerland.</w:t>
            </w:r>
          </w:p>
        </w:tc>
      </w:tr>
      <w:tr w:rsidR="00FA7E72" w:rsidRPr="00C34DE9" w14:paraId="79DBACFF"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0104DC92" w14:textId="77777777" w:rsidR="00FA7E72" w:rsidRPr="00C34DE9" w:rsidRDefault="00FA7E72" w:rsidP="5CB4B133">
            <w:pPr>
              <w:spacing w:after="60"/>
              <w:rPr>
                <w:rFonts w:ascii="Verdana" w:hAnsi="Verdana"/>
                <w:b/>
                <w:b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1A631F1" w14:textId="33ABDF57" w:rsidR="00D2508F" w:rsidRPr="00221A02" w:rsidRDefault="00D2508F" w:rsidP="00D2508F">
            <w:pPr>
              <w:pStyle w:val="ListParagraph"/>
              <w:numPr>
                <w:ilvl w:val="0"/>
                <w:numId w:val="31"/>
              </w:numPr>
              <w:spacing w:after="60"/>
              <w:rPr>
                <w:rFonts w:ascii="Verdana" w:eastAsia="Times New Roman" w:hAnsi="Verdana"/>
                <w:sz w:val="18"/>
                <w:szCs w:val="18"/>
              </w:rPr>
            </w:pPr>
            <w:r w:rsidRPr="00801053">
              <w:rPr>
                <w:rFonts w:ascii="Verdana" w:eastAsia="Times New Roman" w:hAnsi="Verdana"/>
                <w:sz w:val="18"/>
                <w:szCs w:val="18"/>
              </w:rPr>
              <w:t>E</w:t>
            </w:r>
            <w:r>
              <w:rPr>
                <w:rFonts w:ascii="Verdana" w:eastAsia="Times New Roman" w:hAnsi="Verdana"/>
                <w:sz w:val="18"/>
                <w:szCs w:val="18"/>
              </w:rPr>
              <w:t>uropean One Health</w:t>
            </w:r>
            <w:r w:rsidRPr="00801053">
              <w:rPr>
                <w:rFonts w:ascii="Verdana" w:eastAsia="Times New Roman" w:hAnsi="Verdana"/>
                <w:sz w:val="18"/>
                <w:szCs w:val="18"/>
              </w:rPr>
              <w:t xml:space="preserve"> Action </w:t>
            </w:r>
            <w:r>
              <w:rPr>
                <w:rFonts w:ascii="Verdana" w:eastAsia="Times New Roman" w:hAnsi="Verdana"/>
                <w:sz w:val="18"/>
                <w:szCs w:val="18"/>
              </w:rPr>
              <w:t>P</w:t>
            </w:r>
            <w:r w:rsidRPr="00801053">
              <w:rPr>
                <w:rFonts w:ascii="Verdana" w:eastAsia="Times New Roman" w:hAnsi="Verdana"/>
                <w:sz w:val="18"/>
                <w:szCs w:val="18"/>
              </w:rPr>
              <w:t xml:space="preserve">lan </w:t>
            </w:r>
            <w:r>
              <w:rPr>
                <w:rFonts w:ascii="Verdana" w:eastAsia="Times New Roman" w:hAnsi="Verdana"/>
                <w:sz w:val="18"/>
                <w:szCs w:val="18"/>
              </w:rPr>
              <w:t>against</w:t>
            </w:r>
            <w:r w:rsidRPr="00801053">
              <w:rPr>
                <w:rFonts w:ascii="Verdana" w:eastAsia="Times New Roman" w:hAnsi="Verdana"/>
                <w:sz w:val="18"/>
                <w:szCs w:val="18"/>
              </w:rPr>
              <w:t xml:space="preserve"> </w:t>
            </w:r>
            <w:r>
              <w:rPr>
                <w:rFonts w:ascii="Verdana" w:eastAsia="Times New Roman" w:hAnsi="Verdana"/>
                <w:sz w:val="18"/>
                <w:szCs w:val="18"/>
              </w:rPr>
              <w:t>A</w:t>
            </w:r>
            <w:r w:rsidRPr="00801053">
              <w:rPr>
                <w:rFonts w:ascii="Verdana" w:eastAsia="Times New Roman" w:hAnsi="Verdana"/>
                <w:sz w:val="18"/>
                <w:szCs w:val="18"/>
              </w:rPr>
              <w:t xml:space="preserve">ntimicrobial </w:t>
            </w:r>
            <w:r>
              <w:rPr>
                <w:rFonts w:ascii="Verdana" w:eastAsia="Times New Roman" w:hAnsi="Verdana"/>
                <w:sz w:val="18"/>
                <w:szCs w:val="18"/>
              </w:rPr>
              <w:t>R</w:t>
            </w:r>
            <w:r w:rsidRPr="00801053">
              <w:rPr>
                <w:rFonts w:ascii="Verdana" w:eastAsia="Times New Roman" w:hAnsi="Verdana"/>
                <w:sz w:val="18"/>
                <w:szCs w:val="18"/>
              </w:rPr>
              <w:t xml:space="preserve">esistance </w:t>
            </w:r>
            <w:r>
              <w:rPr>
                <w:rFonts w:ascii="Verdana" w:eastAsia="Times New Roman" w:hAnsi="Verdana"/>
                <w:sz w:val="18"/>
                <w:szCs w:val="18"/>
              </w:rPr>
              <w:t>(</w:t>
            </w:r>
            <w:r w:rsidRPr="00801053">
              <w:rPr>
                <w:rFonts w:ascii="Verdana" w:eastAsia="Times New Roman" w:hAnsi="Verdana"/>
                <w:sz w:val="18"/>
                <w:szCs w:val="18"/>
              </w:rPr>
              <w:t>2017</w:t>
            </w:r>
            <w:r>
              <w:rPr>
                <w:rFonts w:ascii="Verdana" w:eastAsia="Times New Roman" w:hAnsi="Verdana"/>
                <w:sz w:val="18"/>
                <w:szCs w:val="18"/>
              </w:rPr>
              <w:t>)</w:t>
            </w:r>
            <w:r w:rsidRPr="00801053">
              <w:rPr>
                <w:rFonts w:ascii="Verdana" w:eastAsia="Times New Roman" w:hAnsi="Verdana"/>
                <w:sz w:val="18"/>
                <w:szCs w:val="18"/>
              </w:rPr>
              <w:br/>
            </w:r>
            <w:r w:rsidRPr="00545DE3">
              <w:t>https://eur-lex.europa.eu/legal-content/EN/TXT/?uri=CELEX:52017DC0339</w:t>
            </w:r>
            <w:r>
              <w:rPr>
                <w:rStyle w:val="Hyperlink"/>
                <w:rFonts w:ascii="Verdana" w:eastAsia="Times New Roman" w:hAnsi="Verdana"/>
                <w:sz w:val="18"/>
                <w:szCs w:val="18"/>
              </w:rPr>
              <w:t xml:space="preserve"> </w:t>
            </w:r>
          </w:p>
          <w:p w14:paraId="2FD69B2E" w14:textId="1EB038E9" w:rsidR="00D2508F" w:rsidRPr="00CD2570" w:rsidRDefault="00D2508F" w:rsidP="00D2508F">
            <w:pPr>
              <w:pStyle w:val="ListParagraph"/>
              <w:numPr>
                <w:ilvl w:val="0"/>
                <w:numId w:val="31"/>
              </w:numPr>
              <w:spacing w:after="0" w:line="240" w:lineRule="auto"/>
              <w:rPr>
                <w:rFonts w:ascii="Verdana" w:eastAsia="Times New Roman" w:hAnsi="Verdana"/>
                <w:sz w:val="18"/>
                <w:szCs w:val="18"/>
                <w:lang w:val="fr-BE"/>
              </w:rPr>
            </w:pPr>
            <w:r w:rsidRPr="00801053">
              <w:rPr>
                <w:rFonts w:ascii="Verdana" w:eastAsia="Times New Roman" w:hAnsi="Verdana"/>
                <w:sz w:val="18"/>
                <w:szCs w:val="18"/>
                <w:lang w:val="fr-BE"/>
              </w:rPr>
              <w:t>ESVAC interactive database</w:t>
            </w:r>
            <w:r w:rsidRPr="00801053">
              <w:rPr>
                <w:rFonts w:ascii="Verdana" w:eastAsia="Times New Roman" w:hAnsi="Verdana"/>
                <w:sz w:val="18"/>
                <w:szCs w:val="18"/>
                <w:lang w:val="fr-BE"/>
              </w:rPr>
              <w:br/>
            </w:r>
            <w:hyperlink r:id="rId209" w:history="1">
              <w:r w:rsidRPr="002645BC">
                <w:rPr>
                  <w:rStyle w:val="Hyperlink"/>
                  <w:rFonts w:ascii="Verdana" w:eastAsia="Times New Roman" w:hAnsi="Verdana"/>
                  <w:sz w:val="18"/>
                  <w:szCs w:val="18"/>
                  <w:lang w:val="fr-BE"/>
                </w:rPr>
                <w:t>https://esvacbi.ema.europa.eu/analytics/saw.dll?PortalPages</w:t>
              </w:r>
            </w:hyperlink>
            <w:r>
              <w:rPr>
                <w:rFonts w:ascii="Verdana" w:eastAsia="Times New Roman" w:hAnsi="Verdana"/>
                <w:sz w:val="18"/>
                <w:szCs w:val="18"/>
                <w:lang w:val="fr-BE"/>
              </w:rPr>
              <w:t xml:space="preserve"> </w:t>
            </w:r>
          </w:p>
          <w:p w14:paraId="5C1DAF51" w14:textId="570C0921" w:rsidR="00007995" w:rsidRPr="00A85A9D" w:rsidRDefault="00D2508F" w:rsidP="00D2508F">
            <w:pPr>
              <w:pStyle w:val="ListParagraph"/>
              <w:numPr>
                <w:ilvl w:val="0"/>
                <w:numId w:val="31"/>
              </w:numPr>
              <w:spacing w:after="0" w:line="240" w:lineRule="auto"/>
              <w:rPr>
                <w:i/>
                <w:iCs/>
              </w:rPr>
            </w:pPr>
            <w:r w:rsidRPr="00801053">
              <w:rPr>
                <w:rFonts w:ascii="Verdana" w:eastAsia="Times New Roman" w:hAnsi="Verdana"/>
                <w:sz w:val="18"/>
                <w:szCs w:val="18"/>
              </w:rPr>
              <w:t>ESVAC Annual Reports</w:t>
            </w:r>
            <w:r w:rsidR="00FA7E72" w:rsidRPr="00801053">
              <w:rPr>
                <w:rFonts w:ascii="Verdana" w:eastAsia="Times New Roman" w:hAnsi="Verdana"/>
                <w:sz w:val="18"/>
                <w:szCs w:val="18"/>
              </w:rPr>
              <w:br/>
            </w:r>
            <w:hyperlink r:id="rId210" w:anchor="annual" w:history="1">
              <w:r w:rsidR="00FA7E72" w:rsidRPr="00801053">
                <w:rPr>
                  <w:rStyle w:val="Hyperlink"/>
                  <w:rFonts w:ascii="Verdana" w:hAnsi="Verdana"/>
                  <w:sz w:val="18"/>
                  <w:szCs w:val="18"/>
                </w:rPr>
                <w:t>http://www.ema.europa.eu/ema/index.jsp?curl=pages/regulation/document_listing/document_listing_000302.jsp#annual</w:t>
              </w:r>
            </w:hyperlink>
          </w:p>
        </w:tc>
      </w:tr>
      <w:tr w:rsidR="00FA7E72" w:rsidRPr="00C34DE9" w:rsidDel="00F9611E" w14:paraId="402D87B6"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7B88B0D0" w14:textId="77777777" w:rsidR="00FA7E72"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F41745" w14:textId="42583FEA" w:rsidR="00FA7E72" w:rsidRPr="00C34DE9" w:rsidDel="00F9611E" w:rsidRDefault="00FA7E72" w:rsidP="00FA7E72">
            <w:pPr>
              <w:spacing w:after="60"/>
              <w:rPr>
                <w:rFonts w:ascii="Verdana" w:hAnsi="Verdana"/>
                <w:sz w:val="18"/>
                <w:szCs w:val="18"/>
              </w:rPr>
            </w:pPr>
            <w:r w:rsidRPr="00C34DE9">
              <w:rPr>
                <w:rFonts w:ascii="Verdana" w:hAnsi="Verdana"/>
                <w:sz w:val="18"/>
                <w:szCs w:val="18"/>
              </w:rPr>
              <w:t>EU,</w:t>
            </w:r>
            <w:r w:rsidR="00B3192B">
              <w:rPr>
                <w:rFonts w:ascii="Verdana" w:hAnsi="Verdana"/>
                <w:sz w:val="18"/>
                <w:szCs w:val="18"/>
              </w:rPr>
              <w:t xml:space="preserve"> National (NUTS 0),</w:t>
            </w:r>
            <w:r w:rsidRPr="00C34DE9">
              <w:rPr>
                <w:rFonts w:ascii="Verdana" w:hAnsi="Verdana"/>
                <w:sz w:val="18"/>
                <w:szCs w:val="18"/>
              </w:rPr>
              <w:t xml:space="preserve"> European Economic Area (EEA) </w:t>
            </w:r>
          </w:p>
        </w:tc>
      </w:tr>
      <w:tr w:rsidR="00FA7E72" w:rsidRPr="00C34DE9" w14:paraId="23E4ABC7" w14:textId="77777777" w:rsidTr="790C88FB">
        <w:trPr>
          <w:trHeight w:val="430"/>
        </w:trPr>
        <w:tc>
          <w:tcPr>
            <w:tcW w:w="2518" w:type="dxa"/>
            <w:tcBorders>
              <w:top w:val="single" w:sz="4" w:space="0" w:color="auto"/>
              <w:left w:val="single" w:sz="4" w:space="0" w:color="auto"/>
              <w:bottom w:val="single" w:sz="4" w:space="0" w:color="auto"/>
              <w:right w:val="single" w:sz="4" w:space="0" w:color="auto"/>
            </w:tcBorders>
            <w:vAlign w:val="center"/>
          </w:tcPr>
          <w:p w14:paraId="2DBC1C32"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Frequency</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4928428" w14:textId="77777777" w:rsidR="00FA7E72" w:rsidRPr="00C34DE9" w:rsidRDefault="00FA7E72" w:rsidP="00FA7E72">
            <w:pPr>
              <w:spacing w:after="60"/>
              <w:rPr>
                <w:rFonts w:ascii="Verdana" w:eastAsia="Times New Roman" w:hAnsi="Verdana"/>
                <w:sz w:val="18"/>
                <w:szCs w:val="18"/>
              </w:rPr>
            </w:pPr>
            <w:r w:rsidRPr="00C34DE9">
              <w:rPr>
                <w:rFonts w:ascii="Verdana" w:eastAsia="Times New Roman" w:hAnsi="Verdana"/>
                <w:sz w:val="18"/>
                <w:szCs w:val="18"/>
              </w:rPr>
              <w:t>Annual, from 2010 onwards</w:t>
            </w:r>
          </w:p>
        </w:tc>
      </w:tr>
      <w:tr w:rsidR="00FA7E72" w:rsidRPr="00C34DE9" w14:paraId="14F02941" w14:textId="77777777" w:rsidTr="790C88FB">
        <w:trPr>
          <w:trHeight w:val="518"/>
        </w:trPr>
        <w:tc>
          <w:tcPr>
            <w:tcW w:w="2518" w:type="dxa"/>
            <w:tcBorders>
              <w:top w:val="single" w:sz="4" w:space="0" w:color="auto"/>
              <w:left w:val="single" w:sz="4" w:space="0" w:color="auto"/>
              <w:bottom w:val="single" w:sz="4" w:space="0" w:color="auto"/>
              <w:right w:val="single" w:sz="4" w:space="0" w:color="auto"/>
            </w:tcBorders>
            <w:vAlign w:val="center"/>
          </w:tcPr>
          <w:p w14:paraId="169EC271" w14:textId="77777777" w:rsidR="00FA7E72"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3963806" w14:textId="77777777" w:rsidR="00FA7E72" w:rsidRPr="00C34DE9" w:rsidRDefault="00FA7E72" w:rsidP="00FA7E72">
            <w:pPr>
              <w:spacing w:after="60"/>
              <w:rPr>
                <w:rFonts w:ascii="Verdana" w:hAnsi="Verdana"/>
                <w:sz w:val="18"/>
                <w:szCs w:val="18"/>
                <w:lang w:val="en-US"/>
              </w:rPr>
            </w:pPr>
            <w:r w:rsidRPr="00C34DE9">
              <w:rPr>
                <w:rFonts w:ascii="Verdana" w:hAnsi="Verdana"/>
                <w:sz w:val="18"/>
                <w:szCs w:val="18"/>
                <w:lang w:val="en-US"/>
              </w:rPr>
              <w:t>2 years</w:t>
            </w:r>
          </w:p>
        </w:tc>
      </w:tr>
      <w:tr w:rsidR="00FA7E72" w:rsidRPr="00C34DE9" w14:paraId="56071442" w14:textId="77777777" w:rsidTr="790C88FB">
        <w:tc>
          <w:tcPr>
            <w:tcW w:w="2518" w:type="dxa"/>
            <w:tcBorders>
              <w:top w:val="single" w:sz="4" w:space="0" w:color="auto"/>
              <w:left w:val="single" w:sz="4" w:space="0" w:color="auto"/>
              <w:bottom w:val="single" w:sz="4" w:space="0" w:color="auto"/>
              <w:right w:val="single" w:sz="4" w:space="0" w:color="auto"/>
            </w:tcBorders>
            <w:vAlign w:val="center"/>
          </w:tcPr>
          <w:p w14:paraId="5C6B6BBE" w14:textId="77777777" w:rsidR="00FA7E72" w:rsidRPr="00C34DE9" w:rsidRDefault="00FA7E72" w:rsidP="5CB4B133">
            <w:pPr>
              <w:spacing w:after="60"/>
              <w:rPr>
                <w:rFonts w:ascii="Verdana" w:hAnsi="Verdana"/>
                <w:b/>
                <w:bCs/>
                <w:sz w:val="18"/>
                <w:szCs w:val="18"/>
              </w:rPr>
            </w:pPr>
            <w:r w:rsidRPr="5CB4B133">
              <w:rPr>
                <w:rFonts w:ascii="Verdana" w:hAnsi="Verdana"/>
                <w:b/>
                <w:bCs/>
                <w:sz w:val="18"/>
                <w:szCs w:val="18"/>
              </w:rPr>
              <w:t>Comments/caveats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58BFA1E" w14:textId="7AD79ADA" w:rsidR="00FA7E72" w:rsidRPr="00A85A9D" w:rsidRDefault="00D2508F" w:rsidP="00D2508F">
            <w:pPr>
              <w:pStyle w:val="ListParagraph"/>
              <w:numPr>
                <w:ilvl w:val="0"/>
                <w:numId w:val="94"/>
              </w:numPr>
              <w:spacing w:after="60"/>
              <w:jc w:val="both"/>
              <w:rPr>
                <w:rFonts w:ascii="Verdana" w:hAnsi="Verdana" w:cs="Calibri"/>
                <w:sz w:val="18"/>
                <w:szCs w:val="18"/>
              </w:rPr>
            </w:pPr>
            <w:r w:rsidRPr="0067790E">
              <w:rPr>
                <w:rFonts w:ascii="Verdana" w:hAnsi="Verdana"/>
                <w:sz w:val="18"/>
                <w:szCs w:val="18"/>
              </w:rPr>
              <w:t>Once the new Regulation (EU) 2019/6 on veterinary medicinal products is to be applied (January 2022), all MS are obliged to collect data on sales and use of antimicrobials in animals, to enable in particular the direct or indirect evaluation of their use in food-producing animals at farm level, follow</w:t>
            </w:r>
            <w:r w:rsidR="0067790E" w:rsidRPr="0067790E">
              <w:rPr>
                <w:rFonts w:ascii="Verdana" w:hAnsi="Verdana"/>
                <w:sz w:val="18"/>
                <w:szCs w:val="18"/>
              </w:rPr>
              <w:t>i</w:t>
            </w:r>
            <w:r w:rsidRPr="0067790E">
              <w:rPr>
                <w:rFonts w:ascii="Verdana" w:hAnsi="Verdana"/>
                <w:sz w:val="18"/>
                <w:szCs w:val="18"/>
              </w:rPr>
              <w:t>ng a stepwise approach for different animal species, within the time limits set.</w:t>
            </w:r>
            <w:r w:rsidRPr="0067790E">
              <w:rPr>
                <w:rStyle w:val="FootnoteReference"/>
                <w:rFonts w:ascii="Verdana" w:hAnsi="Verdana"/>
                <w:sz w:val="18"/>
                <w:szCs w:val="18"/>
              </w:rPr>
              <w:footnoteReference w:id="23"/>
            </w:r>
          </w:p>
        </w:tc>
      </w:tr>
    </w:tbl>
    <w:p w14:paraId="5A5A47B1" w14:textId="77777777" w:rsidR="00D447AC" w:rsidRPr="00C34DE9" w:rsidRDefault="00D447AC" w:rsidP="00D447AC">
      <w:r w:rsidRPr="00C34DE9">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654"/>
      </w:tblGrid>
      <w:tr w:rsidR="00FA7E72" w:rsidRPr="00C34DE9" w14:paraId="7700EA0B" w14:textId="77777777" w:rsidTr="240ABBB4">
        <w:tc>
          <w:tcPr>
            <w:tcW w:w="2660" w:type="dxa"/>
            <w:tcBorders>
              <w:top w:val="single" w:sz="4" w:space="0" w:color="auto"/>
              <w:left w:val="single" w:sz="4" w:space="0" w:color="auto"/>
              <w:bottom w:val="single" w:sz="4" w:space="0" w:color="auto"/>
              <w:right w:val="single" w:sz="4" w:space="0" w:color="auto"/>
            </w:tcBorders>
            <w:shd w:val="clear" w:color="auto" w:fill="00B0F0"/>
            <w:vAlign w:val="center"/>
          </w:tcPr>
          <w:p w14:paraId="05818D13" w14:textId="17B4291C" w:rsidR="00FA7E72" w:rsidRPr="00C34DE9" w:rsidRDefault="00FA7E72" w:rsidP="009F6BD0">
            <w:pPr>
              <w:spacing w:after="60"/>
              <w:rPr>
                <w:rFonts w:ascii="Verdana" w:hAnsi="Verdana"/>
                <w:b/>
                <w:bCs/>
                <w:sz w:val="18"/>
                <w:szCs w:val="18"/>
              </w:rPr>
            </w:pPr>
            <w:bookmarkStart w:id="75" w:name="C48"/>
            <w:r w:rsidRPr="5CB4B133">
              <w:rPr>
                <w:rFonts w:ascii="Verdana" w:hAnsi="Verdana"/>
                <w:b/>
                <w:bCs/>
                <w:smallCaps/>
                <w:sz w:val="18"/>
                <w:szCs w:val="18"/>
              </w:rPr>
              <w:lastRenderedPageBreak/>
              <w:t>Indicator C.4</w:t>
            </w:r>
            <w:r w:rsidR="009F6BD0">
              <w:rPr>
                <w:rFonts w:ascii="Verdana" w:hAnsi="Verdana"/>
                <w:b/>
                <w:bCs/>
                <w:smallCaps/>
                <w:sz w:val="18"/>
                <w:szCs w:val="18"/>
              </w:rPr>
              <w:t>9</w:t>
            </w:r>
            <w:bookmarkEnd w:id="75"/>
          </w:p>
        </w:tc>
        <w:tc>
          <w:tcPr>
            <w:tcW w:w="7654" w:type="dxa"/>
            <w:tcBorders>
              <w:top w:val="single" w:sz="4" w:space="0" w:color="auto"/>
              <w:left w:val="single" w:sz="4" w:space="0" w:color="auto"/>
              <w:bottom w:val="single" w:sz="4" w:space="0" w:color="auto"/>
              <w:right w:val="single" w:sz="4" w:space="0" w:color="auto"/>
            </w:tcBorders>
            <w:shd w:val="clear" w:color="auto" w:fill="00B0F0"/>
          </w:tcPr>
          <w:p w14:paraId="560DBC76" w14:textId="2F29B44B" w:rsidR="00813DAF" w:rsidRPr="00813DAF" w:rsidRDefault="00813DAF" w:rsidP="00813DAF">
            <w:pPr>
              <w:spacing w:after="60"/>
              <w:rPr>
                <w:rFonts w:ascii="Verdana" w:hAnsi="Verdana"/>
                <w:caps/>
                <w:sz w:val="18"/>
                <w:szCs w:val="18"/>
              </w:rPr>
            </w:pPr>
            <w:bookmarkStart w:id="76" w:name="I27"/>
            <w:r w:rsidRPr="3B80D187">
              <w:rPr>
                <w:rFonts w:ascii="Verdana" w:hAnsi="Verdana"/>
                <w:b/>
                <w:bCs/>
                <w:sz w:val="18"/>
                <w:szCs w:val="18"/>
              </w:rPr>
              <w:t>Indicator I.</w:t>
            </w:r>
            <w:r w:rsidR="009F6BD0">
              <w:rPr>
                <w:rFonts w:ascii="Verdana" w:hAnsi="Verdana"/>
                <w:b/>
                <w:bCs/>
                <w:sz w:val="18"/>
                <w:szCs w:val="18"/>
              </w:rPr>
              <w:t>18</w:t>
            </w:r>
            <w:bookmarkEnd w:id="76"/>
            <w:r w:rsidRPr="3B80D187">
              <w:rPr>
                <w:rFonts w:ascii="Verdana" w:hAnsi="Verdana"/>
                <w:b/>
                <w:bCs/>
                <w:sz w:val="18"/>
                <w:szCs w:val="18"/>
              </w:rPr>
              <w:t xml:space="preserve"> Sustainable </w:t>
            </w:r>
            <w:r w:rsidR="00CE3685" w:rsidRPr="3B80D187">
              <w:rPr>
                <w:rFonts w:ascii="Verdana" w:hAnsi="Verdana"/>
                <w:b/>
                <w:bCs/>
                <w:sz w:val="18"/>
                <w:szCs w:val="18"/>
              </w:rPr>
              <w:t xml:space="preserve">and reduced </w:t>
            </w:r>
            <w:r w:rsidRPr="3B80D187">
              <w:rPr>
                <w:rFonts w:ascii="Verdana" w:hAnsi="Verdana"/>
                <w:b/>
                <w:bCs/>
                <w:sz w:val="18"/>
                <w:szCs w:val="18"/>
              </w:rPr>
              <w:t>use of pesticides</w:t>
            </w:r>
            <w:r w:rsidRPr="00813DAF">
              <w:rPr>
                <w:rFonts w:ascii="Verdana" w:hAnsi="Verdana"/>
                <w:sz w:val="18"/>
                <w:szCs w:val="18"/>
              </w:rPr>
              <w:t>:</w:t>
            </w:r>
          </w:p>
          <w:p w14:paraId="6803DB4C" w14:textId="6C1478AB" w:rsidR="00FA7E72" w:rsidRPr="00C34DE9" w:rsidRDefault="00813DAF" w:rsidP="00CE3685">
            <w:pPr>
              <w:spacing w:after="60"/>
              <w:rPr>
                <w:rFonts w:ascii="Verdana" w:hAnsi="Verdana"/>
                <w:caps/>
                <w:sz w:val="18"/>
                <w:szCs w:val="18"/>
              </w:rPr>
            </w:pPr>
            <w:r>
              <w:rPr>
                <w:rFonts w:ascii="Verdana" w:hAnsi="Verdana"/>
                <w:sz w:val="18"/>
                <w:szCs w:val="18"/>
              </w:rPr>
              <w:t>R</w:t>
            </w:r>
            <w:r w:rsidRPr="00813DAF">
              <w:rPr>
                <w:rFonts w:ascii="Verdana" w:hAnsi="Verdana"/>
                <w:sz w:val="18"/>
                <w:szCs w:val="18"/>
              </w:rPr>
              <w:t>isks</w:t>
            </w:r>
            <w:r w:rsidR="00CE3685">
              <w:rPr>
                <w:rFonts w:ascii="Verdana" w:hAnsi="Verdana"/>
                <w:sz w:val="18"/>
                <w:szCs w:val="18"/>
              </w:rPr>
              <w:t>, use</w:t>
            </w:r>
            <w:r w:rsidRPr="00813DAF">
              <w:rPr>
                <w:rFonts w:ascii="Verdana" w:hAnsi="Verdana"/>
                <w:sz w:val="18"/>
                <w:szCs w:val="18"/>
              </w:rPr>
              <w:t xml:space="preserve"> and impacts of pesticides</w:t>
            </w:r>
          </w:p>
        </w:tc>
      </w:tr>
      <w:tr w:rsidR="00FA7E72" w:rsidRPr="00C34DE9" w14:paraId="20CF5AE5" w14:textId="77777777" w:rsidTr="240ABBB4">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6FC3A59B"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Indicator Name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FB5140F" w14:textId="0BA85BB4" w:rsidR="00FA7E72" w:rsidRPr="00C34DE9" w:rsidRDefault="00FA7E72" w:rsidP="3B80D187">
            <w:pPr>
              <w:spacing w:after="60"/>
              <w:jc w:val="center"/>
              <w:rPr>
                <w:rFonts w:ascii="Verdana" w:hAnsi="Verdana"/>
                <w:b/>
                <w:bCs/>
                <w:color w:val="808080"/>
                <w:sz w:val="18"/>
                <w:szCs w:val="18"/>
              </w:rPr>
            </w:pPr>
            <w:r w:rsidRPr="3B80D187">
              <w:rPr>
                <w:rFonts w:ascii="Verdana" w:hAnsi="Verdana"/>
                <w:b/>
                <w:bCs/>
                <w:sz w:val="18"/>
                <w:szCs w:val="18"/>
              </w:rPr>
              <w:t>Risk</w:t>
            </w:r>
            <w:r w:rsidR="00CE175B" w:rsidRPr="3B80D187">
              <w:rPr>
                <w:rFonts w:ascii="Verdana" w:hAnsi="Verdana"/>
                <w:b/>
                <w:bCs/>
                <w:sz w:val="18"/>
                <w:szCs w:val="18"/>
              </w:rPr>
              <w:t>, use</w:t>
            </w:r>
            <w:r w:rsidRPr="3B80D187">
              <w:rPr>
                <w:rFonts w:ascii="Verdana" w:hAnsi="Verdana"/>
                <w:b/>
                <w:bCs/>
                <w:sz w:val="18"/>
                <w:szCs w:val="18"/>
              </w:rPr>
              <w:t xml:space="preserve"> and impacts of pesticides </w:t>
            </w:r>
          </w:p>
        </w:tc>
      </w:tr>
      <w:tr w:rsidR="00FA7E72" w:rsidRPr="00C34DE9" w14:paraId="68BC1F66"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4DDEB5B1"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 xml:space="preserve">Definition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1F146E2" w14:textId="344AF53A" w:rsidR="005A4DDC" w:rsidRDefault="005A4DDC" w:rsidP="00801053">
            <w:pPr>
              <w:pStyle w:val="RD-Indicatortabletext"/>
              <w:spacing w:after="60"/>
              <w:jc w:val="both"/>
              <w:rPr>
                <w:rFonts w:cs="Calibri"/>
                <w:sz w:val="18"/>
                <w:szCs w:val="18"/>
              </w:rPr>
            </w:pPr>
            <w:r w:rsidRPr="00C34DE9">
              <w:rPr>
                <w:rFonts w:cs="Calibri"/>
                <w:sz w:val="18"/>
                <w:szCs w:val="18"/>
              </w:rPr>
              <w:t xml:space="preserve">It </w:t>
            </w:r>
            <w:r>
              <w:rPr>
                <w:rFonts w:cs="Calibri"/>
                <w:sz w:val="18"/>
                <w:szCs w:val="18"/>
              </w:rPr>
              <w:t xml:space="preserve">consists of </w:t>
            </w:r>
            <w:r w:rsidR="003F0F68">
              <w:rPr>
                <w:rFonts w:cs="Calibri"/>
                <w:sz w:val="18"/>
                <w:szCs w:val="18"/>
              </w:rPr>
              <w:t>3</w:t>
            </w:r>
            <w:r>
              <w:rPr>
                <w:rFonts w:cs="Calibri"/>
                <w:sz w:val="18"/>
                <w:szCs w:val="18"/>
              </w:rPr>
              <w:t xml:space="preserve"> specific indicators:</w:t>
            </w:r>
          </w:p>
          <w:p w14:paraId="4E231BA0" w14:textId="2CE8A13F" w:rsidR="005A4DDC" w:rsidRDefault="005A4DDC" w:rsidP="00730BAE">
            <w:pPr>
              <w:pStyle w:val="RD-Indicatortabletext"/>
              <w:numPr>
                <w:ilvl w:val="0"/>
                <w:numId w:val="112"/>
              </w:numPr>
              <w:spacing w:after="60"/>
              <w:jc w:val="both"/>
              <w:rPr>
                <w:rFonts w:cs="Calibri"/>
                <w:sz w:val="18"/>
                <w:szCs w:val="18"/>
              </w:rPr>
            </w:pPr>
            <w:r>
              <w:rPr>
                <w:rFonts w:cs="Calibri"/>
                <w:sz w:val="18"/>
                <w:szCs w:val="18"/>
              </w:rPr>
              <w:t>Sales of pesticides</w:t>
            </w:r>
          </w:p>
          <w:p w14:paraId="1F64A8B8" w14:textId="70A99268" w:rsidR="003F0F68" w:rsidRDefault="003F0F68" w:rsidP="00730BAE">
            <w:pPr>
              <w:pStyle w:val="RD-Indicatortabletext"/>
              <w:numPr>
                <w:ilvl w:val="0"/>
                <w:numId w:val="112"/>
              </w:numPr>
              <w:spacing w:after="60"/>
              <w:jc w:val="both"/>
              <w:rPr>
                <w:rFonts w:cs="Calibri"/>
                <w:sz w:val="18"/>
                <w:szCs w:val="18"/>
              </w:rPr>
            </w:pPr>
            <w:r>
              <w:rPr>
                <w:rFonts w:cs="Calibri"/>
                <w:sz w:val="18"/>
                <w:szCs w:val="18"/>
              </w:rPr>
              <w:t>The Harmonised Risk Indicator 1</w:t>
            </w:r>
          </w:p>
          <w:p w14:paraId="5B1C4CEE" w14:textId="35DD5BB1" w:rsidR="003F0F68" w:rsidRDefault="00F70270" w:rsidP="00730BAE">
            <w:pPr>
              <w:pStyle w:val="RD-Indicatortabletext"/>
              <w:numPr>
                <w:ilvl w:val="0"/>
                <w:numId w:val="112"/>
              </w:numPr>
              <w:spacing w:after="60"/>
              <w:jc w:val="both"/>
              <w:rPr>
                <w:rFonts w:cs="Calibri"/>
                <w:sz w:val="18"/>
                <w:szCs w:val="18"/>
              </w:rPr>
            </w:pPr>
            <w:r w:rsidRPr="00243E84">
              <w:rPr>
                <w:rFonts w:eastAsiaTheme="minorEastAsia" w:cs="Calibri"/>
                <w:sz w:val="18"/>
                <w:szCs w:val="18"/>
              </w:rPr>
              <w:t>Sales</w:t>
            </w:r>
            <w:r w:rsidR="003F0F68">
              <w:rPr>
                <w:rFonts w:cs="Calibri"/>
                <w:sz w:val="18"/>
                <w:szCs w:val="18"/>
              </w:rPr>
              <w:t xml:space="preserve"> of mo</w:t>
            </w:r>
            <w:r>
              <w:rPr>
                <w:rFonts w:cs="Calibri"/>
                <w:sz w:val="18"/>
                <w:szCs w:val="18"/>
              </w:rPr>
              <w:t>re</w:t>
            </w:r>
            <w:r w:rsidR="003F0F68">
              <w:rPr>
                <w:rFonts w:cs="Calibri"/>
                <w:sz w:val="18"/>
                <w:szCs w:val="18"/>
              </w:rPr>
              <w:t xml:space="preserve"> hazardous pesticides</w:t>
            </w:r>
          </w:p>
          <w:p w14:paraId="4FDD4AF6" w14:textId="77777777" w:rsidR="003F0F68" w:rsidRDefault="003F0F68" w:rsidP="003F0F68">
            <w:pPr>
              <w:pStyle w:val="RD-Indicatortabletext"/>
              <w:spacing w:after="60"/>
              <w:jc w:val="both"/>
              <w:rPr>
                <w:rFonts w:cs="Calibri"/>
                <w:sz w:val="18"/>
                <w:szCs w:val="18"/>
              </w:rPr>
            </w:pPr>
          </w:p>
          <w:p w14:paraId="67C03581" w14:textId="5C91B309" w:rsidR="003F0F68" w:rsidRDefault="003F0F68" w:rsidP="003F0F68">
            <w:pPr>
              <w:pStyle w:val="RD-Indicatortabletext"/>
              <w:spacing w:after="60"/>
              <w:jc w:val="both"/>
              <w:rPr>
                <w:rFonts w:cs="Calibri"/>
                <w:sz w:val="18"/>
                <w:szCs w:val="18"/>
              </w:rPr>
            </w:pPr>
            <w:r>
              <w:rPr>
                <w:rFonts w:cs="Calibri"/>
                <w:sz w:val="18"/>
                <w:szCs w:val="18"/>
              </w:rPr>
              <w:t>1: Sales of pesticides is a</w:t>
            </w:r>
            <w:r w:rsidR="00311B0C">
              <w:rPr>
                <w:rFonts w:cs="Calibri"/>
                <w:sz w:val="18"/>
                <w:szCs w:val="18"/>
              </w:rPr>
              <w:t xml:space="preserve"> proxy </w:t>
            </w:r>
            <w:r>
              <w:rPr>
                <w:rFonts w:cs="Calibri"/>
                <w:sz w:val="18"/>
                <w:szCs w:val="18"/>
              </w:rPr>
              <w:t xml:space="preserve">of pesticides </w:t>
            </w:r>
            <w:r w:rsidR="00BD0833">
              <w:rPr>
                <w:rFonts w:cs="Calibri"/>
                <w:sz w:val="18"/>
                <w:szCs w:val="18"/>
              </w:rPr>
              <w:t xml:space="preserve">use </w:t>
            </w:r>
            <w:r>
              <w:rPr>
                <w:rFonts w:cs="Calibri"/>
                <w:sz w:val="18"/>
                <w:szCs w:val="18"/>
              </w:rPr>
              <w:t xml:space="preserve">in agriculture. </w:t>
            </w:r>
            <w:r w:rsidRPr="003F0F68">
              <w:rPr>
                <w:rFonts w:cs="Calibri"/>
                <w:sz w:val="18"/>
                <w:szCs w:val="18"/>
              </w:rPr>
              <w:t xml:space="preserve">For this purpose, the indicator </w:t>
            </w:r>
            <w:r>
              <w:rPr>
                <w:rFonts w:cs="Calibri"/>
                <w:sz w:val="18"/>
                <w:szCs w:val="18"/>
              </w:rPr>
              <w:t xml:space="preserve">specifies sales of pesticides for each of the following </w:t>
            </w:r>
            <w:r w:rsidRPr="003F0F68">
              <w:rPr>
                <w:rFonts w:cs="Calibri"/>
                <w:sz w:val="18"/>
                <w:szCs w:val="18"/>
              </w:rPr>
              <w:t>categories: 'fungicides and bactericides', 'herbicides, haulm destructors and moss killers', 'insecticides and acaricides', 'molluscicides', 'plant growth regulators', and 'other plant protection products'.</w:t>
            </w:r>
          </w:p>
          <w:p w14:paraId="5C0F0562" w14:textId="5B19B0EE" w:rsidR="003F0F68" w:rsidRDefault="003F0F68" w:rsidP="003F0F68">
            <w:pPr>
              <w:pStyle w:val="RD-Indicatortabletext"/>
              <w:spacing w:after="60"/>
              <w:jc w:val="both"/>
              <w:rPr>
                <w:rFonts w:cs="Calibri"/>
                <w:sz w:val="18"/>
                <w:szCs w:val="18"/>
              </w:rPr>
            </w:pPr>
          </w:p>
          <w:p w14:paraId="03A57E45" w14:textId="0B9CFE10" w:rsidR="003F0F68" w:rsidRDefault="003F0F68" w:rsidP="003F0F68">
            <w:pPr>
              <w:pStyle w:val="RD-Indicatortabletext"/>
              <w:spacing w:after="60"/>
              <w:jc w:val="both"/>
              <w:rPr>
                <w:rFonts w:cs="Calibri"/>
                <w:sz w:val="18"/>
                <w:szCs w:val="18"/>
              </w:rPr>
            </w:pPr>
            <w:r>
              <w:rPr>
                <w:rFonts w:cs="Calibri"/>
                <w:sz w:val="18"/>
                <w:szCs w:val="18"/>
              </w:rPr>
              <w:t>NB: Sales data currently available</w:t>
            </w:r>
            <w:r w:rsidR="00AB120D">
              <w:rPr>
                <w:rFonts w:cs="Calibri"/>
                <w:sz w:val="18"/>
                <w:szCs w:val="18"/>
              </w:rPr>
              <w:t xml:space="preserve"> at EU level (Eurostat) covers both agricultural and non-agricultural activities. </w:t>
            </w:r>
            <w:r>
              <w:rPr>
                <w:rFonts w:cs="Calibri"/>
                <w:sz w:val="18"/>
                <w:szCs w:val="18"/>
              </w:rPr>
              <w:t xml:space="preserve"> </w:t>
            </w:r>
          </w:p>
          <w:p w14:paraId="605421B8" w14:textId="77777777" w:rsidR="003F0F68" w:rsidRDefault="003F0F68" w:rsidP="00801053">
            <w:pPr>
              <w:pStyle w:val="RD-Indicatortabletext"/>
              <w:spacing w:after="60"/>
              <w:jc w:val="both"/>
              <w:rPr>
                <w:rFonts w:cs="Calibri"/>
                <w:sz w:val="18"/>
                <w:szCs w:val="18"/>
              </w:rPr>
            </w:pPr>
          </w:p>
          <w:p w14:paraId="73ED3179" w14:textId="45CA7DED" w:rsidR="00FA7E72" w:rsidRPr="00C34DE9" w:rsidRDefault="005A4DDC" w:rsidP="00801053">
            <w:pPr>
              <w:pStyle w:val="RD-Indicatortabletext"/>
              <w:spacing w:after="60"/>
              <w:jc w:val="both"/>
              <w:rPr>
                <w:rFonts w:cs="Calibri"/>
                <w:sz w:val="18"/>
                <w:szCs w:val="18"/>
              </w:rPr>
            </w:pPr>
            <w:r>
              <w:rPr>
                <w:rFonts w:cs="Calibri"/>
                <w:sz w:val="18"/>
                <w:szCs w:val="18"/>
              </w:rPr>
              <w:t xml:space="preserve">2: </w:t>
            </w:r>
            <w:r w:rsidR="00FA7E72" w:rsidRPr="00C34DE9">
              <w:rPr>
                <w:rFonts w:cs="Calibri"/>
                <w:sz w:val="18"/>
                <w:szCs w:val="18"/>
              </w:rPr>
              <w:t>Th</w:t>
            </w:r>
            <w:r w:rsidR="009F08C9">
              <w:rPr>
                <w:rFonts w:cs="Calibri"/>
                <w:sz w:val="18"/>
                <w:szCs w:val="18"/>
              </w:rPr>
              <w:t>e Harmonised Risk indicator</w:t>
            </w:r>
            <w:r w:rsidR="002E5171">
              <w:rPr>
                <w:rFonts w:cs="Calibri"/>
                <w:sz w:val="18"/>
                <w:szCs w:val="18"/>
              </w:rPr>
              <w:t xml:space="preserve"> 1</w:t>
            </w:r>
            <w:r w:rsidR="009F08C9">
              <w:rPr>
                <w:rFonts w:cs="Calibri"/>
                <w:sz w:val="18"/>
                <w:szCs w:val="18"/>
              </w:rPr>
              <w:t xml:space="preserve"> </w:t>
            </w:r>
            <w:r w:rsidR="00FA7E72" w:rsidRPr="00C34DE9">
              <w:rPr>
                <w:rFonts w:cs="Calibri"/>
                <w:sz w:val="18"/>
                <w:szCs w:val="18"/>
              </w:rPr>
              <w:t>refers to the risk associated with pesticides</w:t>
            </w:r>
            <w:r w:rsidR="00D724CB">
              <w:rPr>
                <w:rFonts w:cs="Calibri"/>
                <w:sz w:val="18"/>
                <w:szCs w:val="18"/>
              </w:rPr>
              <w:t xml:space="preserve"> </w:t>
            </w:r>
            <w:r w:rsidR="00FA7E72" w:rsidRPr="00C34DE9">
              <w:rPr>
                <w:rFonts w:cs="Calibri"/>
                <w:sz w:val="18"/>
                <w:szCs w:val="18"/>
              </w:rPr>
              <w:t xml:space="preserve">and </w:t>
            </w:r>
            <w:r w:rsidR="009F08C9">
              <w:rPr>
                <w:rFonts w:cs="Calibri"/>
                <w:sz w:val="18"/>
                <w:szCs w:val="18"/>
              </w:rPr>
              <w:t xml:space="preserve">it is </w:t>
            </w:r>
            <w:r w:rsidR="00FA7E72" w:rsidRPr="00C34DE9">
              <w:rPr>
                <w:rFonts w:cs="Calibri"/>
                <w:sz w:val="18"/>
                <w:szCs w:val="18"/>
              </w:rPr>
              <w:t>based on Euro</w:t>
            </w:r>
            <w:r w:rsidR="00711936">
              <w:rPr>
                <w:rFonts w:cs="Calibri"/>
                <w:sz w:val="18"/>
                <w:szCs w:val="18"/>
              </w:rPr>
              <w:t>pean</w:t>
            </w:r>
            <w:r w:rsidR="00FA7E72" w:rsidRPr="00C34DE9">
              <w:rPr>
                <w:rFonts w:cs="Calibri"/>
                <w:sz w:val="18"/>
                <w:szCs w:val="18"/>
              </w:rPr>
              <w:t xml:space="preserve"> Statistics on the placing on the market of pesticides</w:t>
            </w:r>
            <w:r w:rsidR="00C01DA8">
              <w:rPr>
                <w:rFonts w:cs="Calibri"/>
                <w:sz w:val="18"/>
                <w:szCs w:val="18"/>
              </w:rPr>
              <w:t>. The indicator is</w:t>
            </w:r>
            <w:r w:rsidR="00FA7E72" w:rsidRPr="00C34DE9">
              <w:rPr>
                <w:rFonts w:cs="Calibri"/>
                <w:sz w:val="18"/>
                <w:szCs w:val="18"/>
              </w:rPr>
              <w:t xml:space="preserve"> available at EU and MS level.</w:t>
            </w:r>
          </w:p>
          <w:p w14:paraId="6D8FD78E" w14:textId="10324A8A" w:rsidR="00FA7E72" w:rsidRPr="00C34DE9" w:rsidRDefault="00FA7E72" w:rsidP="00801053">
            <w:pPr>
              <w:pStyle w:val="RD-Indicatortabletext"/>
              <w:spacing w:after="60"/>
              <w:jc w:val="both"/>
              <w:rPr>
                <w:rFonts w:cs="Calibri"/>
                <w:sz w:val="18"/>
                <w:szCs w:val="18"/>
              </w:rPr>
            </w:pPr>
            <w:r w:rsidRPr="00C34DE9">
              <w:rPr>
                <w:rFonts w:cs="Calibri"/>
                <w:sz w:val="18"/>
                <w:szCs w:val="18"/>
              </w:rPr>
              <w:t xml:space="preserve">Sales data collected by Eurostat are categorised and weighted based on the </w:t>
            </w:r>
            <w:r w:rsidR="00711936">
              <w:rPr>
                <w:rFonts w:cs="Calibri"/>
                <w:sz w:val="18"/>
                <w:szCs w:val="18"/>
              </w:rPr>
              <w:t xml:space="preserve">regulatory status </w:t>
            </w:r>
            <w:r w:rsidRPr="00C34DE9">
              <w:rPr>
                <w:rFonts w:cs="Calibri"/>
                <w:sz w:val="18"/>
                <w:szCs w:val="18"/>
              </w:rPr>
              <w:t>of the active substances</w:t>
            </w:r>
            <w:r w:rsidR="00711936">
              <w:rPr>
                <w:rFonts w:cs="Calibri"/>
                <w:sz w:val="18"/>
                <w:szCs w:val="18"/>
              </w:rPr>
              <w:t xml:space="preserve"> under Regulation (EC) </w:t>
            </w:r>
            <w:r w:rsidR="00A600C2">
              <w:rPr>
                <w:rFonts w:cs="Calibri"/>
                <w:sz w:val="18"/>
                <w:szCs w:val="18"/>
              </w:rPr>
              <w:t xml:space="preserve">No </w:t>
            </w:r>
            <w:r w:rsidR="00711936">
              <w:rPr>
                <w:rFonts w:cs="Calibri"/>
                <w:sz w:val="18"/>
                <w:szCs w:val="18"/>
              </w:rPr>
              <w:t>1107/2009. The resulting weights are aggregated according to the Commission Directive (EU) 2019/782</w:t>
            </w:r>
            <w:r w:rsidRPr="00C34DE9">
              <w:rPr>
                <w:rFonts w:cs="Calibri"/>
                <w:sz w:val="18"/>
                <w:szCs w:val="18"/>
              </w:rPr>
              <w:t xml:space="preserve"> resulting in a harmonised, EU wide indicator.</w:t>
            </w:r>
          </w:p>
          <w:p w14:paraId="424D524E" w14:textId="41595F00" w:rsidR="00FA7E72" w:rsidRPr="00C34DE9" w:rsidRDefault="007242EB" w:rsidP="00801053">
            <w:pPr>
              <w:pStyle w:val="RD-Indicatortabletext"/>
              <w:spacing w:after="60"/>
              <w:jc w:val="both"/>
              <w:rPr>
                <w:rFonts w:cs="Calibri"/>
                <w:sz w:val="18"/>
                <w:szCs w:val="18"/>
              </w:rPr>
            </w:pPr>
            <w:r w:rsidRPr="00AB120D">
              <w:rPr>
                <w:sz w:val="18"/>
                <w:szCs w:val="18"/>
              </w:rPr>
              <w:t>Methodology for categorisation and weighting is based on the definition in Annex IV to the Directive 2009/128/EC (adopted by the Commission in May 2019)</w:t>
            </w:r>
          </w:p>
          <w:p w14:paraId="6068DE70" w14:textId="77777777" w:rsidR="00FA7E72" w:rsidRDefault="00FA7E72" w:rsidP="00801053">
            <w:pPr>
              <w:pStyle w:val="RD-Indicatortabletext"/>
              <w:spacing w:after="60"/>
              <w:jc w:val="both"/>
              <w:rPr>
                <w:rFonts w:cs="Calibri"/>
                <w:sz w:val="18"/>
                <w:szCs w:val="18"/>
              </w:rPr>
            </w:pPr>
            <w:r w:rsidRPr="00C34DE9">
              <w:rPr>
                <w:rFonts w:cs="Calibri"/>
                <w:sz w:val="18"/>
                <w:szCs w:val="18"/>
              </w:rPr>
              <w:t>NB: All references to pesticides refer to plant protection products only. Biocides are included in the term pesticides, but data on biocides are not included in this indicator.</w:t>
            </w:r>
          </w:p>
          <w:p w14:paraId="16F62878" w14:textId="77777777" w:rsidR="00AB120D" w:rsidRDefault="00AB120D" w:rsidP="00801053">
            <w:pPr>
              <w:pStyle w:val="RD-Indicatortabletext"/>
              <w:spacing w:after="60"/>
              <w:jc w:val="both"/>
              <w:rPr>
                <w:rFonts w:cs="Calibri"/>
                <w:sz w:val="18"/>
                <w:szCs w:val="18"/>
              </w:rPr>
            </w:pPr>
          </w:p>
          <w:p w14:paraId="1CC601F4" w14:textId="74035FEF" w:rsidR="00F70270" w:rsidRPr="00F70270" w:rsidRDefault="00F70270" w:rsidP="00F70270">
            <w:pPr>
              <w:spacing w:after="60" w:line="240" w:lineRule="auto"/>
              <w:jc w:val="both"/>
              <w:rPr>
                <w:rFonts w:ascii="Verdana" w:eastAsia="Times New Roman" w:hAnsi="Verdana" w:cs="Calibri"/>
                <w:sz w:val="18"/>
                <w:szCs w:val="18"/>
              </w:rPr>
            </w:pPr>
            <w:r w:rsidRPr="00F70270">
              <w:rPr>
                <w:rFonts w:ascii="Verdana" w:eastAsia="Times New Roman" w:hAnsi="Verdana" w:cs="Calibri"/>
                <w:sz w:val="18"/>
                <w:szCs w:val="18"/>
              </w:rPr>
              <w:t xml:space="preserve">3: Sales of more hazardous pesticides </w:t>
            </w:r>
          </w:p>
          <w:p w14:paraId="2B5B4D95" w14:textId="5EB2A5B6" w:rsidR="002E5171" w:rsidRPr="00C34DE9" w:rsidRDefault="00F70270" w:rsidP="00F70270">
            <w:pPr>
              <w:pStyle w:val="RD-Indicatortabletext"/>
              <w:spacing w:after="60"/>
              <w:jc w:val="both"/>
              <w:rPr>
                <w:sz w:val="18"/>
                <w:szCs w:val="18"/>
              </w:rPr>
            </w:pPr>
            <w:r w:rsidRPr="016CD91E">
              <w:rPr>
                <w:rFonts w:asciiTheme="minorHAnsi" w:eastAsiaTheme="minorEastAsia" w:hAnsiTheme="minorHAnsi" w:cstheme="minorBidi"/>
                <w:sz w:val="22"/>
                <w:szCs w:val="22"/>
              </w:rPr>
              <w:t xml:space="preserve">These are active substances that meet the cut-off criteria as set out in points 3.6.2. to 3.6.5 and 3.8.2 of Annex II to </w:t>
            </w:r>
            <w:hyperlink r:id="rId211" w:history="1">
              <w:r w:rsidRPr="016CD91E">
                <w:rPr>
                  <w:rFonts w:asciiTheme="minorHAnsi" w:eastAsiaTheme="minorEastAsia" w:hAnsiTheme="minorHAnsi" w:cstheme="minorBidi"/>
                  <w:color w:val="0000FF"/>
                  <w:sz w:val="22"/>
                  <w:szCs w:val="22"/>
                  <w:u w:val="single"/>
                </w:rPr>
                <w:t>Regulation (EC) No 1107/2009</w:t>
              </w:r>
            </w:hyperlink>
            <w:r w:rsidRPr="016CD91E">
              <w:rPr>
                <w:rFonts w:asciiTheme="minorHAnsi" w:eastAsiaTheme="minorEastAsia" w:hAnsiTheme="minorHAnsi" w:cstheme="minorBidi"/>
                <w:sz w:val="22"/>
                <w:szCs w:val="22"/>
              </w:rPr>
              <w:t xml:space="preserve"> or active substances approved  as candidates for substitution in accordance with the criteria in point 4 of that Annex.</w:t>
            </w:r>
            <w:r w:rsidRPr="016CD91E" w:rsidDel="00985148">
              <w:rPr>
                <w:rFonts w:asciiTheme="minorHAnsi" w:eastAsiaTheme="minorEastAsia" w:hAnsiTheme="minorHAnsi" w:cstheme="minorBidi"/>
                <w:sz w:val="22"/>
                <w:szCs w:val="22"/>
              </w:rPr>
              <w:t xml:space="preserve"> </w:t>
            </w:r>
            <w:r w:rsidRPr="00243E84">
              <w:rPr>
                <w:rFonts w:asciiTheme="minorHAnsi" w:eastAsiaTheme="minorEastAsia" w:hAnsiTheme="minorHAnsi" w:cstheme="minorBidi"/>
                <w:sz w:val="22"/>
                <w:szCs w:val="22"/>
              </w:rPr>
              <w:t>For plant protection products containing active substances that are candidates for substitution, Member States are required, when assessing an application for an authorisation, to evaluate if they can be replaced (substituted) by other adequate and less hazardous solutions (chemical or non-chemical).</w:t>
            </w:r>
          </w:p>
        </w:tc>
      </w:tr>
      <w:tr w:rsidR="00FA7E72" w:rsidRPr="00C34DE9" w14:paraId="5328EEE6"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140D76D5" w14:textId="77777777" w:rsidR="00FA7E72" w:rsidRPr="00C34DE9" w:rsidRDefault="00FA7E72" w:rsidP="790C88FB">
            <w:pPr>
              <w:spacing w:after="60"/>
              <w:rPr>
                <w:rFonts w:ascii="Verdana" w:hAnsi="Verdana"/>
                <w:b/>
                <w:bCs/>
                <w:i/>
                <w:iCs/>
                <w:sz w:val="18"/>
                <w:szCs w:val="18"/>
              </w:rPr>
            </w:pPr>
            <w:r w:rsidRPr="5CB4B133">
              <w:rPr>
                <w:rFonts w:ascii="Verdana" w:hAnsi="Verdana"/>
                <w:b/>
                <w:bCs/>
                <w:sz w:val="18"/>
                <w:szCs w:val="18"/>
              </w:rPr>
              <w:t>Unit of measurement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B784D2" w14:textId="77777777" w:rsidR="00F70270" w:rsidRPr="00F70270" w:rsidRDefault="00F70270" w:rsidP="00F70270">
            <w:pPr>
              <w:spacing w:after="60"/>
              <w:rPr>
                <w:rFonts w:ascii="Verdana" w:hAnsi="Verdana"/>
                <w:sz w:val="18"/>
                <w:szCs w:val="18"/>
              </w:rPr>
            </w:pPr>
            <w:r w:rsidRPr="00F70270">
              <w:rPr>
                <w:rFonts w:ascii="Verdana" w:hAnsi="Verdana"/>
                <w:sz w:val="18"/>
                <w:szCs w:val="18"/>
              </w:rPr>
              <w:t>1: kg</w:t>
            </w:r>
          </w:p>
          <w:p w14:paraId="186F380B" w14:textId="36151F86" w:rsidR="00F70270" w:rsidRPr="00F70270" w:rsidRDefault="00F70270" w:rsidP="00F70270">
            <w:pPr>
              <w:spacing w:after="60"/>
              <w:rPr>
                <w:rFonts w:ascii="Verdana" w:hAnsi="Verdana"/>
                <w:sz w:val="18"/>
                <w:szCs w:val="18"/>
              </w:rPr>
            </w:pPr>
            <w:r w:rsidRPr="00F70270">
              <w:rPr>
                <w:rFonts w:ascii="Verdana" w:hAnsi="Verdana"/>
                <w:sz w:val="18"/>
                <w:szCs w:val="18"/>
              </w:rPr>
              <w:t>2: Index based on annual quantities of active substances placed on the market in the form of plant protection products multiplied by the relevant weights</w:t>
            </w:r>
          </w:p>
          <w:p w14:paraId="7DC5C9F8" w14:textId="636738A3" w:rsidR="00F70270" w:rsidRPr="00F70270" w:rsidRDefault="00F70270" w:rsidP="00F70270">
            <w:pPr>
              <w:numPr>
                <w:ilvl w:val="0"/>
                <w:numId w:val="114"/>
              </w:numPr>
              <w:spacing w:after="60"/>
              <w:contextualSpacing/>
              <w:rPr>
                <w:rFonts w:ascii="Verdana" w:hAnsi="Verdana"/>
                <w:sz w:val="18"/>
                <w:szCs w:val="18"/>
              </w:rPr>
            </w:pPr>
            <w:r w:rsidRPr="00F70270" w:rsidDel="00992B67">
              <w:rPr>
                <w:rFonts w:ascii="Verdana" w:hAnsi="Verdana"/>
                <w:sz w:val="18"/>
                <w:szCs w:val="18"/>
              </w:rPr>
              <w:t>(</w:t>
            </w:r>
            <w:r w:rsidRPr="00F70270">
              <w:rPr>
                <w:rFonts w:ascii="Verdana" w:hAnsi="Verdana"/>
                <w:sz w:val="18"/>
                <w:szCs w:val="18"/>
              </w:rPr>
              <w:t>= average for the period 2011-2013)</w:t>
            </w:r>
          </w:p>
          <w:p w14:paraId="519819F7" w14:textId="27E23657" w:rsidR="00AB120D" w:rsidRPr="00992B67" w:rsidRDefault="00F70270" w:rsidP="00F70270">
            <w:pPr>
              <w:spacing w:after="60"/>
              <w:rPr>
                <w:rFonts w:ascii="Verdana" w:hAnsi="Verdana"/>
                <w:b/>
                <w:bCs/>
                <w:sz w:val="18"/>
                <w:szCs w:val="18"/>
              </w:rPr>
            </w:pPr>
            <w:r w:rsidRPr="00F70270">
              <w:t>3: kg</w:t>
            </w:r>
          </w:p>
        </w:tc>
      </w:tr>
      <w:tr w:rsidR="00FA7E72" w:rsidRPr="00C34DE9" w14:paraId="1836AE85"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6461C30C" w14:textId="77777777" w:rsidR="00FA7E72" w:rsidRPr="00C34DE9" w:rsidRDefault="00FA7E72" w:rsidP="790C88FB">
            <w:pPr>
              <w:spacing w:after="60"/>
              <w:rPr>
                <w:rFonts w:ascii="Verdana" w:hAnsi="Verdana"/>
                <w:i/>
                <w:iCs/>
                <w:sz w:val="18"/>
                <w:szCs w:val="18"/>
              </w:rPr>
            </w:pPr>
            <w:r w:rsidRPr="5CB4B133">
              <w:rPr>
                <w:rFonts w:ascii="Verdana" w:hAnsi="Verdana"/>
                <w:b/>
                <w:bCs/>
                <w:sz w:val="18"/>
                <w:szCs w:val="18"/>
              </w:rPr>
              <w:t>Data source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7EB06D4" w14:textId="09F4A0B5" w:rsidR="009336D2" w:rsidRPr="009336D2" w:rsidRDefault="009336D2" w:rsidP="009336D2">
            <w:pPr>
              <w:spacing w:after="60"/>
              <w:jc w:val="both"/>
              <w:rPr>
                <w:rFonts w:ascii="Verdana" w:hAnsi="Verdana"/>
                <w:sz w:val="18"/>
                <w:szCs w:val="18"/>
              </w:rPr>
            </w:pPr>
            <w:r>
              <w:t xml:space="preserve">1-3: </w:t>
            </w:r>
            <w:r w:rsidR="00F70270">
              <w:t>Eurostat</w:t>
            </w:r>
            <w:r w:rsidR="26285C99" w:rsidRPr="44EE2C11">
              <w:t xml:space="preserve"> </w:t>
            </w:r>
          </w:p>
          <w:p w14:paraId="6A6CC428" w14:textId="2BD1DE76" w:rsidR="00F70270" w:rsidRPr="009336D2" w:rsidRDefault="00AA07F1" w:rsidP="009336D2">
            <w:pPr>
              <w:spacing w:after="60"/>
              <w:jc w:val="both"/>
              <w:rPr>
                <w:rFonts w:ascii="Verdana" w:eastAsia="Times New Roman" w:hAnsi="Verdana"/>
                <w:sz w:val="18"/>
                <w:szCs w:val="18"/>
              </w:rPr>
            </w:pPr>
            <w:hyperlink r:id="rId212" w:history="1">
              <w:r w:rsidR="007242EB" w:rsidRPr="009336D2">
                <w:rPr>
                  <w:rStyle w:val="Hyperlink"/>
                </w:rPr>
                <w:t>https://ec.europa.eu/food/plants/pesticides/sustainable-use-pesticides/harmonised-risk-indicators/trends-harmonised-risk-0_en</w:t>
              </w:r>
            </w:hyperlink>
            <w:r w:rsidR="007242EB" w:rsidRPr="009336D2">
              <w:t xml:space="preserve"> </w:t>
            </w:r>
          </w:p>
          <w:p w14:paraId="158486DE" w14:textId="75AC77B6" w:rsidR="00AB120D" w:rsidRPr="009336D2" w:rsidRDefault="009336D2" w:rsidP="009336D2">
            <w:pPr>
              <w:spacing w:after="60"/>
              <w:jc w:val="both"/>
              <w:rPr>
                <w:rFonts w:ascii="Verdana" w:eastAsia="Times New Roman" w:hAnsi="Verdana"/>
                <w:sz w:val="18"/>
                <w:szCs w:val="18"/>
              </w:rPr>
            </w:pPr>
            <w:r>
              <w:rPr>
                <w:rFonts w:ascii="Verdana" w:hAnsi="Verdana"/>
                <w:sz w:val="18"/>
                <w:szCs w:val="18"/>
              </w:rPr>
              <w:t>All data n</w:t>
            </w:r>
            <w:r w:rsidR="00F70270" w:rsidRPr="009336D2">
              <w:rPr>
                <w:rFonts w:ascii="Verdana" w:hAnsi="Verdana"/>
                <w:sz w:val="18"/>
                <w:szCs w:val="18"/>
              </w:rPr>
              <w:t xml:space="preserve">ot publicly available yet due to confidentiality reasons, but currently </w:t>
            </w:r>
            <w:r w:rsidR="00F70270" w:rsidRPr="009336D2">
              <w:rPr>
                <w:rFonts w:ascii="Verdana" w:hAnsi="Verdana"/>
                <w:sz w:val="18"/>
                <w:szCs w:val="18"/>
              </w:rPr>
              <w:lastRenderedPageBreak/>
              <w:t xml:space="preserve">being addressed with the revision of </w:t>
            </w:r>
            <w:r w:rsidR="41E2BE88" w:rsidRPr="009336D2">
              <w:rPr>
                <w:rFonts w:ascii="Verdana" w:hAnsi="Verdana"/>
                <w:sz w:val="18"/>
                <w:szCs w:val="18"/>
              </w:rPr>
              <w:t>anne</w:t>
            </w:r>
            <w:r w:rsidR="7C1DAD68" w:rsidRPr="009336D2">
              <w:rPr>
                <w:rFonts w:ascii="Verdana" w:hAnsi="Verdana"/>
                <w:sz w:val="18"/>
                <w:szCs w:val="18"/>
              </w:rPr>
              <w:t xml:space="preserve">x 2 of </w:t>
            </w:r>
            <w:r w:rsidR="00F70270" w:rsidRPr="009336D2">
              <w:rPr>
                <w:rFonts w:ascii="Verdana" w:hAnsi="Verdana"/>
                <w:sz w:val="18"/>
                <w:szCs w:val="18"/>
              </w:rPr>
              <w:t xml:space="preserve">Reg. (EC) No 1185/2009 concerning statistics on pesticides to overcome this problem and ensure that data will be publicly available. </w:t>
            </w:r>
            <w:r w:rsidR="00F70270" w:rsidRPr="009336D2">
              <w:rPr>
                <w:rFonts w:ascii="Verdana" w:eastAsia="Times New Roman" w:hAnsi="Verdana"/>
                <w:sz w:val="18"/>
                <w:szCs w:val="18"/>
              </w:rPr>
              <w:t xml:space="preserve">The trends (compared to a baseline of 100, rather than expressed in kg) for the EU, and for MS that agreed to have their national trends published, are available at the following webpage: </w:t>
            </w:r>
            <w:hyperlink r:id="rId213" w:history="1">
              <w:r w:rsidR="00F70270" w:rsidRPr="009336D2">
                <w:rPr>
                  <w:rStyle w:val="Hyperlink"/>
                  <w:rFonts w:ascii="Verdana" w:eastAsia="Times New Roman" w:hAnsi="Verdana"/>
                  <w:sz w:val="18"/>
                  <w:szCs w:val="18"/>
                </w:rPr>
                <w:t>https://ec.europa.eu/food/plants/pesticides/sustainable-use-pesticides/farm-fork-targets-progress_en</w:t>
              </w:r>
            </w:hyperlink>
            <w:r w:rsidR="00F70270" w:rsidRPr="009336D2">
              <w:rPr>
                <w:rFonts w:ascii="Verdana" w:eastAsia="Times New Roman" w:hAnsi="Verdana"/>
                <w:sz w:val="18"/>
                <w:szCs w:val="18"/>
              </w:rPr>
              <w:t xml:space="preserve"> </w:t>
            </w:r>
          </w:p>
        </w:tc>
      </w:tr>
      <w:tr w:rsidR="006A57E0" w:rsidRPr="00C34DE9" w14:paraId="20709D28"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04D1DCD1" w14:textId="77777777" w:rsidR="006A57E0" w:rsidRPr="00C34DE9" w:rsidRDefault="006A57E0" w:rsidP="5CB4B133">
            <w:pPr>
              <w:spacing w:after="60"/>
              <w:rPr>
                <w:rFonts w:ascii="Verdana" w:hAnsi="Verdana"/>
                <w:b/>
                <w:bCs/>
                <w:sz w:val="18"/>
                <w:szCs w:val="18"/>
              </w:rPr>
            </w:pPr>
            <w:r w:rsidRPr="5CB4B133">
              <w:rPr>
                <w:rFonts w:ascii="Verdana" w:hAnsi="Verdana"/>
                <w:b/>
                <w:bCs/>
                <w:sz w:val="18"/>
                <w:szCs w:val="18"/>
              </w:rPr>
              <w:lastRenderedPageBreak/>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0412D2B" w14:textId="520FC6A9" w:rsidR="00F70270" w:rsidRPr="00F70270" w:rsidRDefault="00F70270" w:rsidP="4C327885">
            <w:pPr>
              <w:pStyle w:val="ListParagraph"/>
              <w:numPr>
                <w:ilvl w:val="0"/>
                <w:numId w:val="2"/>
              </w:numPr>
              <w:spacing w:after="60"/>
              <w:rPr>
                <w:sz w:val="18"/>
                <w:szCs w:val="18"/>
              </w:rPr>
            </w:pPr>
            <w:r w:rsidRPr="00F70270">
              <w:rPr>
                <w:rFonts w:ascii="Verdana" w:eastAsia="Times New Roman" w:hAnsi="Verdana"/>
                <w:sz w:val="18"/>
                <w:szCs w:val="18"/>
              </w:rPr>
              <w:t>Eurostat – Statistics on the placing on the market (sales) of pesticides table [</w:t>
            </w:r>
            <w:hyperlink r:id="rId214" w:history="1">
              <w:r w:rsidRPr="00F70270">
                <w:rPr>
                  <w:rFonts w:ascii="Verdana" w:eastAsia="Times New Roman" w:hAnsi="Verdana"/>
                  <w:color w:val="0000FF"/>
                  <w:sz w:val="18"/>
                  <w:szCs w:val="18"/>
                  <w:u w:val="single"/>
                </w:rPr>
                <w:t>aei_fm_salpest09</w:t>
              </w:r>
            </w:hyperlink>
            <w:r w:rsidRPr="00F70270">
              <w:rPr>
                <w:rFonts w:ascii="Verdana" w:eastAsia="Times New Roman" w:hAnsi="Verdana"/>
                <w:color w:val="0000FF"/>
                <w:sz w:val="18"/>
                <w:szCs w:val="18"/>
                <w:u w:val="single"/>
              </w:rPr>
              <w:t>]</w:t>
            </w:r>
            <w:r w:rsidRPr="00F70270">
              <w:rPr>
                <w:rFonts w:ascii="Verdana" w:eastAsia="Times New Roman" w:hAnsi="Verdana"/>
                <w:sz w:val="18"/>
                <w:szCs w:val="18"/>
              </w:rPr>
              <w:t xml:space="preserve"> </w:t>
            </w:r>
          </w:p>
          <w:p w14:paraId="62F890EB" w14:textId="77777777" w:rsidR="00F70270" w:rsidRPr="00F70270" w:rsidRDefault="00F70270" w:rsidP="61411E69">
            <w:pPr>
              <w:pStyle w:val="ListParagraph"/>
              <w:numPr>
                <w:ilvl w:val="0"/>
                <w:numId w:val="2"/>
              </w:numPr>
              <w:spacing w:after="60"/>
              <w:rPr>
                <w:sz w:val="18"/>
                <w:szCs w:val="18"/>
              </w:rPr>
            </w:pPr>
            <w:r w:rsidRPr="00F70270">
              <w:rPr>
                <w:rFonts w:ascii="Verdana" w:hAnsi="Verdana"/>
                <w:sz w:val="18"/>
                <w:szCs w:val="18"/>
              </w:rPr>
              <w:t xml:space="preserve">The HRI 1 indicator at EU level published </w:t>
            </w:r>
            <w:hyperlink r:id="rId215" w:history="1">
              <w:r w:rsidRPr="00F70270">
                <w:rPr>
                  <w:rFonts w:ascii="Verdana" w:hAnsi="Verdana"/>
                  <w:color w:val="0000FF"/>
                  <w:sz w:val="18"/>
                  <w:szCs w:val="18"/>
                  <w:u w:val="single"/>
                </w:rPr>
                <w:t>here</w:t>
              </w:r>
            </w:hyperlink>
            <w:r w:rsidRPr="00F70270">
              <w:rPr>
                <w:rFonts w:ascii="Verdana" w:hAnsi="Verdana"/>
                <w:sz w:val="18"/>
                <w:szCs w:val="18"/>
              </w:rPr>
              <w:t xml:space="preserve"> . </w:t>
            </w:r>
          </w:p>
          <w:p w14:paraId="79F1BA6A" w14:textId="051A795B" w:rsidR="006A57E0" w:rsidRPr="00C34DE9" w:rsidRDefault="61411E69" w:rsidP="61411E69">
            <w:pPr>
              <w:pStyle w:val="ListParagraph"/>
              <w:spacing w:after="0" w:line="240" w:lineRule="auto"/>
              <w:ind w:left="0"/>
              <w:rPr>
                <w:i/>
                <w:iCs/>
              </w:rPr>
            </w:pPr>
            <w:r w:rsidRPr="00F70270">
              <w:rPr>
                <w:rFonts w:ascii="Verdana" w:hAnsi="Verdana"/>
                <w:sz w:val="18"/>
                <w:szCs w:val="18"/>
              </w:rPr>
              <w:t xml:space="preserve">            </w:t>
            </w:r>
            <w:r w:rsidR="00F70270" w:rsidRPr="00F70270">
              <w:rPr>
                <w:rFonts w:ascii="Verdana" w:hAnsi="Verdana"/>
                <w:sz w:val="18"/>
                <w:szCs w:val="18"/>
              </w:rPr>
              <w:t xml:space="preserve">The indicator at MS level is published by each MS </w:t>
            </w:r>
            <w:hyperlink r:id="rId216" w:history="1">
              <w:r w:rsidR="00F70270" w:rsidRPr="00F70270">
                <w:rPr>
                  <w:rFonts w:ascii="Verdana" w:hAnsi="Verdana"/>
                  <w:color w:val="0000FF"/>
                  <w:sz w:val="18"/>
                  <w:szCs w:val="18"/>
                  <w:u w:val="single"/>
                </w:rPr>
                <w:t>here</w:t>
              </w:r>
            </w:hyperlink>
            <w:r w:rsidR="00F70270" w:rsidRPr="44DE7B40">
              <w:t>.</w:t>
            </w:r>
          </w:p>
          <w:p w14:paraId="77D42382" w14:textId="186EBD86" w:rsidR="006A57E0" w:rsidRPr="00C34DE9" w:rsidRDefault="44DE7B40" w:rsidP="44DE7B40">
            <w:pPr>
              <w:pStyle w:val="ListParagraph"/>
              <w:numPr>
                <w:ilvl w:val="0"/>
                <w:numId w:val="2"/>
              </w:numPr>
              <w:spacing w:after="0" w:line="240" w:lineRule="auto"/>
              <w:rPr>
                <w:sz w:val="18"/>
                <w:szCs w:val="18"/>
              </w:rPr>
            </w:pPr>
            <w:r w:rsidRPr="44DE7B40">
              <w:rPr>
                <w:rFonts w:ascii="Verdana" w:hAnsi="Verdana"/>
                <w:sz w:val="18"/>
                <w:szCs w:val="18"/>
              </w:rPr>
              <w:t>Eurostat – Not published yet</w:t>
            </w:r>
          </w:p>
          <w:p w14:paraId="1C270828" w14:textId="704BA620" w:rsidR="006A57E0" w:rsidRPr="00C34DE9" w:rsidRDefault="006A57E0" w:rsidP="44DE7B40">
            <w:pPr>
              <w:spacing w:after="0" w:line="240" w:lineRule="auto"/>
              <w:ind w:left="360"/>
            </w:pPr>
          </w:p>
        </w:tc>
      </w:tr>
      <w:tr w:rsidR="006A57E0" w:rsidRPr="00C34DE9" w:rsidDel="00F9611E" w14:paraId="02DCF629"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1B49CAF8" w14:textId="77777777" w:rsidR="006A57E0" w:rsidRPr="00C34DE9" w:rsidRDefault="0087328F" w:rsidP="5CB4B133">
            <w:pPr>
              <w:spacing w:after="60"/>
              <w:rPr>
                <w:rFonts w:ascii="Verdana" w:hAnsi="Verdana"/>
                <w:b/>
                <w:bCs/>
                <w:sz w:val="18"/>
                <w:szCs w:val="18"/>
              </w:rPr>
            </w:pPr>
            <w:r w:rsidRPr="5CB4B133">
              <w:rPr>
                <w:rFonts w:ascii="Verdana" w:hAnsi="Verdana"/>
                <w:b/>
                <w:bCs/>
                <w:sz w:val="18"/>
                <w:szCs w:val="18"/>
              </w:rPr>
              <w:t>Data collection / dissemination level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8FC51D9" w14:textId="77777777" w:rsidR="006A57E0" w:rsidRPr="00C34DE9" w:rsidDel="00F9611E" w:rsidRDefault="006A57E0" w:rsidP="006A57E0">
            <w:pPr>
              <w:spacing w:after="60"/>
              <w:rPr>
                <w:rFonts w:ascii="Verdana" w:hAnsi="Verdana"/>
                <w:sz w:val="18"/>
                <w:szCs w:val="18"/>
              </w:rPr>
            </w:pPr>
            <w:r w:rsidRPr="00C34DE9">
              <w:rPr>
                <w:rFonts w:ascii="Verdana" w:hAnsi="Verdana"/>
                <w:sz w:val="18"/>
                <w:szCs w:val="18"/>
              </w:rPr>
              <w:t xml:space="preserve">EU, </w:t>
            </w:r>
            <w:r w:rsidR="00007995">
              <w:rPr>
                <w:rFonts w:ascii="Verdana" w:hAnsi="Verdana"/>
                <w:sz w:val="18"/>
                <w:szCs w:val="18"/>
              </w:rPr>
              <w:t>N</w:t>
            </w:r>
            <w:r w:rsidRPr="00C34DE9">
              <w:rPr>
                <w:rFonts w:ascii="Verdana" w:hAnsi="Verdana"/>
                <w:sz w:val="18"/>
                <w:szCs w:val="18"/>
              </w:rPr>
              <w:t xml:space="preserve">ational (NUTS 0) </w:t>
            </w:r>
          </w:p>
        </w:tc>
      </w:tr>
      <w:tr w:rsidR="006A57E0" w:rsidRPr="00C34DE9" w14:paraId="7CF223C9" w14:textId="77777777" w:rsidTr="240ABBB4">
        <w:trPr>
          <w:trHeight w:val="430"/>
        </w:trPr>
        <w:tc>
          <w:tcPr>
            <w:tcW w:w="2660" w:type="dxa"/>
            <w:tcBorders>
              <w:top w:val="single" w:sz="4" w:space="0" w:color="auto"/>
              <w:left w:val="single" w:sz="4" w:space="0" w:color="auto"/>
              <w:bottom w:val="single" w:sz="4" w:space="0" w:color="auto"/>
              <w:right w:val="single" w:sz="4" w:space="0" w:color="auto"/>
            </w:tcBorders>
            <w:vAlign w:val="center"/>
          </w:tcPr>
          <w:p w14:paraId="71DC2DFA" w14:textId="77777777" w:rsidR="006A57E0" w:rsidRPr="00C34DE9" w:rsidRDefault="006A57E0" w:rsidP="790C88FB">
            <w:pPr>
              <w:spacing w:after="60"/>
              <w:rPr>
                <w:rFonts w:ascii="Verdana" w:hAnsi="Verdana"/>
                <w:b/>
                <w:bCs/>
                <w:i/>
                <w:iCs/>
                <w:sz w:val="18"/>
                <w:szCs w:val="18"/>
              </w:rPr>
            </w:pPr>
            <w:r w:rsidRPr="5CB4B133">
              <w:rPr>
                <w:rFonts w:ascii="Verdana" w:hAnsi="Verdana"/>
                <w:b/>
                <w:bCs/>
                <w:sz w:val="18"/>
                <w:szCs w:val="18"/>
              </w:rPr>
              <w:t>Frequency</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DCBAAC" w14:textId="77777777" w:rsidR="006A57E0" w:rsidRPr="00C34DE9" w:rsidRDefault="006A57E0" w:rsidP="00795638">
            <w:pPr>
              <w:spacing w:after="60"/>
              <w:rPr>
                <w:rFonts w:ascii="Verdana" w:eastAsia="Times New Roman" w:hAnsi="Verdana"/>
                <w:sz w:val="18"/>
                <w:szCs w:val="18"/>
              </w:rPr>
            </w:pPr>
            <w:r w:rsidRPr="00C34DE9">
              <w:rPr>
                <w:rFonts w:ascii="Verdana" w:eastAsia="Times New Roman" w:hAnsi="Verdana"/>
                <w:sz w:val="18"/>
                <w:szCs w:val="18"/>
              </w:rPr>
              <w:t xml:space="preserve">Annual </w:t>
            </w:r>
          </w:p>
        </w:tc>
      </w:tr>
      <w:tr w:rsidR="006A57E0" w:rsidRPr="00C34DE9" w14:paraId="5CCD47F5" w14:textId="77777777" w:rsidTr="240ABBB4">
        <w:trPr>
          <w:trHeight w:val="518"/>
        </w:trPr>
        <w:tc>
          <w:tcPr>
            <w:tcW w:w="2660" w:type="dxa"/>
            <w:tcBorders>
              <w:top w:val="single" w:sz="4" w:space="0" w:color="auto"/>
              <w:left w:val="single" w:sz="4" w:space="0" w:color="auto"/>
              <w:bottom w:val="single" w:sz="4" w:space="0" w:color="auto"/>
              <w:right w:val="single" w:sz="4" w:space="0" w:color="auto"/>
            </w:tcBorders>
            <w:vAlign w:val="center"/>
          </w:tcPr>
          <w:p w14:paraId="7053C4E9" w14:textId="77777777" w:rsidR="006A57E0" w:rsidRPr="00C34DE9" w:rsidRDefault="0087328F" w:rsidP="5CB4B133">
            <w:pPr>
              <w:spacing w:after="60"/>
              <w:rPr>
                <w:rFonts w:ascii="Verdana" w:hAnsi="Verdana"/>
                <w:b/>
                <w:bCs/>
                <w:sz w:val="18"/>
                <w:szCs w:val="18"/>
              </w:rPr>
            </w:pPr>
            <w:r w:rsidRPr="5CB4B133">
              <w:rPr>
                <w:rFonts w:ascii="Verdana" w:hAnsi="Verdana"/>
                <w:b/>
                <w:bCs/>
                <w:sz w:val="18"/>
                <w:szCs w:val="18"/>
              </w:rPr>
              <w:t>Timeliness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8B61841" w14:textId="1EDD104D" w:rsidR="006A57E0" w:rsidRPr="00C34DE9" w:rsidRDefault="006A57E0" w:rsidP="000B3FC5">
            <w:pPr>
              <w:spacing w:after="60"/>
              <w:rPr>
                <w:rFonts w:ascii="Verdana" w:hAnsi="Verdana"/>
                <w:sz w:val="18"/>
                <w:szCs w:val="18"/>
                <w:lang w:val="en-US"/>
              </w:rPr>
            </w:pPr>
            <w:r w:rsidRPr="00C34DE9">
              <w:rPr>
                <w:rFonts w:ascii="Verdana" w:hAnsi="Verdana"/>
                <w:sz w:val="18"/>
                <w:szCs w:val="18"/>
                <w:lang w:val="en-US"/>
              </w:rPr>
              <w:t>2 years (</w:t>
            </w:r>
            <w:r w:rsidR="000B3FC5">
              <w:rPr>
                <w:rFonts w:ascii="Verdana" w:hAnsi="Verdana"/>
                <w:sz w:val="18"/>
                <w:szCs w:val="18"/>
                <w:lang w:val="en-US"/>
              </w:rPr>
              <w:t xml:space="preserve">at the latest </w:t>
            </w:r>
            <w:r w:rsidRPr="00C34DE9">
              <w:rPr>
                <w:rFonts w:ascii="Verdana" w:hAnsi="Verdana"/>
                <w:sz w:val="18"/>
                <w:szCs w:val="18"/>
                <w:lang w:val="en-US"/>
              </w:rPr>
              <w:t xml:space="preserve">20 months </w:t>
            </w:r>
            <w:r w:rsidR="000B3FC5" w:rsidRPr="000B3FC5">
              <w:rPr>
                <w:rFonts w:ascii="Verdana" w:hAnsi="Verdana"/>
                <w:sz w:val="18"/>
                <w:szCs w:val="18"/>
                <w:lang w:val="en-US"/>
              </w:rPr>
              <w:t xml:space="preserve">after the end of the year for which </w:t>
            </w:r>
            <w:r w:rsidR="000B3FC5">
              <w:rPr>
                <w:rFonts w:ascii="Verdana" w:hAnsi="Verdana"/>
                <w:sz w:val="18"/>
                <w:szCs w:val="18"/>
                <w:lang w:val="en-US"/>
              </w:rPr>
              <w:t xml:space="preserve">the </w:t>
            </w:r>
            <w:r w:rsidR="000B3FC5" w:rsidRPr="000B3FC5">
              <w:rPr>
                <w:rFonts w:ascii="Verdana" w:hAnsi="Verdana"/>
                <w:sz w:val="18"/>
                <w:szCs w:val="18"/>
                <w:lang w:val="en-US"/>
              </w:rPr>
              <w:t>Harmonised Risk Indicator</w:t>
            </w:r>
            <w:r w:rsidR="000B3FC5">
              <w:rPr>
                <w:rFonts w:ascii="Verdana" w:hAnsi="Verdana"/>
                <w:sz w:val="18"/>
                <w:szCs w:val="18"/>
                <w:lang w:val="en-US"/>
              </w:rPr>
              <w:t xml:space="preserve"> is being calculated</w:t>
            </w:r>
            <w:r w:rsidRPr="00C34DE9">
              <w:rPr>
                <w:rFonts w:ascii="Verdana" w:hAnsi="Verdana"/>
                <w:sz w:val="18"/>
                <w:szCs w:val="18"/>
                <w:lang w:val="en-US"/>
              </w:rPr>
              <w:t>)</w:t>
            </w:r>
          </w:p>
        </w:tc>
      </w:tr>
      <w:tr w:rsidR="006A57E0" w:rsidRPr="00ED2A3A" w14:paraId="3AAD90C0" w14:textId="77777777" w:rsidTr="240ABBB4">
        <w:tc>
          <w:tcPr>
            <w:tcW w:w="2660" w:type="dxa"/>
            <w:tcBorders>
              <w:top w:val="single" w:sz="4" w:space="0" w:color="auto"/>
              <w:left w:val="single" w:sz="4" w:space="0" w:color="auto"/>
              <w:bottom w:val="single" w:sz="4" w:space="0" w:color="auto"/>
              <w:right w:val="single" w:sz="4" w:space="0" w:color="auto"/>
            </w:tcBorders>
            <w:vAlign w:val="center"/>
          </w:tcPr>
          <w:p w14:paraId="4A4E73BF" w14:textId="77777777" w:rsidR="006A57E0" w:rsidRPr="00C34DE9" w:rsidRDefault="006A57E0" w:rsidP="5CB4B133">
            <w:pPr>
              <w:spacing w:after="60"/>
              <w:rPr>
                <w:rFonts w:ascii="Verdana" w:hAnsi="Verdana"/>
                <w:b/>
                <w:bCs/>
                <w:sz w:val="18"/>
                <w:szCs w:val="18"/>
              </w:rPr>
            </w:pPr>
            <w:r w:rsidRPr="5CB4B133">
              <w:rPr>
                <w:rFonts w:ascii="Verdana" w:hAnsi="Verdana"/>
                <w:b/>
                <w:bCs/>
                <w:sz w:val="18"/>
                <w:szCs w:val="18"/>
              </w:rPr>
              <w:t>Comments/caveats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9F9EAA5" w14:textId="1E14DAF7" w:rsidR="00F70270" w:rsidRPr="00F70270" w:rsidRDefault="00F70270" w:rsidP="00F70270">
            <w:pPr>
              <w:spacing w:after="60"/>
              <w:jc w:val="both"/>
              <w:rPr>
                <w:rFonts w:ascii="Verdana" w:hAnsi="Verdana"/>
                <w:sz w:val="18"/>
                <w:szCs w:val="18"/>
              </w:rPr>
            </w:pPr>
            <w:r w:rsidRPr="00F70270">
              <w:rPr>
                <w:rFonts w:ascii="Verdana" w:eastAsia="Times New Roman" w:hAnsi="Verdana"/>
                <w:sz w:val="18"/>
                <w:szCs w:val="18"/>
              </w:rPr>
              <w:t>The HRI</w:t>
            </w:r>
            <w:r w:rsidR="778970BD" w:rsidRPr="00F70270">
              <w:rPr>
                <w:rFonts w:ascii="Verdana" w:eastAsia="Times New Roman" w:hAnsi="Verdana"/>
                <w:sz w:val="18"/>
                <w:szCs w:val="18"/>
              </w:rPr>
              <w:t xml:space="preserve"> </w:t>
            </w:r>
            <w:r w:rsidRPr="00F70270">
              <w:rPr>
                <w:rFonts w:ascii="Verdana" w:eastAsia="Times New Roman" w:hAnsi="Verdana"/>
                <w:sz w:val="18"/>
                <w:szCs w:val="18"/>
              </w:rPr>
              <w:t xml:space="preserve">1 indicator is based on </w:t>
            </w:r>
            <w:r w:rsidRPr="00F70270">
              <w:rPr>
                <w:rFonts w:ascii="Verdana" w:hAnsi="Verdana"/>
                <w:sz w:val="18"/>
                <w:szCs w:val="18"/>
              </w:rPr>
              <w:t>the</w:t>
            </w:r>
            <w:r w:rsidRPr="00F70270">
              <w:rPr>
                <w:rFonts w:ascii="Verdana" w:eastAsia="Times New Roman" w:hAnsi="Verdana"/>
                <w:sz w:val="18"/>
                <w:szCs w:val="18"/>
              </w:rPr>
              <w:t xml:space="preserve"> quantities of</w:t>
            </w:r>
            <w:r w:rsidRPr="00F70270">
              <w:rPr>
                <w:rFonts w:ascii="Verdana" w:hAnsi="Verdana"/>
                <w:sz w:val="18"/>
                <w:szCs w:val="18"/>
              </w:rPr>
              <w:t xml:space="preserve"> active substances sold in pesticides each year.</w:t>
            </w:r>
          </w:p>
          <w:p w14:paraId="13ABA8E4" w14:textId="31CC904B" w:rsidR="00F70270" w:rsidRPr="00F70270" w:rsidRDefault="00F70270" w:rsidP="00F70270">
            <w:pPr>
              <w:spacing w:after="60"/>
              <w:jc w:val="both"/>
              <w:rPr>
                <w:rFonts w:ascii="Verdana" w:hAnsi="Verdana"/>
                <w:sz w:val="18"/>
                <w:szCs w:val="18"/>
              </w:rPr>
            </w:pPr>
            <w:r w:rsidRPr="00F70270">
              <w:rPr>
                <w:rFonts w:ascii="Verdana" w:hAnsi="Verdana"/>
                <w:sz w:val="18"/>
                <w:szCs w:val="18"/>
              </w:rPr>
              <w:t>Active substances are classified in 4 groups and 7 categories according to Annex IV to the Directive 2009/128/EC. A weighting is developed for each group: quantity sold of active substances are multiplied for the respective weights in order to calculate a harmonised index which can be monitored over time.</w:t>
            </w:r>
          </w:p>
          <w:p w14:paraId="3B7AEA5A" w14:textId="77777777" w:rsidR="00F70270" w:rsidRPr="00F70270" w:rsidRDefault="00F70270" w:rsidP="00F70270">
            <w:pPr>
              <w:spacing w:after="60"/>
              <w:jc w:val="both"/>
              <w:rPr>
                <w:rFonts w:ascii="Verdana" w:hAnsi="Verdana"/>
                <w:b/>
                <w:bCs/>
                <w:sz w:val="18"/>
                <w:szCs w:val="18"/>
              </w:rPr>
            </w:pPr>
            <w:r w:rsidRPr="00F70270">
              <w:rPr>
                <w:rFonts w:ascii="Verdana" w:hAnsi="Verdana"/>
                <w:b/>
                <w:bCs/>
                <w:sz w:val="18"/>
                <w:szCs w:val="18"/>
              </w:rPr>
              <w:t xml:space="preserve">This indicator is also used for the EU reporting on UN Sustainable Development Goals. </w:t>
            </w:r>
          </w:p>
          <w:p w14:paraId="7095B780" w14:textId="4F606A24" w:rsidR="00D107B8" w:rsidRPr="002737C1" w:rsidRDefault="00F70270" w:rsidP="002737C1">
            <w:pPr>
              <w:spacing w:after="60"/>
              <w:jc w:val="both"/>
              <w:rPr>
                <w:sz w:val="18"/>
                <w:szCs w:val="18"/>
              </w:rPr>
            </w:pPr>
            <w:r w:rsidRPr="002737C1" w:rsidDel="00316419">
              <w:rPr>
                <w:rFonts w:ascii="Verdana" w:hAnsi="Verdana"/>
                <w:sz w:val="18"/>
                <w:szCs w:val="18"/>
              </w:rPr>
              <w:t>Moreover</w:t>
            </w:r>
            <w:r w:rsidRPr="002737C1">
              <w:rPr>
                <w:rFonts w:ascii="Verdana" w:hAnsi="Verdana"/>
                <w:sz w:val="18"/>
                <w:szCs w:val="18"/>
              </w:rPr>
              <w:t>, progress towards the first Farm to Fork target (50% reduction of risk and use of pesticides) is measured using the Harmonised Risk Indicator 1 methodology, excluding non-chemical pesticides. Progress towards the second target of the Farm to Fork (50% reduction of the more hazardous pesticides)</w:t>
            </w:r>
            <w:r w:rsidRPr="002737C1">
              <w:footnoteReference w:id="24"/>
            </w:r>
            <w:r w:rsidRPr="002737C1">
              <w:rPr>
                <w:rFonts w:ascii="Verdana" w:hAnsi="Verdana"/>
                <w:sz w:val="18"/>
                <w:szCs w:val="18"/>
              </w:rPr>
              <w:t xml:space="preserve"> is measured using the sales of the more hazardous pesticides. For both indicators, </w:t>
            </w:r>
            <w:r w:rsidR="0B55A9CD" w:rsidRPr="002737C1">
              <w:rPr>
                <w:rFonts w:ascii="Verdana" w:hAnsi="Verdana"/>
                <w:sz w:val="18"/>
                <w:szCs w:val="18"/>
              </w:rPr>
              <w:t>the baseline is the average of the reference period 2015-2017.</w:t>
            </w:r>
          </w:p>
        </w:tc>
      </w:tr>
    </w:tbl>
    <w:p w14:paraId="2F96FB47" w14:textId="77777777" w:rsidR="00813DAF" w:rsidRDefault="00813DAF" w:rsidP="00FA7E72"/>
    <w:p w14:paraId="4E32B15A" w14:textId="77777777" w:rsidR="00022C9D" w:rsidRPr="004D00BF" w:rsidRDefault="00813DAF" w:rsidP="0032562E">
      <w:pPr>
        <w:spacing w:after="60"/>
        <w:rPr>
          <w:rFonts w:ascii="Verdana" w:hAnsi="Verdana"/>
          <w:b/>
          <w:sz w:val="18"/>
          <w:szCs w:val="18"/>
        </w:rPr>
      </w:pPr>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54"/>
      </w:tblGrid>
      <w:tr w:rsidR="004F7209" w:rsidRPr="004D00BF" w14:paraId="2556E78A"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00B0F0"/>
          </w:tcPr>
          <w:p w14:paraId="09CAAC61" w14:textId="77777777" w:rsidR="004F7209" w:rsidRPr="004E3EB3" w:rsidRDefault="004F7209" w:rsidP="5CB4B133">
            <w:pPr>
              <w:spacing w:before="120" w:after="60"/>
              <w:rPr>
                <w:rFonts w:ascii="Verdana" w:hAnsi="Verdana"/>
                <w:b/>
                <w:bCs/>
                <w:caps/>
                <w:sz w:val="18"/>
                <w:szCs w:val="18"/>
              </w:rPr>
            </w:pPr>
            <w:r w:rsidRPr="5CB4B133">
              <w:rPr>
                <w:rFonts w:ascii="Verdana" w:hAnsi="Verdana"/>
                <w:b/>
                <w:bCs/>
                <w:smallCaps/>
                <w:sz w:val="18"/>
                <w:szCs w:val="18"/>
              </w:rPr>
              <w:lastRenderedPageBreak/>
              <w:t>Indicator I.1</w:t>
            </w:r>
          </w:p>
        </w:tc>
        <w:tc>
          <w:tcPr>
            <w:tcW w:w="7654" w:type="dxa"/>
            <w:tcBorders>
              <w:top w:val="single" w:sz="4" w:space="0" w:color="auto"/>
              <w:left w:val="single" w:sz="4" w:space="0" w:color="auto"/>
              <w:bottom w:val="single" w:sz="4" w:space="0" w:color="auto"/>
              <w:right w:val="single" w:sz="4" w:space="0" w:color="auto"/>
            </w:tcBorders>
            <w:shd w:val="clear" w:color="auto" w:fill="00B0F0"/>
          </w:tcPr>
          <w:p w14:paraId="2959442A" w14:textId="77777777" w:rsidR="004F7209" w:rsidRDefault="004F7209" w:rsidP="5CB4B133">
            <w:pPr>
              <w:spacing w:before="120" w:after="60"/>
              <w:rPr>
                <w:rFonts w:ascii="Verdana" w:hAnsi="Verdana"/>
                <w:b/>
                <w:bCs/>
                <w:sz w:val="18"/>
                <w:szCs w:val="18"/>
              </w:rPr>
            </w:pPr>
            <w:r w:rsidRPr="5CB4B133">
              <w:rPr>
                <w:rFonts w:ascii="Verdana" w:hAnsi="Verdana"/>
                <w:b/>
                <w:bCs/>
                <w:sz w:val="18"/>
                <w:szCs w:val="18"/>
              </w:rPr>
              <w:t>Indica</w:t>
            </w:r>
            <w:bookmarkStart w:id="77" w:name="I01"/>
            <w:bookmarkEnd w:id="77"/>
            <w:r w:rsidRPr="5CB4B133">
              <w:rPr>
                <w:rFonts w:ascii="Verdana" w:hAnsi="Verdana"/>
                <w:b/>
                <w:bCs/>
                <w:sz w:val="18"/>
                <w:szCs w:val="18"/>
              </w:rPr>
              <w:t>tor I.1 Sharing knowledge and innovation</w:t>
            </w:r>
            <w:r w:rsidR="009F6BD0">
              <w:rPr>
                <w:rFonts w:ascii="Verdana" w:hAnsi="Verdana"/>
                <w:b/>
                <w:bCs/>
                <w:sz w:val="18"/>
                <w:szCs w:val="18"/>
              </w:rPr>
              <w:t>:</w:t>
            </w:r>
          </w:p>
          <w:p w14:paraId="3F43C12E" w14:textId="0D53E7EB" w:rsidR="009F6BD0" w:rsidRPr="009F6BD0" w:rsidRDefault="009F6BD0" w:rsidP="5CB4B133">
            <w:pPr>
              <w:spacing w:before="120" w:after="60"/>
              <w:rPr>
                <w:rFonts w:ascii="Verdana" w:hAnsi="Verdana"/>
                <w:bCs/>
                <w:caps/>
                <w:sz w:val="18"/>
                <w:szCs w:val="18"/>
              </w:rPr>
            </w:pPr>
            <w:r w:rsidRPr="009F6BD0">
              <w:rPr>
                <w:rFonts w:ascii="Verdana" w:hAnsi="Verdana"/>
                <w:bCs/>
                <w:sz w:val="18"/>
                <w:szCs w:val="18"/>
              </w:rPr>
              <w:t>Share of CAP budget for knowledge sharing and innovation</w:t>
            </w:r>
          </w:p>
        </w:tc>
      </w:tr>
      <w:tr w:rsidR="004F7209" w:rsidRPr="004D00BF" w14:paraId="7D1CC6BE"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7EC09391"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Indicator Name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CEA21BB" w14:textId="77777777" w:rsidR="004F7209" w:rsidRPr="00022C9D" w:rsidRDefault="004F7209" w:rsidP="5CB4B133">
            <w:pPr>
              <w:spacing w:after="60"/>
              <w:jc w:val="center"/>
              <w:rPr>
                <w:rFonts w:ascii="Verdana" w:hAnsi="Verdana"/>
                <w:b/>
                <w:bCs/>
                <w:sz w:val="18"/>
                <w:szCs w:val="18"/>
              </w:rPr>
            </w:pPr>
            <w:r w:rsidRPr="5CB4B133">
              <w:rPr>
                <w:rFonts w:ascii="Verdana" w:hAnsi="Verdana"/>
                <w:b/>
                <w:bCs/>
                <w:sz w:val="18"/>
                <w:szCs w:val="18"/>
              </w:rPr>
              <w:t>Share of CAP budget for knowledge sharing and innovation</w:t>
            </w:r>
          </w:p>
        </w:tc>
      </w:tr>
      <w:tr w:rsidR="00022C9D" w:rsidRPr="004D00BF" w14:paraId="379EC489"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54014F9F" w14:textId="77777777" w:rsidR="00022C9D" w:rsidRPr="004E3EB3" w:rsidRDefault="00022C9D"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654" w:type="dxa"/>
            <w:tcBorders>
              <w:top w:val="single" w:sz="4" w:space="0" w:color="auto"/>
              <w:left w:val="single" w:sz="4" w:space="0" w:color="auto"/>
              <w:bottom w:val="single" w:sz="4" w:space="0" w:color="auto"/>
              <w:right w:val="single" w:sz="4" w:space="0" w:color="auto"/>
            </w:tcBorders>
          </w:tcPr>
          <w:p w14:paraId="5158767B" w14:textId="77777777" w:rsidR="00022C9D" w:rsidRPr="00022C9D" w:rsidRDefault="00022C9D" w:rsidP="00303128">
            <w:pPr>
              <w:rPr>
                <w:rFonts w:ascii="Verdana" w:hAnsi="Verdana" w:cs="Calibri"/>
                <w:sz w:val="18"/>
                <w:szCs w:val="18"/>
              </w:rPr>
            </w:pPr>
            <w:r w:rsidRPr="00022C9D">
              <w:rPr>
                <w:rFonts w:ascii="Verdana" w:hAnsi="Verdana" w:cs="Calibri"/>
                <w:sz w:val="18"/>
                <w:szCs w:val="18"/>
              </w:rPr>
              <w:t xml:space="preserve">Share of CAP budget for knowledge sharing and innovation </w:t>
            </w:r>
          </w:p>
          <w:p w14:paraId="49C61FDB" w14:textId="70913D08" w:rsidR="00022C9D" w:rsidRPr="00022C9D" w:rsidRDefault="00022C9D" w:rsidP="00303128">
            <w:pPr>
              <w:jc w:val="both"/>
              <w:rPr>
                <w:rFonts w:ascii="Verdana" w:hAnsi="Verdana" w:cs="Calibri"/>
                <w:sz w:val="18"/>
                <w:szCs w:val="18"/>
              </w:rPr>
            </w:pPr>
            <w:r w:rsidRPr="00022C9D">
              <w:rPr>
                <w:rFonts w:ascii="Verdana" w:hAnsi="Verdana" w:cs="Calibri"/>
                <w:sz w:val="18"/>
                <w:szCs w:val="18"/>
              </w:rPr>
              <w:t>The main purpose of this index is to measure efforts for fostering innovation and knowledge sharing, as required under the cross-cutting objective on modernisation. The impact of knowledge and innovation will be resulting from the efforts made under the part of the CAP strategic plans related to Agricultural Knowledge and Innovation Systems (Art 1</w:t>
            </w:r>
            <w:r w:rsidR="00C34707">
              <w:rPr>
                <w:rFonts w:ascii="Verdana" w:hAnsi="Verdana" w:cs="Calibri"/>
                <w:sz w:val="18"/>
                <w:szCs w:val="18"/>
              </w:rPr>
              <w:t>14</w:t>
            </w:r>
            <w:r w:rsidRPr="00022C9D">
              <w:rPr>
                <w:rFonts w:ascii="Verdana" w:hAnsi="Verdana" w:cs="Calibri"/>
                <w:sz w:val="18"/>
                <w:szCs w:val="18"/>
              </w:rPr>
              <w:t>), and under the relevant articles of the sectorial programmes (e.g. Art 4</w:t>
            </w:r>
            <w:r w:rsidR="00A2798F">
              <w:rPr>
                <w:rFonts w:ascii="Verdana" w:hAnsi="Verdana" w:cs="Calibri"/>
                <w:sz w:val="18"/>
                <w:szCs w:val="18"/>
              </w:rPr>
              <w:t>7</w:t>
            </w:r>
            <w:r w:rsidRPr="00022C9D">
              <w:rPr>
                <w:rFonts w:ascii="Verdana" w:hAnsi="Verdana" w:cs="Calibri"/>
                <w:sz w:val="18"/>
                <w:szCs w:val="18"/>
              </w:rPr>
              <w:t>(1)(b)</w:t>
            </w:r>
            <w:r w:rsidR="00A2798F">
              <w:rPr>
                <w:rFonts w:ascii="Verdana" w:hAnsi="Verdana" w:cs="Calibri"/>
                <w:sz w:val="18"/>
                <w:szCs w:val="18"/>
              </w:rPr>
              <w:t xml:space="preserve"> and</w:t>
            </w:r>
            <w:r w:rsidRPr="00022C9D">
              <w:rPr>
                <w:rFonts w:ascii="Verdana" w:hAnsi="Verdana" w:cs="Calibri"/>
                <w:sz w:val="18"/>
                <w:szCs w:val="18"/>
              </w:rPr>
              <w:t xml:space="preserve"> (</w:t>
            </w:r>
            <w:r w:rsidR="00A2798F">
              <w:rPr>
                <w:rFonts w:ascii="Verdana" w:hAnsi="Verdana" w:cs="Calibri"/>
                <w:sz w:val="18"/>
                <w:szCs w:val="18"/>
              </w:rPr>
              <w:t>c</w:t>
            </w:r>
            <w:r w:rsidRPr="00022C9D">
              <w:rPr>
                <w:rFonts w:ascii="Verdana" w:hAnsi="Verdana" w:cs="Calibri"/>
                <w:sz w:val="18"/>
                <w:szCs w:val="18"/>
              </w:rPr>
              <w:t>))</w:t>
            </w:r>
            <w:r w:rsidR="00007995">
              <w:rPr>
                <w:rFonts w:ascii="Verdana" w:hAnsi="Verdana" w:cs="Calibri"/>
                <w:sz w:val="18"/>
                <w:szCs w:val="18"/>
              </w:rPr>
              <w:t>.</w:t>
            </w:r>
          </w:p>
          <w:p w14:paraId="50C0DFDC" w14:textId="77777777" w:rsidR="00022C9D" w:rsidRPr="00022C9D" w:rsidRDefault="00022C9D" w:rsidP="00A85A9D">
            <w:pPr>
              <w:jc w:val="both"/>
              <w:rPr>
                <w:rFonts w:ascii="Verdana" w:hAnsi="Verdana" w:cs="Calibri"/>
                <w:sz w:val="18"/>
                <w:szCs w:val="18"/>
              </w:rPr>
            </w:pPr>
            <w:r w:rsidRPr="00022C9D">
              <w:rPr>
                <w:rFonts w:ascii="Verdana" w:hAnsi="Verdana" w:cs="Calibri"/>
                <w:sz w:val="18"/>
                <w:szCs w:val="18"/>
              </w:rPr>
              <w:t xml:space="preserve">Through its components it captures as well various types of </w:t>
            </w:r>
            <w:r w:rsidRPr="5CB4B133">
              <w:rPr>
                <w:rFonts w:ascii="Verdana" w:hAnsi="Verdana" w:cs="Calibri"/>
                <w:b/>
                <w:bCs/>
                <w:sz w:val="18"/>
                <w:szCs w:val="18"/>
                <w:u w:val="single"/>
              </w:rPr>
              <w:t>knowledge creation</w:t>
            </w:r>
            <w:r w:rsidRPr="00022C9D">
              <w:rPr>
                <w:rFonts w:ascii="Verdana" w:hAnsi="Verdana" w:cs="Calibri"/>
                <w:sz w:val="18"/>
                <w:szCs w:val="18"/>
              </w:rPr>
              <w:t xml:space="preserve"> (</w:t>
            </w:r>
            <w:r w:rsidR="00827319">
              <w:rPr>
                <w:rFonts w:ascii="Verdana" w:hAnsi="Verdana" w:cs="Calibri"/>
                <w:sz w:val="18"/>
                <w:szCs w:val="18"/>
              </w:rPr>
              <w:t xml:space="preserve">EIP Operational Group innovation projects and other interactive </w:t>
            </w:r>
            <w:r w:rsidRPr="00022C9D">
              <w:rPr>
                <w:rFonts w:ascii="Verdana" w:hAnsi="Verdana" w:cs="Calibri"/>
                <w:sz w:val="18"/>
                <w:szCs w:val="18"/>
              </w:rPr>
              <w:t xml:space="preserve">innovation projects, </w:t>
            </w:r>
            <w:r w:rsidR="00827319">
              <w:rPr>
                <w:rFonts w:ascii="Verdana" w:hAnsi="Verdana" w:cs="Calibri"/>
                <w:sz w:val="18"/>
                <w:szCs w:val="18"/>
              </w:rPr>
              <w:t xml:space="preserve">and/or multi-actor research under sectorial POs </w:t>
            </w:r>
            <w:r w:rsidRPr="00022C9D">
              <w:rPr>
                <w:rFonts w:ascii="Verdana" w:hAnsi="Verdana" w:cs="Calibri"/>
                <w:sz w:val="18"/>
                <w:szCs w:val="18"/>
              </w:rPr>
              <w:t>and experimental production) as</w:t>
            </w:r>
            <w:r w:rsidR="00827319">
              <w:rPr>
                <w:rFonts w:ascii="Verdana" w:hAnsi="Verdana" w:cs="Calibri"/>
                <w:sz w:val="18"/>
                <w:szCs w:val="18"/>
              </w:rPr>
              <w:t xml:space="preserve"> well as</w:t>
            </w:r>
            <w:r w:rsidRPr="00022C9D">
              <w:rPr>
                <w:rFonts w:ascii="Verdana" w:hAnsi="Verdana" w:cs="Calibri"/>
                <w:sz w:val="18"/>
                <w:szCs w:val="18"/>
              </w:rPr>
              <w:t xml:space="preserve"> </w:t>
            </w:r>
            <w:r w:rsidRPr="5CB4B133">
              <w:rPr>
                <w:rFonts w:ascii="Verdana" w:hAnsi="Verdana" w:cs="Calibri"/>
                <w:b/>
                <w:bCs/>
                <w:sz w:val="18"/>
                <w:szCs w:val="18"/>
                <w:u w:val="single"/>
              </w:rPr>
              <w:t>knowledge exchange/sharing</w:t>
            </w:r>
            <w:r w:rsidRPr="00022C9D">
              <w:rPr>
                <w:rFonts w:ascii="Verdana" w:hAnsi="Verdana" w:cs="Calibri"/>
                <w:sz w:val="18"/>
                <w:szCs w:val="18"/>
              </w:rPr>
              <w:t xml:space="preserve"> dimensions: knowledge </w:t>
            </w:r>
            <w:r w:rsidR="00827319">
              <w:rPr>
                <w:rFonts w:ascii="Verdana" w:hAnsi="Verdana" w:cs="Calibri"/>
                <w:sz w:val="18"/>
                <w:szCs w:val="18"/>
              </w:rPr>
              <w:t xml:space="preserve">exchange </w:t>
            </w:r>
            <w:r w:rsidRPr="00022C9D">
              <w:rPr>
                <w:rFonts w:ascii="Verdana" w:hAnsi="Verdana" w:cs="Calibri"/>
                <w:sz w:val="18"/>
                <w:szCs w:val="18"/>
              </w:rPr>
              <w:t xml:space="preserve">and advice, demonstration activities, actions to enhance the exchange of needs of farmers and the sharing of existing knowledge. In particular, it is expected </w:t>
            </w:r>
            <w:r w:rsidR="00827319">
              <w:rPr>
                <w:rFonts w:ascii="Verdana" w:hAnsi="Verdana" w:cs="Calibri"/>
                <w:sz w:val="18"/>
                <w:szCs w:val="18"/>
              </w:rPr>
              <w:t xml:space="preserve">that </w:t>
            </w:r>
            <w:r w:rsidRPr="00022C9D">
              <w:rPr>
                <w:rFonts w:ascii="Verdana" w:hAnsi="Verdana" w:cs="Calibri"/>
                <w:sz w:val="18"/>
                <w:szCs w:val="18"/>
              </w:rPr>
              <w:t xml:space="preserve">the cross-cutting objective on modernisation will incentivise multi-actor creation of new knowledge where needed, for instance through organising various types of encounters and knowledge sharing between AKIS actors such as </w:t>
            </w:r>
            <w:r w:rsidR="00827319">
              <w:rPr>
                <w:rFonts w:ascii="Verdana" w:hAnsi="Verdana" w:cs="Calibri"/>
                <w:sz w:val="18"/>
                <w:szCs w:val="18"/>
              </w:rPr>
              <w:t xml:space="preserve">farmers, advisors, </w:t>
            </w:r>
            <w:r w:rsidRPr="00022C9D">
              <w:rPr>
                <w:rFonts w:ascii="Verdana" w:hAnsi="Verdana" w:cs="Calibri"/>
                <w:sz w:val="18"/>
                <w:szCs w:val="18"/>
              </w:rPr>
              <w:t xml:space="preserve">researchers </w:t>
            </w:r>
            <w:r w:rsidR="00827319">
              <w:rPr>
                <w:rFonts w:ascii="Verdana" w:hAnsi="Verdana" w:cs="Calibri"/>
                <w:sz w:val="18"/>
                <w:szCs w:val="18"/>
              </w:rPr>
              <w:t xml:space="preserve">etc. with the help of the innovation strand of the </w:t>
            </w:r>
            <w:r w:rsidRPr="00022C9D">
              <w:rPr>
                <w:rFonts w:ascii="Verdana" w:hAnsi="Verdana" w:cs="Calibri"/>
                <w:sz w:val="18"/>
                <w:szCs w:val="18"/>
              </w:rPr>
              <w:t>CAP networks</w:t>
            </w:r>
            <w:r w:rsidR="00B840B2" w:rsidRPr="00022C9D">
              <w:rPr>
                <w:rFonts w:ascii="Verdana" w:hAnsi="Verdana" w:cs="Calibri"/>
                <w:sz w:val="18"/>
                <w:szCs w:val="18"/>
              </w:rPr>
              <w:t>.</w:t>
            </w:r>
          </w:p>
          <w:p w14:paraId="1258E9D2" w14:textId="33FB7D25" w:rsidR="00022C9D" w:rsidRPr="00022C9D" w:rsidRDefault="00022C9D" w:rsidP="00A85A9D">
            <w:pPr>
              <w:jc w:val="both"/>
              <w:rPr>
                <w:rFonts w:ascii="Verdana" w:hAnsi="Verdana" w:cs="Calibri"/>
                <w:sz w:val="18"/>
                <w:szCs w:val="18"/>
              </w:rPr>
            </w:pPr>
            <w:r w:rsidRPr="00022C9D">
              <w:rPr>
                <w:rFonts w:ascii="Verdana" w:hAnsi="Verdana" w:cs="Calibri"/>
                <w:sz w:val="18"/>
                <w:szCs w:val="18"/>
              </w:rPr>
              <w:t>"</w:t>
            </w:r>
            <w:r w:rsidRPr="00022C9D">
              <w:rPr>
                <w:rFonts w:ascii="Verdana" w:hAnsi="Verdana" w:cs="Calibri"/>
                <w:sz w:val="18"/>
                <w:szCs w:val="18"/>
                <w:u w:val="single"/>
              </w:rPr>
              <w:t>Experimental production</w:t>
            </w:r>
            <w:r w:rsidRPr="00022C9D">
              <w:rPr>
                <w:rFonts w:ascii="Verdana" w:hAnsi="Verdana" w:cs="Calibri"/>
                <w:sz w:val="18"/>
                <w:szCs w:val="18"/>
              </w:rPr>
              <w:t xml:space="preserve">" is </w:t>
            </w:r>
            <w:r w:rsidR="00A2798F">
              <w:rPr>
                <w:rFonts w:ascii="Verdana" w:hAnsi="Verdana" w:cs="Calibri"/>
                <w:sz w:val="18"/>
                <w:szCs w:val="18"/>
              </w:rPr>
              <w:t>supported under sectoral programmes</w:t>
            </w:r>
            <w:r w:rsidRPr="00022C9D">
              <w:rPr>
                <w:rFonts w:ascii="Verdana" w:hAnsi="Verdana" w:cs="Calibri"/>
                <w:sz w:val="18"/>
                <w:szCs w:val="18"/>
              </w:rPr>
              <w:t xml:space="preserve"> and </w:t>
            </w:r>
            <w:r w:rsidR="00A2798F">
              <w:rPr>
                <w:rFonts w:ascii="Verdana" w:hAnsi="Verdana" w:cs="Calibri"/>
                <w:sz w:val="18"/>
                <w:szCs w:val="18"/>
              </w:rPr>
              <w:t>is covered by</w:t>
            </w:r>
            <w:r w:rsidR="00A2798F" w:rsidRPr="00022C9D">
              <w:rPr>
                <w:rFonts w:ascii="Verdana" w:hAnsi="Verdana" w:cs="Calibri"/>
                <w:sz w:val="18"/>
                <w:szCs w:val="18"/>
              </w:rPr>
              <w:t xml:space="preserve"> </w:t>
            </w:r>
            <w:r w:rsidRPr="00022C9D">
              <w:rPr>
                <w:rFonts w:ascii="Verdana" w:hAnsi="Verdana" w:cs="Calibri"/>
                <w:sz w:val="18"/>
                <w:szCs w:val="18"/>
              </w:rPr>
              <w:t>a</w:t>
            </w:r>
            <w:r w:rsidR="00A2798F">
              <w:rPr>
                <w:rFonts w:ascii="Verdana" w:hAnsi="Verdana" w:cs="Calibri"/>
                <w:sz w:val="18"/>
                <w:szCs w:val="18"/>
              </w:rPr>
              <w:t>n</w:t>
            </w:r>
            <w:r w:rsidRPr="00022C9D">
              <w:rPr>
                <w:rFonts w:ascii="Verdana" w:hAnsi="Verdana" w:cs="Calibri"/>
                <w:sz w:val="18"/>
                <w:szCs w:val="18"/>
              </w:rPr>
              <w:t xml:space="preserve"> intervention which can be undertaken by Producers' Organisations (POs) in the F&amp;V</w:t>
            </w:r>
            <w:r w:rsidR="00A2798F">
              <w:rPr>
                <w:rFonts w:ascii="Verdana" w:hAnsi="Verdana" w:cs="Calibri"/>
                <w:sz w:val="18"/>
                <w:szCs w:val="18"/>
              </w:rPr>
              <w:t>, hops,</w:t>
            </w:r>
            <w:r w:rsidR="00A2798F">
              <w:rPr>
                <w:lang w:val="en-IE"/>
              </w:rPr>
              <w:t xml:space="preserve"> </w:t>
            </w:r>
            <w:r w:rsidR="00A2798F" w:rsidRPr="00B217EF">
              <w:rPr>
                <w:rFonts w:eastAsia="Times New Roman"/>
                <w:iCs/>
              </w:rPr>
              <w:t>olive oil and table olives sector</w:t>
            </w:r>
            <w:r w:rsidR="00A2798F">
              <w:rPr>
                <w:rFonts w:eastAsia="Times New Roman"/>
                <w:iCs/>
              </w:rPr>
              <w:t>s</w:t>
            </w:r>
            <w:r w:rsidR="00A2798F" w:rsidRPr="00B217EF">
              <w:rPr>
                <w:rFonts w:eastAsia="Times New Roman"/>
                <w:iCs/>
              </w:rPr>
              <w:t xml:space="preserve"> and the other sectors referred to in Article 42(f)</w:t>
            </w:r>
            <w:r w:rsidR="00A2798F">
              <w:rPr>
                <w:rFonts w:ascii="Verdana" w:hAnsi="Verdana" w:cs="Calibri"/>
                <w:sz w:val="18"/>
                <w:szCs w:val="18"/>
              </w:rPr>
              <w:t xml:space="preserve"> </w:t>
            </w:r>
            <w:r w:rsidRPr="00022C9D">
              <w:rPr>
                <w:rFonts w:ascii="Verdana" w:hAnsi="Verdana" w:cs="Calibri"/>
                <w:sz w:val="18"/>
                <w:szCs w:val="18"/>
              </w:rPr>
              <w:t>sector (Art. 4</w:t>
            </w:r>
            <w:r w:rsidR="00A83199">
              <w:rPr>
                <w:rFonts w:ascii="Verdana" w:hAnsi="Verdana" w:cs="Calibri"/>
                <w:sz w:val="18"/>
                <w:szCs w:val="18"/>
              </w:rPr>
              <w:t>7</w:t>
            </w:r>
            <w:r w:rsidRPr="00022C9D">
              <w:rPr>
                <w:rFonts w:ascii="Verdana" w:hAnsi="Verdana" w:cs="Calibri"/>
                <w:sz w:val="18"/>
                <w:szCs w:val="18"/>
              </w:rPr>
              <w:t>(1)(</w:t>
            </w:r>
            <w:r w:rsidR="00A83199">
              <w:rPr>
                <w:rFonts w:ascii="Verdana" w:hAnsi="Verdana" w:cs="Calibri"/>
                <w:sz w:val="18"/>
                <w:szCs w:val="18"/>
              </w:rPr>
              <w:t>a</w:t>
            </w:r>
            <w:r w:rsidRPr="00022C9D">
              <w:rPr>
                <w:rFonts w:ascii="Verdana" w:hAnsi="Verdana" w:cs="Calibri"/>
                <w:sz w:val="18"/>
                <w:szCs w:val="18"/>
              </w:rPr>
              <w:t>)). Experimental production may concern new varieties / more environmental friendly practices / digiti</w:t>
            </w:r>
            <w:r w:rsidR="00007995">
              <w:rPr>
                <w:rFonts w:ascii="Verdana" w:hAnsi="Verdana" w:cs="Calibri"/>
                <w:sz w:val="18"/>
                <w:szCs w:val="18"/>
              </w:rPr>
              <w:t>s</w:t>
            </w:r>
            <w:r w:rsidRPr="00022C9D">
              <w:rPr>
                <w:rFonts w:ascii="Verdana" w:hAnsi="Verdana" w:cs="Calibri"/>
                <w:sz w:val="18"/>
                <w:szCs w:val="18"/>
              </w:rPr>
              <w:t>ed production, etc. and is usually carried out by research units of POs in greenhouses or open field as a test before production.</w:t>
            </w:r>
          </w:p>
          <w:p w14:paraId="780ECA2B" w14:textId="5F804720" w:rsidR="00022C9D" w:rsidRDefault="00022C9D" w:rsidP="00A85A9D">
            <w:pPr>
              <w:jc w:val="both"/>
              <w:rPr>
                <w:rFonts w:ascii="Verdana" w:hAnsi="Verdana" w:cs="Calibri"/>
                <w:sz w:val="18"/>
                <w:szCs w:val="18"/>
              </w:rPr>
            </w:pPr>
            <w:r w:rsidRPr="00022C9D">
              <w:rPr>
                <w:rFonts w:ascii="Verdana" w:hAnsi="Verdana" w:cs="Calibri"/>
                <w:sz w:val="18"/>
                <w:szCs w:val="18"/>
              </w:rPr>
              <w:t>For wine, the wording of Art 5</w:t>
            </w:r>
            <w:r w:rsidR="000E68A5">
              <w:rPr>
                <w:rFonts w:ascii="Verdana" w:hAnsi="Verdana" w:cs="Calibri"/>
                <w:sz w:val="18"/>
                <w:szCs w:val="18"/>
              </w:rPr>
              <w:t>8(</w:t>
            </w:r>
            <w:r w:rsidRPr="00022C9D">
              <w:rPr>
                <w:rFonts w:ascii="Verdana" w:hAnsi="Verdana" w:cs="Calibri"/>
                <w:sz w:val="18"/>
                <w:szCs w:val="18"/>
              </w:rPr>
              <w:t>1</w:t>
            </w:r>
            <w:r w:rsidR="000E68A5">
              <w:rPr>
                <w:rFonts w:ascii="Verdana" w:hAnsi="Verdana" w:cs="Calibri"/>
                <w:sz w:val="18"/>
                <w:szCs w:val="18"/>
              </w:rPr>
              <w:t>)(</w:t>
            </w:r>
            <w:r w:rsidRPr="00022C9D">
              <w:rPr>
                <w:rFonts w:ascii="Verdana" w:hAnsi="Verdana" w:cs="Calibri"/>
                <w:sz w:val="18"/>
                <w:szCs w:val="18"/>
              </w:rPr>
              <w:t>e</w:t>
            </w:r>
            <w:r w:rsidR="000E68A5">
              <w:rPr>
                <w:rFonts w:ascii="Verdana" w:hAnsi="Verdana" w:cs="Calibri"/>
                <w:sz w:val="18"/>
                <w:szCs w:val="18"/>
              </w:rPr>
              <w:t>)</w:t>
            </w:r>
            <w:r w:rsidRPr="00022C9D">
              <w:rPr>
                <w:rFonts w:ascii="Verdana" w:hAnsi="Verdana" w:cs="Calibri"/>
                <w:sz w:val="18"/>
                <w:szCs w:val="18"/>
              </w:rPr>
              <w:t xml:space="preserve"> is slightly different ("</w:t>
            </w:r>
            <w:r w:rsidRPr="00022C9D">
              <w:rPr>
                <w:rFonts w:ascii="Verdana" w:hAnsi="Verdana" w:cs="Calibri"/>
                <w:sz w:val="18"/>
                <w:szCs w:val="18"/>
                <w:u w:val="single"/>
              </w:rPr>
              <w:t>investments in innovation</w:t>
            </w:r>
            <w:r w:rsidRPr="00022C9D">
              <w:rPr>
                <w:rFonts w:ascii="Verdana" w:hAnsi="Verdana" w:cs="Calibri"/>
                <w:sz w:val="18"/>
                <w:szCs w:val="18"/>
              </w:rPr>
              <w:t xml:space="preserve">"). For apiculture too, </w:t>
            </w:r>
            <w:r w:rsidR="00A2798F">
              <w:rPr>
                <w:rFonts w:ascii="Verdana" w:hAnsi="Verdana" w:cs="Calibri"/>
                <w:sz w:val="18"/>
                <w:szCs w:val="18"/>
              </w:rPr>
              <w:t>A</w:t>
            </w:r>
            <w:r w:rsidRPr="00022C9D">
              <w:rPr>
                <w:rFonts w:ascii="Verdana" w:hAnsi="Verdana" w:cs="Calibri"/>
                <w:sz w:val="18"/>
                <w:szCs w:val="18"/>
              </w:rPr>
              <w:t xml:space="preserve">rt </w:t>
            </w:r>
            <w:r w:rsidR="00C34707">
              <w:rPr>
                <w:rFonts w:ascii="Verdana" w:hAnsi="Verdana" w:cs="Calibri"/>
                <w:sz w:val="18"/>
                <w:szCs w:val="18"/>
              </w:rPr>
              <w:t>55(</w:t>
            </w:r>
            <w:r w:rsidRPr="00022C9D">
              <w:rPr>
                <w:rFonts w:ascii="Verdana" w:hAnsi="Verdana" w:cs="Calibri"/>
                <w:sz w:val="18"/>
                <w:szCs w:val="18"/>
              </w:rPr>
              <w:t>1</w:t>
            </w:r>
            <w:r w:rsidR="00C34707">
              <w:rPr>
                <w:rFonts w:ascii="Verdana" w:hAnsi="Verdana" w:cs="Calibri"/>
                <w:sz w:val="18"/>
                <w:szCs w:val="18"/>
              </w:rPr>
              <w:t>)(e)</w:t>
            </w:r>
            <w:r w:rsidRPr="00022C9D">
              <w:rPr>
                <w:rFonts w:ascii="Verdana" w:hAnsi="Verdana" w:cs="Calibri"/>
                <w:sz w:val="18"/>
                <w:szCs w:val="18"/>
              </w:rPr>
              <w:t xml:space="preserve"> ("</w:t>
            </w:r>
            <w:r w:rsidRPr="00022C9D">
              <w:rPr>
                <w:rFonts w:ascii="Verdana" w:hAnsi="Verdana" w:cs="Calibri"/>
                <w:sz w:val="18"/>
                <w:szCs w:val="18"/>
                <w:u w:val="single"/>
              </w:rPr>
              <w:t>implementation of research programs</w:t>
            </w:r>
            <w:r w:rsidRPr="00022C9D">
              <w:rPr>
                <w:rFonts w:ascii="Verdana" w:hAnsi="Verdana" w:cs="Calibri"/>
                <w:sz w:val="18"/>
                <w:szCs w:val="18"/>
              </w:rPr>
              <w:t>") for example.</w:t>
            </w:r>
          </w:p>
          <w:p w14:paraId="6B281BE7" w14:textId="77777777" w:rsidR="00007995" w:rsidRDefault="00007995" w:rsidP="00A85A9D">
            <w:pPr>
              <w:jc w:val="both"/>
              <w:rPr>
                <w:rFonts w:ascii="Verdana" w:hAnsi="Verdana" w:cs="Calibri"/>
                <w:sz w:val="18"/>
                <w:szCs w:val="18"/>
              </w:rPr>
            </w:pPr>
            <w:r w:rsidRPr="00007995">
              <w:rPr>
                <w:rFonts w:ascii="Verdana" w:hAnsi="Verdana"/>
                <w:sz w:val="18"/>
                <w:szCs w:val="18"/>
              </w:rPr>
              <w:t>Methodology/formula</w:t>
            </w:r>
            <w:r w:rsidRPr="00007995">
              <w:rPr>
                <w:rFonts w:ascii="Verdana" w:hAnsi="Verdana" w:cs="Calibri"/>
                <w:sz w:val="18"/>
                <w:szCs w:val="18"/>
              </w:rPr>
              <w:t>:</w:t>
            </w:r>
            <w:r>
              <w:rPr>
                <w:rFonts w:ascii="Verdana" w:hAnsi="Verdana" w:cs="Calibri"/>
                <w:sz w:val="18"/>
                <w:szCs w:val="18"/>
              </w:rPr>
              <w:t xml:space="preserve"> </w:t>
            </w:r>
            <w:r w:rsidRPr="00022C9D">
              <w:rPr>
                <w:rFonts w:ascii="Verdana" w:hAnsi="Verdana" w:cs="Calibri"/>
                <w:sz w:val="18"/>
                <w:szCs w:val="18"/>
              </w:rPr>
              <w:t>Calculation based on annual financial transactions</w:t>
            </w:r>
            <w:r>
              <w:rPr>
                <w:rFonts w:ascii="Verdana" w:hAnsi="Verdana" w:cs="Calibri"/>
                <w:sz w:val="18"/>
                <w:szCs w:val="18"/>
              </w:rPr>
              <w:t>.</w:t>
            </w:r>
          </w:p>
          <w:p w14:paraId="7C2EE069" w14:textId="77777777" w:rsidR="005E3C6A" w:rsidRDefault="005E3C6A" w:rsidP="00A85A9D">
            <w:pPr>
              <w:jc w:val="both"/>
              <w:rPr>
                <w:rFonts w:ascii="Verdana" w:hAnsi="Verdana" w:cs="Calibri"/>
                <w:sz w:val="18"/>
                <w:szCs w:val="18"/>
              </w:rPr>
            </w:pPr>
            <w:r>
              <w:rPr>
                <w:rFonts w:ascii="Verdana" w:hAnsi="Verdana" w:cs="Calibri"/>
                <w:sz w:val="18"/>
                <w:szCs w:val="18"/>
              </w:rPr>
              <w:t>Expenditure accounted for:</w:t>
            </w:r>
          </w:p>
          <w:p w14:paraId="2C5DFE81" w14:textId="77777777" w:rsidR="005E3C6A" w:rsidRPr="00A85A9D" w:rsidRDefault="005E3C6A" w:rsidP="005E3C6A">
            <w:pPr>
              <w:pStyle w:val="ListParagraph"/>
              <w:numPr>
                <w:ilvl w:val="0"/>
                <w:numId w:val="50"/>
              </w:numPr>
              <w:spacing w:before="120" w:after="60"/>
              <w:rPr>
                <w:rFonts w:ascii="Verdana" w:hAnsi="Verdana" w:cs="Calibri"/>
                <w:sz w:val="18"/>
                <w:szCs w:val="18"/>
              </w:rPr>
            </w:pPr>
            <w:r w:rsidRPr="00A85A9D">
              <w:rPr>
                <w:rFonts w:ascii="Verdana" w:hAnsi="Verdana" w:cs="Calibri"/>
                <w:sz w:val="18"/>
                <w:szCs w:val="18"/>
              </w:rPr>
              <w:t>interventions under Article 7</w:t>
            </w:r>
            <w:r>
              <w:rPr>
                <w:rFonts w:ascii="Verdana" w:hAnsi="Verdana" w:cs="Calibri"/>
                <w:sz w:val="18"/>
                <w:szCs w:val="18"/>
              </w:rPr>
              <w:t>8</w:t>
            </w:r>
            <w:r w:rsidRPr="00A85A9D">
              <w:rPr>
                <w:rFonts w:ascii="Verdana" w:hAnsi="Verdana" w:cs="Calibri"/>
                <w:sz w:val="18"/>
                <w:szCs w:val="18"/>
              </w:rPr>
              <w:t xml:space="preserve"> (</w:t>
            </w:r>
            <w:r w:rsidRPr="00A85A9D">
              <w:rPr>
                <w:rFonts w:ascii="Verdana" w:hAnsi="Verdana"/>
                <w:sz w:val="18"/>
                <w:szCs w:val="18"/>
                <w:lang w:val="en-IE"/>
              </w:rPr>
              <w:t>knowledge exchange and</w:t>
            </w:r>
            <w:r>
              <w:rPr>
                <w:rFonts w:ascii="Verdana" w:hAnsi="Verdana"/>
                <w:sz w:val="18"/>
                <w:szCs w:val="18"/>
                <w:lang w:val="en-IE"/>
              </w:rPr>
              <w:t xml:space="preserve"> dissemination of</w:t>
            </w:r>
            <w:r w:rsidRPr="00A85A9D">
              <w:rPr>
                <w:rFonts w:ascii="Verdana" w:hAnsi="Verdana"/>
                <w:sz w:val="18"/>
                <w:szCs w:val="18"/>
                <w:lang w:val="en-IE"/>
              </w:rPr>
              <w:t xml:space="preserve"> information), e.g. use of advice by farmers; training of advisors; cross-visits for advisors; knowledge exchange activities between advisors, CAP networks and research working together; setting up and implementing of EIP OG innovative projects etc.)</w:t>
            </w:r>
          </w:p>
          <w:p w14:paraId="41556B3D" w14:textId="619B6392" w:rsidR="005E3C6A" w:rsidRPr="000161A5" w:rsidRDefault="005E3C6A" w:rsidP="005E3C6A">
            <w:pPr>
              <w:pStyle w:val="ListParagraph"/>
              <w:numPr>
                <w:ilvl w:val="0"/>
                <w:numId w:val="50"/>
              </w:numPr>
              <w:spacing w:before="120" w:after="60"/>
              <w:rPr>
                <w:rFonts w:ascii="Verdana" w:hAnsi="Verdana"/>
                <w:b/>
                <w:bCs/>
                <w:sz w:val="18"/>
                <w:szCs w:val="18"/>
              </w:rPr>
            </w:pPr>
            <w:r w:rsidRPr="00A85A9D">
              <w:rPr>
                <w:rFonts w:ascii="Verdana" w:hAnsi="Verdana" w:cs="Calibri"/>
                <w:sz w:val="18"/>
                <w:szCs w:val="18"/>
              </w:rPr>
              <w:t>innovative projects of EIP operational groups (interventions funded under Article 7</w:t>
            </w:r>
            <w:r>
              <w:rPr>
                <w:rFonts w:ascii="Verdana" w:hAnsi="Verdana" w:cs="Calibri"/>
                <w:sz w:val="18"/>
                <w:szCs w:val="18"/>
              </w:rPr>
              <w:t>7</w:t>
            </w:r>
            <w:r w:rsidRPr="00A85A9D">
              <w:rPr>
                <w:rFonts w:ascii="Verdana" w:hAnsi="Verdana" w:cs="Calibri"/>
                <w:sz w:val="18"/>
                <w:szCs w:val="18"/>
              </w:rPr>
              <w:t xml:space="preserve"> according to specific requirements detailed in Art 1</w:t>
            </w:r>
            <w:r>
              <w:rPr>
                <w:rFonts w:ascii="Verdana" w:hAnsi="Verdana" w:cs="Calibri"/>
                <w:sz w:val="18"/>
                <w:szCs w:val="18"/>
              </w:rPr>
              <w:t>27</w:t>
            </w:r>
            <w:r w:rsidRPr="00A85A9D">
              <w:rPr>
                <w:rFonts w:ascii="Verdana" w:hAnsi="Verdana" w:cs="Calibri"/>
                <w:sz w:val="18"/>
                <w:szCs w:val="18"/>
              </w:rPr>
              <w:t>)</w:t>
            </w:r>
          </w:p>
          <w:p w14:paraId="6A6ECC41" w14:textId="0E6E6F83" w:rsidR="005E3C6A" w:rsidRPr="002737C1" w:rsidRDefault="000161A5" w:rsidP="002737C1">
            <w:pPr>
              <w:pStyle w:val="ListParagraph"/>
              <w:numPr>
                <w:ilvl w:val="0"/>
                <w:numId w:val="50"/>
              </w:numPr>
              <w:spacing w:before="120" w:after="60"/>
              <w:rPr>
                <w:rFonts w:ascii="Verdana" w:hAnsi="Verdana" w:cs="Calibri"/>
                <w:sz w:val="18"/>
                <w:szCs w:val="18"/>
              </w:rPr>
            </w:pPr>
            <w:r>
              <w:rPr>
                <w:rFonts w:ascii="Verdana" w:hAnsi="Verdana" w:cs="Calibri"/>
                <w:sz w:val="18"/>
                <w:szCs w:val="18"/>
              </w:rPr>
              <w:t>s</w:t>
            </w:r>
            <w:r w:rsidRPr="00A83199">
              <w:rPr>
                <w:rFonts w:ascii="Verdana" w:hAnsi="Verdana" w:cs="Calibri"/>
                <w:sz w:val="18"/>
                <w:szCs w:val="18"/>
              </w:rPr>
              <w:t>upport to</w:t>
            </w:r>
            <w:r>
              <w:rPr>
                <w:rFonts w:ascii="Verdana" w:hAnsi="Verdana" w:cs="Calibri"/>
                <w:sz w:val="18"/>
                <w:szCs w:val="18"/>
              </w:rPr>
              <w:t xml:space="preserve"> training and advise under </w:t>
            </w:r>
            <w:r w:rsidRPr="00022C9D">
              <w:rPr>
                <w:rFonts w:ascii="Verdana" w:hAnsi="Verdana" w:cs="Calibri"/>
                <w:sz w:val="18"/>
                <w:szCs w:val="18"/>
              </w:rPr>
              <w:t>Art 4</w:t>
            </w:r>
            <w:r>
              <w:rPr>
                <w:rFonts w:ascii="Verdana" w:hAnsi="Verdana" w:cs="Calibri"/>
                <w:sz w:val="18"/>
                <w:szCs w:val="18"/>
              </w:rPr>
              <w:t>7</w:t>
            </w:r>
            <w:r w:rsidRPr="00022C9D">
              <w:rPr>
                <w:rFonts w:ascii="Verdana" w:hAnsi="Verdana" w:cs="Calibri"/>
                <w:sz w:val="18"/>
                <w:szCs w:val="18"/>
              </w:rPr>
              <w:t>(1)(b)</w:t>
            </w:r>
            <w:r>
              <w:rPr>
                <w:rFonts w:ascii="Verdana" w:hAnsi="Verdana" w:cs="Calibri"/>
                <w:sz w:val="18"/>
                <w:szCs w:val="18"/>
              </w:rPr>
              <w:t xml:space="preserve"> and</w:t>
            </w:r>
            <w:r w:rsidRPr="00022C9D">
              <w:rPr>
                <w:rFonts w:ascii="Verdana" w:hAnsi="Verdana" w:cs="Calibri"/>
                <w:sz w:val="18"/>
                <w:szCs w:val="18"/>
              </w:rPr>
              <w:t xml:space="preserve"> (</w:t>
            </w:r>
            <w:r>
              <w:rPr>
                <w:rFonts w:ascii="Verdana" w:hAnsi="Verdana" w:cs="Calibri"/>
                <w:sz w:val="18"/>
                <w:szCs w:val="18"/>
              </w:rPr>
              <w:t>c</w:t>
            </w:r>
            <w:r w:rsidRPr="00022C9D">
              <w:rPr>
                <w:rFonts w:ascii="Verdana" w:hAnsi="Verdana" w:cs="Calibri"/>
                <w:sz w:val="18"/>
                <w:szCs w:val="18"/>
              </w:rPr>
              <w:t>)</w:t>
            </w:r>
            <w:r>
              <w:rPr>
                <w:rFonts w:ascii="Verdana" w:hAnsi="Verdana" w:cs="Calibri"/>
                <w:sz w:val="18"/>
                <w:szCs w:val="18"/>
              </w:rPr>
              <w:t>, Art 55(1)(a) and Art 58(1)(f) as well as to</w:t>
            </w:r>
            <w:r w:rsidRPr="00A83199">
              <w:rPr>
                <w:rFonts w:ascii="Verdana" w:hAnsi="Verdana" w:cs="Calibri"/>
                <w:sz w:val="18"/>
                <w:szCs w:val="18"/>
              </w:rPr>
              <w:t xml:space="preserve"> research, innovation and experimental production (Art 4</w:t>
            </w:r>
            <w:r>
              <w:rPr>
                <w:rFonts w:ascii="Verdana" w:hAnsi="Verdana" w:cs="Calibri"/>
                <w:sz w:val="18"/>
                <w:szCs w:val="18"/>
              </w:rPr>
              <w:t>7</w:t>
            </w:r>
            <w:r w:rsidRPr="00A83199">
              <w:rPr>
                <w:rFonts w:ascii="Verdana" w:hAnsi="Verdana" w:cs="Calibri"/>
                <w:sz w:val="18"/>
                <w:szCs w:val="18"/>
              </w:rPr>
              <w:t>(1)(</w:t>
            </w:r>
            <w:r>
              <w:rPr>
                <w:rFonts w:ascii="Verdana" w:hAnsi="Verdana" w:cs="Calibri"/>
                <w:sz w:val="18"/>
                <w:szCs w:val="18"/>
              </w:rPr>
              <w:t>a</w:t>
            </w:r>
            <w:r w:rsidRPr="00A83199">
              <w:rPr>
                <w:rFonts w:ascii="Verdana" w:hAnsi="Verdana" w:cs="Calibri"/>
                <w:sz w:val="18"/>
                <w:szCs w:val="18"/>
              </w:rPr>
              <w:t>), Art 58(1)(e)</w:t>
            </w:r>
            <w:r>
              <w:rPr>
                <w:rFonts w:ascii="Verdana" w:hAnsi="Verdana" w:cs="Calibri"/>
                <w:sz w:val="18"/>
                <w:szCs w:val="18"/>
              </w:rPr>
              <w:t>, A</w:t>
            </w:r>
            <w:r w:rsidRPr="00022C9D">
              <w:rPr>
                <w:rFonts w:ascii="Verdana" w:hAnsi="Verdana" w:cs="Calibri"/>
                <w:sz w:val="18"/>
                <w:szCs w:val="18"/>
              </w:rPr>
              <w:t xml:space="preserve">rt </w:t>
            </w:r>
            <w:r>
              <w:rPr>
                <w:rFonts w:ascii="Verdana" w:hAnsi="Verdana" w:cs="Calibri"/>
                <w:sz w:val="18"/>
                <w:szCs w:val="18"/>
              </w:rPr>
              <w:t>55(</w:t>
            </w:r>
            <w:r w:rsidRPr="00022C9D">
              <w:rPr>
                <w:rFonts w:ascii="Verdana" w:hAnsi="Verdana" w:cs="Calibri"/>
                <w:sz w:val="18"/>
                <w:szCs w:val="18"/>
              </w:rPr>
              <w:t>1</w:t>
            </w:r>
            <w:r>
              <w:rPr>
                <w:rFonts w:ascii="Verdana" w:hAnsi="Verdana" w:cs="Calibri"/>
                <w:sz w:val="18"/>
                <w:szCs w:val="18"/>
              </w:rPr>
              <w:t>)(e)</w:t>
            </w:r>
            <w:r w:rsidRPr="00A83199">
              <w:rPr>
                <w:rFonts w:ascii="Verdana" w:hAnsi="Verdana" w:cs="Calibri"/>
                <w:sz w:val="18"/>
                <w:szCs w:val="18"/>
              </w:rPr>
              <w:t>)</w:t>
            </w:r>
          </w:p>
        </w:tc>
      </w:tr>
      <w:tr w:rsidR="00022C9D" w:rsidRPr="004D00BF" w14:paraId="55DFF1CA"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60E69D53" w14:textId="77777777" w:rsidR="00022C9D" w:rsidRPr="004E3EB3" w:rsidRDefault="00022C9D" w:rsidP="790C88FB">
            <w:pPr>
              <w:spacing w:before="120" w:after="60"/>
              <w:rPr>
                <w:rFonts w:ascii="Verdana" w:hAnsi="Verdana"/>
                <w:b/>
                <w:bCs/>
                <w:i/>
                <w:iCs/>
                <w:sz w:val="18"/>
                <w:szCs w:val="18"/>
              </w:rPr>
            </w:pPr>
            <w:r w:rsidRPr="5CB4B133">
              <w:rPr>
                <w:rFonts w:ascii="Verdana" w:hAnsi="Verdana"/>
                <w:b/>
                <w:bCs/>
                <w:sz w:val="18"/>
                <w:szCs w:val="18"/>
              </w:rPr>
              <w:t>Unit of measurement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FCDE10" w14:textId="6E893046" w:rsidR="00022C9D" w:rsidRPr="0095712A" w:rsidRDefault="005E3C6A" w:rsidP="002737C1">
            <w:pPr>
              <w:spacing w:before="120" w:after="60"/>
            </w:pPr>
            <w:r>
              <w:rPr>
                <w:rFonts w:ascii="Verdana" w:hAnsi="Verdana" w:cs="Calibri"/>
                <w:sz w:val="18"/>
                <w:szCs w:val="18"/>
              </w:rPr>
              <w:t>%</w:t>
            </w:r>
          </w:p>
        </w:tc>
      </w:tr>
      <w:tr w:rsidR="00022C9D" w:rsidRPr="004D00BF" w14:paraId="21E6F0B6"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0B4BB464"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lastRenderedPageBreak/>
              <w:t>Data source</w:t>
            </w:r>
          </w:p>
        </w:tc>
        <w:tc>
          <w:tcPr>
            <w:tcW w:w="7654" w:type="dxa"/>
            <w:tcBorders>
              <w:top w:val="single" w:sz="4" w:space="0" w:color="auto"/>
              <w:left w:val="single" w:sz="4" w:space="0" w:color="auto"/>
              <w:bottom w:val="single" w:sz="4" w:space="0" w:color="auto"/>
              <w:right w:val="single" w:sz="4" w:space="0" w:color="auto"/>
            </w:tcBorders>
          </w:tcPr>
          <w:p w14:paraId="72542A48" w14:textId="77777777" w:rsidR="00022C9D" w:rsidRPr="00022C9D" w:rsidRDefault="00603D76" w:rsidP="00303128">
            <w:pPr>
              <w:spacing w:before="120" w:after="60"/>
              <w:rPr>
                <w:rFonts w:ascii="Verdana" w:hAnsi="Verdana" w:cs="Calibri"/>
                <w:sz w:val="18"/>
                <w:szCs w:val="18"/>
              </w:rPr>
            </w:pPr>
            <w:r>
              <w:rPr>
                <w:rFonts w:ascii="Verdana" w:hAnsi="Verdana" w:cs="Calibri"/>
                <w:sz w:val="18"/>
                <w:szCs w:val="18"/>
              </w:rPr>
              <w:t>Annual expenditure</w:t>
            </w:r>
          </w:p>
        </w:tc>
      </w:tr>
      <w:tr w:rsidR="00022C9D" w:rsidRPr="004D00BF" w14:paraId="1CB9925C"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33AD46F7" w14:textId="77777777" w:rsidR="00022C9D" w:rsidRPr="004E3EB3" w:rsidRDefault="00022C9D" w:rsidP="790C88FB">
            <w:pPr>
              <w:spacing w:before="120" w:after="60"/>
              <w:rPr>
                <w:rFonts w:ascii="Verdana" w:hAnsi="Verdana"/>
                <w:b/>
                <w:bCs/>
                <w:i/>
                <w:i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654" w:type="dxa"/>
            <w:tcBorders>
              <w:top w:val="single" w:sz="4" w:space="0" w:color="auto"/>
              <w:left w:val="single" w:sz="4" w:space="0" w:color="auto"/>
              <w:bottom w:val="single" w:sz="4" w:space="0" w:color="auto"/>
              <w:right w:val="single" w:sz="4" w:space="0" w:color="auto"/>
            </w:tcBorders>
          </w:tcPr>
          <w:p w14:paraId="19884B33" w14:textId="77777777" w:rsidR="00022C9D" w:rsidRPr="00022C9D" w:rsidRDefault="0001175C" w:rsidP="00303128">
            <w:pPr>
              <w:spacing w:before="120" w:after="60"/>
              <w:rPr>
                <w:rFonts w:ascii="Verdana" w:hAnsi="Verdana" w:cs="Calibri"/>
                <w:sz w:val="18"/>
                <w:szCs w:val="18"/>
              </w:rPr>
            </w:pPr>
            <w:r>
              <w:rPr>
                <w:rFonts w:ascii="Verdana" w:hAnsi="Verdana" w:cs="Calibri"/>
                <w:sz w:val="18"/>
                <w:szCs w:val="18"/>
              </w:rPr>
              <w:t>DG AGRI (</w:t>
            </w:r>
            <w:r w:rsidR="00603D76">
              <w:rPr>
                <w:rFonts w:ascii="Verdana" w:hAnsi="Verdana" w:cs="Calibri"/>
                <w:sz w:val="18"/>
                <w:szCs w:val="18"/>
              </w:rPr>
              <w:t>Annual Performance Report</w:t>
            </w:r>
            <w:r>
              <w:rPr>
                <w:rFonts w:ascii="Verdana" w:hAnsi="Verdana" w:cs="Calibri"/>
                <w:sz w:val="18"/>
                <w:szCs w:val="18"/>
              </w:rPr>
              <w:t>s)</w:t>
            </w:r>
          </w:p>
        </w:tc>
      </w:tr>
      <w:tr w:rsidR="00022C9D" w:rsidRPr="004D00BF" w14:paraId="191D8A0D"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16309B0E"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t>Data collection</w:t>
            </w:r>
            <w:r w:rsidR="00007995" w:rsidRPr="5CB4B133">
              <w:rPr>
                <w:rFonts w:ascii="Verdana" w:hAnsi="Verdana"/>
                <w:b/>
                <w:bCs/>
                <w:sz w:val="18"/>
                <w:szCs w:val="18"/>
              </w:rPr>
              <w:t xml:space="preserve"> / dissemination </w:t>
            </w:r>
            <w:r w:rsidRPr="5CB4B133">
              <w:rPr>
                <w:rFonts w:ascii="Verdana" w:hAnsi="Verdana"/>
                <w:b/>
                <w:bCs/>
                <w:sz w:val="18"/>
                <w:szCs w:val="18"/>
              </w:rPr>
              <w:t>level</w:t>
            </w:r>
          </w:p>
        </w:tc>
        <w:tc>
          <w:tcPr>
            <w:tcW w:w="7654" w:type="dxa"/>
            <w:tcBorders>
              <w:top w:val="single" w:sz="4" w:space="0" w:color="auto"/>
              <w:left w:val="single" w:sz="4" w:space="0" w:color="auto"/>
              <w:bottom w:val="single" w:sz="4" w:space="0" w:color="auto"/>
              <w:right w:val="single" w:sz="4" w:space="0" w:color="auto"/>
            </w:tcBorders>
          </w:tcPr>
          <w:p w14:paraId="61B93470" w14:textId="314D543E" w:rsidR="00022C9D" w:rsidRPr="00022C9D" w:rsidRDefault="00B3192B" w:rsidP="00303128">
            <w:pPr>
              <w:spacing w:before="120" w:after="60"/>
              <w:rPr>
                <w:rFonts w:ascii="Verdana" w:hAnsi="Verdana"/>
                <w:sz w:val="18"/>
                <w:szCs w:val="18"/>
              </w:rPr>
            </w:pPr>
            <w:r>
              <w:rPr>
                <w:rFonts w:ascii="Verdana" w:hAnsi="Verdana"/>
                <w:sz w:val="18"/>
                <w:szCs w:val="18"/>
              </w:rPr>
              <w:t>National (NUTS 0)</w:t>
            </w:r>
          </w:p>
        </w:tc>
      </w:tr>
      <w:tr w:rsidR="00022C9D" w:rsidRPr="004D00BF" w14:paraId="35220DC5"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1D45D4A4"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654" w:type="dxa"/>
            <w:tcBorders>
              <w:top w:val="single" w:sz="4" w:space="0" w:color="auto"/>
              <w:left w:val="single" w:sz="4" w:space="0" w:color="auto"/>
              <w:bottom w:val="single" w:sz="4" w:space="0" w:color="auto"/>
              <w:right w:val="single" w:sz="4" w:space="0" w:color="auto"/>
            </w:tcBorders>
          </w:tcPr>
          <w:p w14:paraId="1AFB48BC" w14:textId="77777777" w:rsidR="00022C9D" w:rsidRPr="00022C9D" w:rsidRDefault="00603D76" w:rsidP="5CB4B133">
            <w:pPr>
              <w:spacing w:before="120" w:after="60"/>
              <w:rPr>
                <w:rFonts w:ascii="Verdana" w:hAnsi="Verdana"/>
                <w:b/>
                <w:bCs/>
                <w:sz w:val="18"/>
                <w:szCs w:val="18"/>
              </w:rPr>
            </w:pPr>
            <w:r w:rsidRPr="5CB4B133">
              <w:rPr>
                <w:rFonts w:ascii="Verdana" w:hAnsi="Verdana" w:cs="Calibri"/>
                <w:sz w:val="18"/>
                <w:szCs w:val="18"/>
              </w:rPr>
              <w:t>Annual</w:t>
            </w:r>
          </w:p>
        </w:tc>
      </w:tr>
      <w:tr w:rsidR="00022C9D" w:rsidRPr="004D00BF" w14:paraId="2DF522C4"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7676FE41" w14:textId="77777777" w:rsidR="00022C9D" w:rsidRPr="004E3EB3" w:rsidRDefault="00161B7C" w:rsidP="790C88FB">
            <w:pPr>
              <w:spacing w:before="120" w:after="60"/>
              <w:rPr>
                <w:rFonts w:ascii="Verdana" w:hAnsi="Verdana"/>
                <w:b/>
                <w:bCs/>
                <w:i/>
                <w:iCs/>
                <w:sz w:val="18"/>
                <w:szCs w:val="18"/>
              </w:rPr>
            </w:pPr>
            <w:r w:rsidRPr="5CB4B133">
              <w:rPr>
                <w:rFonts w:ascii="Verdana" w:hAnsi="Verdana"/>
                <w:b/>
                <w:bCs/>
                <w:sz w:val="18"/>
                <w:szCs w:val="18"/>
              </w:rPr>
              <w:t>Timeliness</w:t>
            </w:r>
          </w:p>
        </w:tc>
        <w:tc>
          <w:tcPr>
            <w:tcW w:w="7654" w:type="dxa"/>
            <w:tcBorders>
              <w:top w:val="single" w:sz="4" w:space="0" w:color="auto"/>
              <w:left w:val="single" w:sz="4" w:space="0" w:color="auto"/>
              <w:bottom w:val="single" w:sz="4" w:space="0" w:color="auto"/>
              <w:right w:val="single" w:sz="4" w:space="0" w:color="auto"/>
            </w:tcBorders>
          </w:tcPr>
          <w:p w14:paraId="4E04EC96" w14:textId="77777777" w:rsidR="00022C9D" w:rsidRPr="00022C9D" w:rsidRDefault="00603D76" w:rsidP="00303128">
            <w:pPr>
              <w:spacing w:before="120" w:after="60"/>
              <w:rPr>
                <w:rFonts w:ascii="Verdana" w:hAnsi="Verdana"/>
                <w:sz w:val="18"/>
                <w:szCs w:val="18"/>
              </w:rPr>
            </w:pPr>
            <w:r>
              <w:rPr>
                <w:rFonts w:ascii="Verdana" w:hAnsi="Verdana"/>
                <w:sz w:val="18"/>
                <w:szCs w:val="18"/>
              </w:rPr>
              <w:t>One year</w:t>
            </w:r>
          </w:p>
        </w:tc>
      </w:tr>
      <w:tr w:rsidR="00022C9D" w:rsidRPr="004D00BF" w14:paraId="4E1D0724" w14:textId="77777777" w:rsidTr="790C88FB">
        <w:tc>
          <w:tcPr>
            <w:tcW w:w="2660" w:type="dxa"/>
            <w:tcBorders>
              <w:top w:val="single" w:sz="4" w:space="0" w:color="auto"/>
              <w:left w:val="single" w:sz="4" w:space="0" w:color="auto"/>
              <w:bottom w:val="single" w:sz="4" w:space="0" w:color="auto"/>
              <w:right w:val="single" w:sz="4" w:space="0" w:color="auto"/>
            </w:tcBorders>
            <w:shd w:val="clear" w:color="auto" w:fill="auto"/>
          </w:tcPr>
          <w:p w14:paraId="30437EBD" w14:textId="77777777" w:rsidR="00022C9D" w:rsidRPr="004E3EB3" w:rsidRDefault="00022C9D" w:rsidP="5CB4B133">
            <w:pPr>
              <w:spacing w:before="120" w:after="60"/>
              <w:rPr>
                <w:rFonts w:ascii="Verdana" w:hAnsi="Verdana"/>
                <w:b/>
                <w:bCs/>
                <w:sz w:val="18"/>
                <w:szCs w:val="18"/>
              </w:rPr>
            </w:pPr>
            <w:r w:rsidRPr="5CB4B133">
              <w:rPr>
                <w:rFonts w:ascii="Verdana" w:hAnsi="Verdana"/>
                <w:b/>
                <w:bCs/>
                <w:sz w:val="18"/>
                <w:szCs w:val="18"/>
              </w:rPr>
              <w:t>Comments/caveats</w:t>
            </w:r>
            <w:r w:rsidRPr="004E3EB3">
              <w:rPr>
                <w:rFonts w:ascii="Verdana" w:hAnsi="Verdana"/>
                <w:sz w:val="18"/>
                <w:szCs w:val="18"/>
              </w:rPr>
              <w:t xml:space="preserve"> </w:t>
            </w:r>
          </w:p>
        </w:tc>
        <w:tc>
          <w:tcPr>
            <w:tcW w:w="7654" w:type="dxa"/>
            <w:tcBorders>
              <w:top w:val="single" w:sz="4" w:space="0" w:color="auto"/>
              <w:left w:val="single" w:sz="4" w:space="0" w:color="auto"/>
              <w:bottom w:val="single" w:sz="4" w:space="0" w:color="auto"/>
              <w:right w:val="single" w:sz="4" w:space="0" w:color="auto"/>
            </w:tcBorders>
          </w:tcPr>
          <w:p w14:paraId="2861E1B8" w14:textId="77777777" w:rsidR="00022C9D" w:rsidRPr="00022C9D" w:rsidRDefault="00022C9D" w:rsidP="00303128">
            <w:pPr>
              <w:spacing w:before="120" w:after="60"/>
              <w:rPr>
                <w:rFonts w:ascii="Verdana" w:hAnsi="Verdana"/>
                <w:sz w:val="18"/>
                <w:szCs w:val="18"/>
              </w:rPr>
            </w:pPr>
          </w:p>
        </w:tc>
      </w:tr>
    </w:tbl>
    <w:p w14:paraId="4AA7CBDD" w14:textId="658E77DC" w:rsidR="00022C9D" w:rsidRDefault="00022C9D" w:rsidP="008F581F">
      <w:pPr>
        <w:spacing w:before="120" w:after="60"/>
        <w:ind w:left="720" w:right="360"/>
        <w:rPr>
          <w:rFonts w:ascii="Verdana" w:hAnsi="Verdana"/>
          <w:sz w:val="18"/>
          <w:szCs w:val="18"/>
        </w:rPr>
      </w:pPr>
    </w:p>
    <w:p w14:paraId="74C2E6B1" w14:textId="77777777" w:rsidR="008F581F" w:rsidRPr="00ED2A3A" w:rsidRDefault="008F581F" w:rsidP="008F581F">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4F7209" w:rsidRPr="004D00BF" w14:paraId="7CC39425"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00B0F0"/>
          </w:tcPr>
          <w:p w14:paraId="4420568B" w14:textId="68661E9F" w:rsidR="004F7209" w:rsidRPr="004E3EB3" w:rsidRDefault="004F7209" w:rsidP="009F6BD0">
            <w:pPr>
              <w:spacing w:before="120" w:after="60"/>
              <w:rPr>
                <w:rFonts w:ascii="Verdana" w:hAnsi="Verdana"/>
                <w:b/>
                <w:bCs/>
                <w:caps/>
                <w:sz w:val="18"/>
                <w:szCs w:val="18"/>
              </w:rPr>
            </w:pPr>
            <w:r w:rsidRPr="5CB4B133">
              <w:rPr>
                <w:rFonts w:ascii="Verdana" w:hAnsi="Verdana"/>
                <w:b/>
                <w:bCs/>
                <w:smallCaps/>
                <w:sz w:val="18"/>
                <w:szCs w:val="18"/>
              </w:rPr>
              <w:lastRenderedPageBreak/>
              <w:t>Indicator I.2</w:t>
            </w:r>
            <w:r w:rsidR="009F6BD0">
              <w:rPr>
                <w:rFonts w:ascii="Verdana" w:hAnsi="Verdana"/>
                <w:b/>
                <w:bCs/>
                <w:smallCaps/>
                <w:sz w:val="18"/>
                <w:szCs w:val="18"/>
              </w:rPr>
              <w:t>6</w:t>
            </w:r>
          </w:p>
        </w:tc>
        <w:tc>
          <w:tcPr>
            <w:tcW w:w="7230" w:type="dxa"/>
            <w:tcBorders>
              <w:top w:val="single" w:sz="4" w:space="0" w:color="auto"/>
              <w:left w:val="single" w:sz="4" w:space="0" w:color="auto"/>
              <w:bottom w:val="single" w:sz="4" w:space="0" w:color="auto"/>
              <w:right w:val="single" w:sz="4" w:space="0" w:color="auto"/>
            </w:tcBorders>
            <w:shd w:val="clear" w:color="auto" w:fill="00B0F0"/>
          </w:tcPr>
          <w:p w14:paraId="6614C21B" w14:textId="30B1A62F" w:rsidR="004F7209" w:rsidRDefault="004F7209" w:rsidP="5CB4B133">
            <w:pPr>
              <w:spacing w:before="120" w:after="60"/>
              <w:rPr>
                <w:rFonts w:ascii="Verdana" w:hAnsi="Verdana"/>
                <w:b/>
                <w:bCs/>
                <w:sz w:val="18"/>
                <w:szCs w:val="18"/>
              </w:rPr>
            </w:pPr>
            <w:bookmarkStart w:id="78" w:name="I24"/>
            <w:r w:rsidRPr="5CB4B133">
              <w:rPr>
                <w:rFonts w:ascii="Verdana" w:hAnsi="Verdana"/>
                <w:b/>
                <w:bCs/>
                <w:sz w:val="18"/>
                <w:szCs w:val="18"/>
              </w:rPr>
              <w:t>Indicator I.2</w:t>
            </w:r>
            <w:r w:rsidR="009F6BD0">
              <w:rPr>
                <w:rFonts w:ascii="Verdana" w:hAnsi="Verdana"/>
                <w:b/>
                <w:bCs/>
                <w:sz w:val="18"/>
                <w:szCs w:val="18"/>
              </w:rPr>
              <w:t>6</w:t>
            </w:r>
            <w:r w:rsidRPr="5CB4B133">
              <w:rPr>
                <w:rFonts w:ascii="Verdana" w:hAnsi="Verdana"/>
                <w:b/>
                <w:bCs/>
                <w:sz w:val="18"/>
                <w:szCs w:val="18"/>
              </w:rPr>
              <w:t xml:space="preserve"> </w:t>
            </w:r>
            <w:bookmarkEnd w:id="78"/>
            <w:r w:rsidRPr="5CB4B133">
              <w:rPr>
                <w:rFonts w:ascii="Verdana" w:hAnsi="Verdana"/>
                <w:b/>
                <w:bCs/>
                <w:sz w:val="18"/>
                <w:szCs w:val="18"/>
              </w:rPr>
              <w:t>A fairer CAP</w:t>
            </w:r>
          </w:p>
          <w:p w14:paraId="27A4EA77" w14:textId="602388AB" w:rsidR="00AC22B8" w:rsidRPr="009F6BD0" w:rsidRDefault="00AC22B8" w:rsidP="3B80D187">
            <w:pPr>
              <w:spacing w:before="120" w:after="60"/>
              <w:rPr>
                <w:rFonts w:ascii="Verdana" w:hAnsi="Verdana"/>
                <w:bCs/>
                <w:caps/>
                <w:sz w:val="18"/>
                <w:szCs w:val="18"/>
              </w:rPr>
            </w:pPr>
            <w:r w:rsidRPr="009F6BD0">
              <w:rPr>
                <w:rFonts w:ascii="Verdana" w:hAnsi="Verdana"/>
                <w:bCs/>
                <w:sz w:val="18"/>
                <w:szCs w:val="18"/>
              </w:rPr>
              <w:t>Distribution of CAP support</w:t>
            </w:r>
          </w:p>
        </w:tc>
      </w:tr>
      <w:tr w:rsidR="004F7209" w:rsidRPr="004D00BF" w14:paraId="2F331707"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44E4829E" w14:textId="77777777" w:rsidR="004F7209" w:rsidRPr="004E3EB3" w:rsidRDefault="004F7209" w:rsidP="790C88FB">
            <w:pPr>
              <w:spacing w:before="60" w:after="60"/>
              <w:rPr>
                <w:rFonts w:ascii="Verdana" w:hAnsi="Verdana"/>
                <w:b/>
                <w:bCs/>
                <w:i/>
                <w:iCs/>
                <w:sz w:val="18"/>
                <w:szCs w:val="18"/>
              </w:rPr>
            </w:pPr>
            <w:r w:rsidRPr="5CB4B133">
              <w:rPr>
                <w:rFonts w:ascii="Verdana" w:hAnsi="Verdana"/>
                <w:b/>
                <w:bCs/>
                <w:sz w:val="18"/>
                <w:szCs w:val="18"/>
              </w:rPr>
              <w:t>Indicator Name</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D73D15A" w14:textId="77777777" w:rsidR="004F7209" w:rsidRPr="004F7209" w:rsidRDefault="004F7209" w:rsidP="5CB4B133">
            <w:pPr>
              <w:spacing w:before="60" w:after="60"/>
              <w:jc w:val="center"/>
              <w:rPr>
                <w:rFonts w:ascii="Verdana" w:hAnsi="Verdana"/>
                <w:b/>
                <w:bCs/>
                <w:sz w:val="18"/>
                <w:szCs w:val="18"/>
              </w:rPr>
            </w:pPr>
            <w:r w:rsidRPr="5CB4B133">
              <w:rPr>
                <w:rFonts w:ascii="Verdana" w:hAnsi="Verdana"/>
                <w:b/>
                <w:bCs/>
                <w:sz w:val="18"/>
                <w:szCs w:val="18"/>
              </w:rPr>
              <w:t>Distribution of CAP support</w:t>
            </w:r>
          </w:p>
        </w:tc>
      </w:tr>
      <w:tr w:rsidR="004F7209" w:rsidRPr="004D00BF" w14:paraId="52262458"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56073D43"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Definition</w:t>
            </w:r>
          </w:p>
        </w:tc>
        <w:tc>
          <w:tcPr>
            <w:tcW w:w="7230" w:type="dxa"/>
            <w:tcBorders>
              <w:top w:val="single" w:sz="4" w:space="0" w:color="auto"/>
              <w:left w:val="single" w:sz="4" w:space="0" w:color="auto"/>
              <w:bottom w:val="single" w:sz="4" w:space="0" w:color="auto"/>
              <w:right w:val="single" w:sz="4" w:space="0" w:color="auto"/>
            </w:tcBorders>
          </w:tcPr>
          <w:p w14:paraId="6EC60562" w14:textId="77777777" w:rsidR="00B3192B" w:rsidRDefault="00B3192B" w:rsidP="00603D76">
            <w:pPr>
              <w:rPr>
                <w:rFonts w:ascii="Verdana" w:hAnsi="Verdana" w:cs="Calibri"/>
                <w:sz w:val="18"/>
                <w:szCs w:val="18"/>
              </w:rPr>
            </w:pPr>
            <w:r>
              <w:rPr>
                <w:rFonts w:ascii="Verdana" w:hAnsi="Verdana" w:cs="Calibri"/>
                <w:sz w:val="18"/>
                <w:szCs w:val="18"/>
              </w:rPr>
              <w:t xml:space="preserve">The indicator is composed by two </w:t>
            </w:r>
            <w:r w:rsidR="00DD478B">
              <w:rPr>
                <w:rFonts w:ascii="Verdana" w:hAnsi="Verdana" w:cs="Calibri"/>
                <w:sz w:val="18"/>
                <w:szCs w:val="18"/>
              </w:rPr>
              <w:t xml:space="preserve">specific </w:t>
            </w:r>
            <w:r>
              <w:rPr>
                <w:rFonts w:ascii="Verdana" w:hAnsi="Verdana" w:cs="Calibri"/>
                <w:sz w:val="18"/>
                <w:szCs w:val="18"/>
              </w:rPr>
              <w:t>indicators:</w:t>
            </w:r>
          </w:p>
          <w:p w14:paraId="3DC97CD5" w14:textId="77777777" w:rsidR="00536C30" w:rsidRDefault="004F7209" w:rsidP="00665997">
            <w:pPr>
              <w:pStyle w:val="ListParagraph"/>
              <w:numPr>
                <w:ilvl w:val="0"/>
                <w:numId w:val="100"/>
              </w:numPr>
              <w:rPr>
                <w:rFonts w:ascii="Verdana" w:hAnsi="Verdana" w:cs="Calibri"/>
                <w:sz w:val="18"/>
                <w:szCs w:val="18"/>
              </w:rPr>
            </w:pPr>
            <w:r w:rsidRPr="00B3192B">
              <w:rPr>
                <w:rFonts w:ascii="Verdana" w:hAnsi="Verdana" w:cs="Calibri"/>
                <w:sz w:val="18"/>
                <w:szCs w:val="18"/>
              </w:rPr>
              <w:t>Share of support received by 20% of the largest beneficiaries of the CAP</w:t>
            </w:r>
            <w:r w:rsidR="00536C30">
              <w:rPr>
                <w:rFonts w:ascii="Verdana" w:hAnsi="Verdana" w:cs="Calibri"/>
                <w:sz w:val="18"/>
                <w:szCs w:val="18"/>
              </w:rPr>
              <w:t>;</w:t>
            </w:r>
          </w:p>
          <w:p w14:paraId="75C6D782" w14:textId="7EA59973" w:rsidR="004F7209" w:rsidRPr="00B3192B" w:rsidRDefault="004F7209" w:rsidP="00665997">
            <w:pPr>
              <w:pStyle w:val="ListParagraph"/>
              <w:numPr>
                <w:ilvl w:val="0"/>
                <w:numId w:val="100"/>
              </w:numPr>
              <w:rPr>
                <w:rFonts w:ascii="Verdana" w:hAnsi="Verdana" w:cs="Calibri"/>
                <w:sz w:val="18"/>
                <w:szCs w:val="18"/>
              </w:rPr>
            </w:pPr>
            <w:r w:rsidRPr="00B3192B">
              <w:rPr>
                <w:rFonts w:ascii="Verdana" w:hAnsi="Verdana" w:cs="Calibri"/>
                <w:sz w:val="18"/>
                <w:szCs w:val="18"/>
              </w:rPr>
              <w:t xml:space="preserve">Interquartile range of CAP support by beneficiary. </w:t>
            </w:r>
          </w:p>
          <w:p w14:paraId="68469826" w14:textId="77777777" w:rsidR="004F7209" w:rsidRDefault="004F7209" w:rsidP="00603D76">
            <w:pPr>
              <w:jc w:val="both"/>
              <w:rPr>
                <w:rFonts w:ascii="Verdana" w:hAnsi="Verdana" w:cs="Calibri"/>
                <w:sz w:val="18"/>
                <w:szCs w:val="18"/>
              </w:rPr>
            </w:pPr>
            <w:r w:rsidRPr="00022C9D">
              <w:rPr>
                <w:rFonts w:ascii="Verdana" w:hAnsi="Verdana" w:cs="Calibri"/>
                <w:sz w:val="18"/>
                <w:szCs w:val="18"/>
              </w:rPr>
              <w:t xml:space="preserve">The main purpose of this </w:t>
            </w:r>
            <w:r w:rsidR="00603D76">
              <w:rPr>
                <w:rFonts w:ascii="Verdana" w:hAnsi="Verdana" w:cs="Calibri"/>
                <w:sz w:val="18"/>
                <w:szCs w:val="18"/>
              </w:rPr>
              <w:t>indicator is to c</w:t>
            </w:r>
            <w:r w:rsidR="00603D76" w:rsidRPr="00603D76">
              <w:rPr>
                <w:rFonts w:ascii="Verdana" w:hAnsi="Verdana" w:cs="Calibri"/>
                <w:sz w:val="18"/>
                <w:szCs w:val="18"/>
              </w:rPr>
              <w:t>heck the fairness of support distribution</w:t>
            </w:r>
            <w:r w:rsidR="00603D76">
              <w:rPr>
                <w:rFonts w:ascii="Verdana" w:hAnsi="Verdana" w:cs="Calibri"/>
                <w:sz w:val="18"/>
                <w:szCs w:val="18"/>
              </w:rPr>
              <w:t>. It m</w:t>
            </w:r>
            <w:r w:rsidR="00603D76" w:rsidRPr="00603D76">
              <w:rPr>
                <w:rFonts w:ascii="Verdana" w:hAnsi="Verdana" w:cs="Calibri"/>
                <w:sz w:val="18"/>
                <w:szCs w:val="18"/>
              </w:rPr>
              <w:t>easure</w:t>
            </w:r>
            <w:r w:rsidR="00603D76">
              <w:rPr>
                <w:rFonts w:ascii="Verdana" w:hAnsi="Verdana" w:cs="Calibri"/>
                <w:sz w:val="18"/>
                <w:szCs w:val="18"/>
              </w:rPr>
              <w:t>s</w:t>
            </w:r>
            <w:r w:rsidR="00603D76" w:rsidRPr="00603D76">
              <w:rPr>
                <w:rFonts w:ascii="Verdana" w:hAnsi="Verdana" w:cs="Calibri"/>
                <w:sz w:val="18"/>
                <w:szCs w:val="18"/>
              </w:rPr>
              <w:t xml:space="preserve"> notably the impact of the redistributive payment to small and medium size farms, capping, degressivity,</w:t>
            </w:r>
            <w:r w:rsidR="00F5785A">
              <w:rPr>
                <w:rFonts w:ascii="Verdana" w:hAnsi="Verdana" w:cs="Calibri"/>
                <w:sz w:val="18"/>
                <w:szCs w:val="18"/>
              </w:rPr>
              <w:t xml:space="preserve"> </w:t>
            </w:r>
            <w:r w:rsidR="00603D76" w:rsidRPr="00603D76">
              <w:rPr>
                <w:rFonts w:ascii="Verdana" w:hAnsi="Verdana" w:cs="Calibri"/>
                <w:sz w:val="18"/>
                <w:szCs w:val="18"/>
              </w:rPr>
              <w:t>…</w:t>
            </w:r>
          </w:p>
          <w:p w14:paraId="7747E8CE" w14:textId="77777777" w:rsidR="00007995" w:rsidRDefault="00007995" w:rsidP="00007995">
            <w:pPr>
              <w:spacing w:before="120" w:after="60"/>
              <w:rPr>
                <w:rFonts w:ascii="Verdana" w:hAnsi="Verdana" w:cs="Calibri"/>
                <w:sz w:val="18"/>
                <w:szCs w:val="18"/>
              </w:rPr>
            </w:pPr>
            <w:r w:rsidRPr="00007995">
              <w:rPr>
                <w:rFonts w:ascii="Verdana" w:hAnsi="Verdana"/>
                <w:sz w:val="18"/>
                <w:szCs w:val="18"/>
              </w:rPr>
              <w:t>Methodology/formula</w:t>
            </w:r>
            <w:r w:rsidRPr="00007995">
              <w:rPr>
                <w:rFonts w:ascii="Verdana" w:hAnsi="Verdana" w:cs="Calibri"/>
                <w:sz w:val="18"/>
                <w:szCs w:val="18"/>
              </w:rPr>
              <w:t>: Distribution</w:t>
            </w:r>
            <w:r>
              <w:rPr>
                <w:rFonts w:ascii="Verdana" w:hAnsi="Verdana" w:cs="Calibri"/>
                <w:sz w:val="18"/>
                <w:szCs w:val="18"/>
              </w:rPr>
              <w:t xml:space="preserve"> analysis</w:t>
            </w:r>
            <w:r w:rsidRPr="00F5785A">
              <w:rPr>
                <w:rFonts w:ascii="Verdana" w:hAnsi="Verdana" w:cs="Calibri"/>
                <w:sz w:val="18"/>
                <w:szCs w:val="18"/>
              </w:rPr>
              <w:t xml:space="preserve"> based on </w:t>
            </w:r>
            <w:r>
              <w:rPr>
                <w:rFonts w:ascii="Verdana" w:hAnsi="Verdana" w:cs="Calibri"/>
                <w:sz w:val="18"/>
                <w:szCs w:val="18"/>
              </w:rPr>
              <w:t xml:space="preserve">the </w:t>
            </w:r>
            <w:r w:rsidRPr="00F5785A">
              <w:rPr>
                <w:rFonts w:ascii="Verdana" w:hAnsi="Verdana" w:cs="Calibri"/>
                <w:sz w:val="18"/>
                <w:szCs w:val="18"/>
              </w:rPr>
              <w:t xml:space="preserve">ranked level of </w:t>
            </w:r>
            <w:r>
              <w:rPr>
                <w:rFonts w:ascii="Verdana" w:hAnsi="Verdana" w:cs="Calibri"/>
                <w:sz w:val="18"/>
                <w:szCs w:val="18"/>
              </w:rPr>
              <w:t>income support</w:t>
            </w:r>
            <w:r w:rsidRPr="00F5785A">
              <w:rPr>
                <w:rFonts w:ascii="Verdana" w:hAnsi="Verdana" w:cs="Calibri"/>
                <w:sz w:val="18"/>
                <w:szCs w:val="18"/>
              </w:rPr>
              <w:t xml:space="preserve"> per beneficiary</w:t>
            </w:r>
          </w:p>
          <w:p w14:paraId="1CBB2278" w14:textId="65AC57DA" w:rsidR="00007995" w:rsidRPr="00022C9D" w:rsidRDefault="00007995" w:rsidP="009E3496">
            <w:pPr>
              <w:jc w:val="both"/>
              <w:rPr>
                <w:rFonts w:ascii="Verdana" w:hAnsi="Verdana" w:cs="Calibri"/>
                <w:sz w:val="18"/>
                <w:szCs w:val="18"/>
              </w:rPr>
            </w:pPr>
            <w:r w:rsidRPr="00F5785A">
              <w:rPr>
                <w:rFonts w:ascii="Verdana" w:hAnsi="Verdana" w:cs="Calibri"/>
                <w:sz w:val="18"/>
                <w:szCs w:val="18"/>
              </w:rPr>
              <w:t>CAP support</w:t>
            </w:r>
            <w:r>
              <w:rPr>
                <w:rFonts w:ascii="Verdana" w:hAnsi="Verdana" w:cs="Calibri"/>
                <w:sz w:val="18"/>
                <w:szCs w:val="18"/>
              </w:rPr>
              <w:t xml:space="preserve"> included</w:t>
            </w:r>
            <w:r w:rsidRPr="00F5785A">
              <w:rPr>
                <w:rFonts w:ascii="Verdana" w:hAnsi="Verdana" w:cs="Calibri"/>
                <w:sz w:val="18"/>
                <w:szCs w:val="18"/>
              </w:rPr>
              <w:t xml:space="preserve">: all </w:t>
            </w:r>
            <w:r>
              <w:rPr>
                <w:rFonts w:ascii="Verdana" w:hAnsi="Verdana" w:cs="Calibri"/>
                <w:sz w:val="18"/>
                <w:szCs w:val="18"/>
              </w:rPr>
              <w:t>direct payments, p</w:t>
            </w:r>
            <w:r w:rsidRPr="00F5785A">
              <w:rPr>
                <w:rFonts w:ascii="Verdana" w:hAnsi="Verdana" w:cs="Calibri"/>
                <w:sz w:val="18"/>
                <w:szCs w:val="18"/>
              </w:rPr>
              <w:t>ayment for natural or other are</w:t>
            </w:r>
            <w:r>
              <w:rPr>
                <w:rFonts w:ascii="Verdana" w:hAnsi="Verdana" w:cs="Calibri"/>
                <w:sz w:val="18"/>
                <w:szCs w:val="18"/>
              </w:rPr>
              <w:t>a-specific constraints and p</w:t>
            </w:r>
            <w:r w:rsidRPr="00F5785A">
              <w:rPr>
                <w:rFonts w:ascii="Verdana" w:hAnsi="Verdana" w:cs="Calibri"/>
                <w:sz w:val="18"/>
                <w:szCs w:val="18"/>
              </w:rPr>
              <w:t>ayment for area specific disadvantages – Natura 2000 and Wat</w:t>
            </w:r>
            <w:r>
              <w:rPr>
                <w:rFonts w:ascii="Verdana" w:hAnsi="Verdana" w:cs="Calibri"/>
                <w:sz w:val="18"/>
                <w:szCs w:val="18"/>
              </w:rPr>
              <w:t>er framework directive.</w:t>
            </w:r>
          </w:p>
        </w:tc>
      </w:tr>
      <w:tr w:rsidR="004F7209" w:rsidRPr="004D00BF" w14:paraId="46FA2EB5"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1C4D1A24"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Unit of measurement</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4F08635" w14:textId="31FCC332" w:rsidR="00007995" w:rsidRPr="00536C30" w:rsidRDefault="00536C30" w:rsidP="00536C30">
            <w:pPr>
              <w:spacing w:before="120" w:after="60"/>
              <w:rPr>
                <w:rFonts w:cs="Calibri"/>
              </w:rPr>
            </w:pPr>
            <w:r>
              <w:rPr>
                <w:rFonts w:cs="Calibri"/>
              </w:rPr>
              <w:t xml:space="preserve">1: </w:t>
            </w:r>
            <w:r w:rsidR="00603D76" w:rsidRPr="00536C30">
              <w:rPr>
                <w:rFonts w:cs="Calibri"/>
              </w:rPr>
              <w:t>%</w:t>
            </w:r>
          </w:p>
          <w:p w14:paraId="2A5982C3" w14:textId="48D916BA" w:rsidR="004F7209" w:rsidRPr="00536C30" w:rsidRDefault="00536C30" w:rsidP="00536C30">
            <w:pPr>
              <w:spacing w:before="120" w:after="60"/>
              <w:rPr>
                <w:rFonts w:cs="Calibri"/>
              </w:rPr>
            </w:pPr>
            <w:r>
              <w:rPr>
                <w:rFonts w:cs="Calibri"/>
              </w:rPr>
              <w:t xml:space="preserve">2: </w:t>
            </w:r>
            <w:r w:rsidR="00603D76" w:rsidRPr="00536C30">
              <w:rPr>
                <w:rFonts w:cs="Calibri"/>
              </w:rPr>
              <w:t>EUR/beneficiary</w:t>
            </w:r>
          </w:p>
        </w:tc>
      </w:tr>
      <w:tr w:rsidR="004F7209" w:rsidRPr="004D00BF" w14:paraId="792559E4"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06DEB49E"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Data source</w:t>
            </w:r>
          </w:p>
        </w:tc>
        <w:tc>
          <w:tcPr>
            <w:tcW w:w="7230" w:type="dxa"/>
            <w:tcBorders>
              <w:top w:val="single" w:sz="4" w:space="0" w:color="auto"/>
              <w:left w:val="single" w:sz="4" w:space="0" w:color="auto"/>
              <w:bottom w:val="single" w:sz="4" w:space="0" w:color="auto"/>
              <w:right w:val="single" w:sz="4" w:space="0" w:color="auto"/>
            </w:tcBorders>
          </w:tcPr>
          <w:p w14:paraId="28C3C33A" w14:textId="77777777" w:rsidR="004F7209" w:rsidRPr="00022C9D" w:rsidRDefault="00603D76" w:rsidP="00303128">
            <w:pPr>
              <w:spacing w:before="120" w:after="60"/>
              <w:rPr>
                <w:rFonts w:ascii="Verdana" w:hAnsi="Verdana" w:cs="Calibri"/>
                <w:sz w:val="18"/>
                <w:szCs w:val="18"/>
              </w:rPr>
            </w:pPr>
            <w:r>
              <w:rPr>
                <w:rFonts w:ascii="Verdana" w:hAnsi="Verdana" w:cs="Calibri"/>
                <w:sz w:val="18"/>
                <w:szCs w:val="18"/>
              </w:rPr>
              <w:t>M</w:t>
            </w:r>
            <w:r w:rsidR="00051D0D">
              <w:rPr>
                <w:rFonts w:ascii="Verdana" w:hAnsi="Verdana" w:cs="Calibri"/>
                <w:sz w:val="18"/>
                <w:szCs w:val="18"/>
              </w:rPr>
              <w:t xml:space="preserve">ember </w:t>
            </w:r>
            <w:r>
              <w:rPr>
                <w:rFonts w:ascii="Verdana" w:hAnsi="Verdana" w:cs="Calibri"/>
                <w:sz w:val="18"/>
                <w:szCs w:val="18"/>
              </w:rPr>
              <w:t>S</w:t>
            </w:r>
            <w:r w:rsidR="00051D0D">
              <w:rPr>
                <w:rFonts w:ascii="Verdana" w:hAnsi="Verdana" w:cs="Calibri"/>
                <w:sz w:val="18"/>
                <w:szCs w:val="18"/>
              </w:rPr>
              <w:t>tates’</w:t>
            </w:r>
            <w:r>
              <w:rPr>
                <w:rFonts w:ascii="Verdana" w:hAnsi="Verdana" w:cs="Calibri"/>
                <w:sz w:val="18"/>
                <w:szCs w:val="18"/>
              </w:rPr>
              <w:t xml:space="preserve"> operations database</w:t>
            </w:r>
          </w:p>
        </w:tc>
      </w:tr>
      <w:tr w:rsidR="004F7209" w:rsidRPr="004D00BF" w14:paraId="268E8754"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28F66728" w14:textId="77777777" w:rsidR="004F7209" w:rsidRPr="004E3EB3" w:rsidRDefault="004F7209" w:rsidP="790C88FB">
            <w:pPr>
              <w:spacing w:before="120" w:after="60"/>
              <w:rPr>
                <w:rFonts w:ascii="Verdana" w:hAnsi="Verdana"/>
                <w:b/>
                <w:bCs/>
                <w:i/>
                <w:iCs/>
                <w:sz w:val="18"/>
                <w:szCs w:val="18"/>
              </w:rPr>
            </w:pPr>
            <w:r w:rsidRPr="5CB4B133">
              <w:rPr>
                <w:rFonts w:ascii="Verdana" w:hAnsi="Verdana"/>
                <w:b/>
                <w:bCs/>
                <w:sz w:val="18"/>
                <w:szCs w:val="18"/>
              </w:rPr>
              <w:t>References</w:t>
            </w:r>
            <w:r w:rsidR="00CE27E0" w:rsidRPr="5CB4B133">
              <w:rPr>
                <w:rFonts w:ascii="Verdana" w:hAnsi="Verdana"/>
                <w:b/>
                <w:bCs/>
                <w:sz w:val="18"/>
                <w:szCs w:val="18"/>
              </w:rPr>
              <w:t xml:space="preserve"> </w:t>
            </w:r>
            <w:r w:rsidRPr="5CB4B133">
              <w:rPr>
                <w:rFonts w:ascii="Verdana" w:hAnsi="Verdana"/>
                <w:b/>
                <w:bCs/>
                <w:sz w:val="18"/>
                <w:szCs w:val="18"/>
              </w:rPr>
              <w:t>/</w:t>
            </w:r>
            <w:r w:rsidR="00CE27E0" w:rsidRPr="5CB4B133">
              <w:rPr>
                <w:rFonts w:ascii="Verdana" w:hAnsi="Verdana"/>
                <w:b/>
                <w:bCs/>
                <w:sz w:val="18"/>
                <w:szCs w:val="18"/>
              </w:rPr>
              <w:t xml:space="preserve"> </w:t>
            </w:r>
            <w:r w:rsidRPr="5CB4B133">
              <w:rPr>
                <w:rFonts w:ascii="Verdana" w:hAnsi="Verdana"/>
                <w:b/>
                <w:bCs/>
                <w:sz w:val="18"/>
                <w:szCs w:val="18"/>
              </w:rPr>
              <w:t>location of the data</w:t>
            </w:r>
          </w:p>
        </w:tc>
        <w:tc>
          <w:tcPr>
            <w:tcW w:w="7230" w:type="dxa"/>
            <w:tcBorders>
              <w:top w:val="single" w:sz="4" w:space="0" w:color="auto"/>
              <w:left w:val="single" w:sz="4" w:space="0" w:color="auto"/>
              <w:bottom w:val="single" w:sz="4" w:space="0" w:color="auto"/>
              <w:right w:val="single" w:sz="4" w:space="0" w:color="auto"/>
            </w:tcBorders>
          </w:tcPr>
          <w:p w14:paraId="0FE02F98" w14:textId="77777777" w:rsidR="004F7209" w:rsidRPr="00022C9D" w:rsidRDefault="00603D76" w:rsidP="00303128">
            <w:pPr>
              <w:spacing w:before="120" w:after="60"/>
              <w:rPr>
                <w:rFonts w:ascii="Verdana" w:hAnsi="Verdana" w:cs="Calibri"/>
                <w:sz w:val="18"/>
                <w:szCs w:val="18"/>
              </w:rPr>
            </w:pPr>
            <w:r>
              <w:rPr>
                <w:rFonts w:ascii="Verdana" w:hAnsi="Verdana" w:cs="Calibri"/>
                <w:sz w:val="18"/>
                <w:szCs w:val="18"/>
              </w:rPr>
              <w:t>t</w:t>
            </w:r>
            <w:r w:rsidR="00F5785A">
              <w:rPr>
                <w:rFonts w:ascii="Verdana" w:hAnsi="Verdana" w:cs="Calibri"/>
                <w:sz w:val="18"/>
                <w:szCs w:val="18"/>
              </w:rPr>
              <w:t>bd</w:t>
            </w:r>
          </w:p>
        </w:tc>
      </w:tr>
      <w:tr w:rsidR="004F7209" w:rsidRPr="004D00BF" w14:paraId="7F086ED7"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44EA6254"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Data collection</w:t>
            </w:r>
            <w:r w:rsidR="00007995" w:rsidRPr="5CB4B133">
              <w:rPr>
                <w:rFonts w:ascii="Verdana" w:hAnsi="Verdana"/>
                <w:b/>
                <w:bCs/>
                <w:sz w:val="18"/>
                <w:szCs w:val="18"/>
              </w:rPr>
              <w:t xml:space="preserve"> / dissemination</w:t>
            </w:r>
            <w:r w:rsidRPr="5CB4B133">
              <w:rPr>
                <w:rFonts w:ascii="Verdana" w:hAnsi="Verdana"/>
                <w:b/>
                <w:bCs/>
                <w:sz w:val="18"/>
                <w:szCs w:val="18"/>
              </w:rPr>
              <w:t xml:space="preserve"> level</w:t>
            </w:r>
          </w:p>
        </w:tc>
        <w:tc>
          <w:tcPr>
            <w:tcW w:w="7230" w:type="dxa"/>
            <w:tcBorders>
              <w:top w:val="single" w:sz="4" w:space="0" w:color="auto"/>
              <w:left w:val="single" w:sz="4" w:space="0" w:color="auto"/>
              <w:bottom w:val="single" w:sz="4" w:space="0" w:color="auto"/>
              <w:right w:val="single" w:sz="4" w:space="0" w:color="auto"/>
            </w:tcBorders>
          </w:tcPr>
          <w:p w14:paraId="6ECB0EEC" w14:textId="4B49B4F0" w:rsidR="004F7209" w:rsidRPr="00022C9D" w:rsidRDefault="00536C30" w:rsidP="00303128">
            <w:pPr>
              <w:spacing w:before="120" w:after="60"/>
              <w:rPr>
                <w:rFonts w:ascii="Verdana" w:hAnsi="Verdana"/>
                <w:sz w:val="18"/>
                <w:szCs w:val="18"/>
              </w:rPr>
            </w:pPr>
            <w:r>
              <w:rPr>
                <w:rFonts w:ascii="Verdana" w:hAnsi="Verdana"/>
                <w:sz w:val="18"/>
                <w:szCs w:val="18"/>
              </w:rPr>
              <w:t>National (NUTS 0)</w:t>
            </w:r>
          </w:p>
        </w:tc>
      </w:tr>
      <w:tr w:rsidR="004F7209" w:rsidRPr="004D00BF" w14:paraId="48BEFB43"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019118BC"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 xml:space="preserve">Frequency </w:t>
            </w:r>
          </w:p>
        </w:tc>
        <w:tc>
          <w:tcPr>
            <w:tcW w:w="7230" w:type="dxa"/>
            <w:tcBorders>
              <w:top w:val="single" w:sz="4" w:space="0" w:color="auto"/>
              <w:left w:val="single" w:sz="4" w:space="0" w:color="auto"/>
              <w:bottom w:val="single" w:sz="4" w:space="0" w:color="auto"/>
              <w:right w:val="single" w:sz="4" w:space="0" w:color="auto"/>
            </w:tcBorders>
          </w:tcPr>
          <w:p w14:paraId="366E83B1" w14:textId="77777777" w:rsidR="004F7209" w:rsidRPr="00022C9D" w:rsidRDefault="00603D76" w:rsidP="5CB4B133">
            <w:pPr>
              <w:spacing w:before="120" w:after="60"/>
              <w:rPr>
                <w:rFonts w:ascii="Verdana" w:hAnsi="Verdana"/>
                <w:b/>
                <w:bCs/>
                <w:sz w:val="18"/>
                <w:szCs w:val="18"/>
              </w:rPr>
            </w:pPr>
            <w:r w:rsidRPr="5CB4B133">
              <w:rPr>
                <w:rFonts w:ascii="Verdana" w:hAnsi="Verdana" w:cs="Calibri"/>
                <w:sz w:val="18"/>
                <w:szCs w:val="18"/>
              </w:rPr>
              <w:t>Annual</w:t>
            </w:r>
          </w:p>
        </w:tc>
      </w:tr>
      <w:tr w:rsidR="004F7209" w:rsidRPr="004D00BF" w14:paraId="7322B3B9"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61BA1619" w14:textId="77777777" w:rsidR="004F7209" w:rsidRPr="004E3EB3" w:rsidRDefault="00161B7C" w:rsidP="790C88FB">
            <w:pPr>
              <w:spacing w:before="120" w:after="60"/>
              <w:rPr>
                <w:rFonts w:ascii="Verdana" w:hAnsi="Verdana"/>
                <w:b/>
                <w:bCs/>
                <w:i/>
                <w:iCs/>
                <w:sz w:val="18"/>
                <w:szCs w:val="18"/>
              </w:rPr>
            </w:pPr>
            <w:r w:rsidRPr="5CB4B133">
              <w:rPr>
                <w:rFonts w:ascii="Verdana" w:hAnsi="Verdana"/>
                <w:b/>
                <w:bCs/>
                <w:sz w:val="18"/>
                <w:szCs w:val="18"/>
              </w:rPr>
              <w:t>Timeliness</w:t>
            </w:r>
          </w:p>
        </w:tc>
        <w:tc>
          <w:tcPr>
            <w:tcW w:w="7230" w:type="dxa"/>
            <w:tcBorders>
              <w:top w:val="single" w:sz="4" w:space="0" w:color="auto"/>
              <w:left w:val="single" w:sz="4" w:space="0" w:color="auto"/>
              <w:bottom w:val="single" w:sz="4" w:space="0" w:color="auto"/>
              <w:right w:val="single" w:sz="4" w:space="0" w:color="auto"/>
            </w:tcBorders>
          </w:tcPr>
          <w:p w14:paraId="3AEEB857" w14:textId="77777777" w:rsidR="004F7209" w:rsidRPr="00022C9D" w:rsidRDefault="00603D76" w:rsidP="00303128">
            <w:pPr>
              <w:spacing w:before="120" w:after="60"/>
              <w:rPr>
                <w:rFonts w:ascii="Verdana" w:hAnsi="Verdana"/>
                <w:sz w:val="18"/>
                <w:szCs w:val="18"/>
              </w:rPr>
            </w:pPr>
            <w:r>
              <w:rPr>
                <w:rFonts w:ascii="Verdana" w:hAnsi="Verdana"/>
                <w:sz w:val="18"/>
                <w:szCs w:val="18"/>
              </w:rPr>
              <w:t>1-2 years</w:t>
            </w:r>
          </w:p>
        </w:tc>
      </w:tr>
      <w:tr w:rsidR="004F7209" w:rsidRPr="004D00BF" w14:paraId="33E9F7A7" w14:textId="77777777" w:rsidTr="790C88FB">
        <w:tc>
          <w:tcPr>
            <w:tcW w:w="2943" w:type="dxa"/>
            <w:tcBorders>
              <w:top w:val="single" w:sz="4" w:space="0" w:color="auto"/>
              <w:left w:val="single" w:sz="4" w:space="0" w:color="auto"/>
              <w:bottom w:val="single" w:sz="4" w:space="0" w:color="auto"/>
              <w:right w:val="single" w:sz="4" w:space="0" w:color="auto"/>
            </w:tcBorders>
            <w:shd w:val="clear" w:color="auto" w:fill="auto"/>
          </w:tcPr>
          <w:p w14:paraId="1555C369" w14:textId="77777777" w:rsidR="004F7209" w:rsidRPr="004E3EB3" w:rsidRDefault="004F7209" w:rsidP="5CB4B133">
            <w:pPr>
              <w:spacing w:before="120" w:after="60"/>
              <w:rPr>
                <w:rFonts w:ascii="Verdana" w:hAnsi="Verdana"/>
                <w:b/>
                <w:bCs/>
                <w:sz w:val="18"/>
                <w:szCs w:val="18"/>
              </w:rPr>
            </w:pPr>
            <w:r w:rsidRPr="5CB4B133">
              <w:rPr>
                <w:rFonts w:ascii="Verdana" w:hAnsi="Verdana"/>
                <w:b/>
                <w:bCs/>
                <w:sz w:val="18"/>
                <w:szCs w:val="18"/>
              </w:rPr>
              <w:t>Comments/caveats</w:t>
            </w:r>
            <w:r w:rsidRPr="004E3EB3">
              <w:rPr>
                <w:rFonts w:ascii="Verdana" w:hAnsi="Verdana"/>
                <w:sz w:val="18"/>
                <w:szCs w:val="18"/>
              </w:rPr>
              <w:t xml:space="preserve"> </w:t>
            </w:r>
          </w:p>
        </w:tc>
        <w:tc>
          <w:tcPr>
            <w:tcW w:w="7230" w:type="dxa"/>
            <w:tcBorders>
              <w:top w:val="single" w:sz="4" w:space="0" w:color="auto"/>
              <w:left w:val="single" w:sz="4" w:space="0" w:color="auto"/>
              <w:bottom w:val="single" w:sz="4" w:space="0" w:color="auto"/>
              <w:right w:val="single" w:sz="4" w:space="0" w:color="auto"/>
            </w:tcBorders>
          </w:tcPr>
          <w:p w14:paraId="163648B9" w14:textId="77777777" w:rsidR="004F7209" w:rsidRDefault="00603D76" w:rsidP="00603D76">
            <w:pPr>
              <w:spacing w:before="120" w:after="60"/>
              <w:rPr>
                <w:rFonts w:ascii="Verdana" w:hAnsi="Verdana"/>
                <w:sz w:val="18"/>
                <w:szCs w:val="18"/>
              </w:rPr>
            </w:pPr>
            <w:r>
              <w:rPr>
                <w:rFonts w:ascii="Verdana" w:hAnsi="Verdana"/>
                <w:sz w:val="18"/>
                <w:szCs w:val="18"/>
              </w:rPr>
              <w:t>For the calculation, individual data (at anonymised beneficiary level) is necessary.</w:t>
            </w:r>
          </w:p>
          <w:p w14:paraId="3B908FD0" w14:textId="77777777" w:rsidR="00FD2194" w:rsidRPr="00022C9D" w:rsidRDefault="00FD2194" w:rsidP="00FD2194">
            <w:pPr>
              <w:spacing w:before="120" w:after="60"/>
              <w:rPr>
                <w:rFonts w:ascii="Verdana" w:hAnsi="Verdana"/>
                <w:sz w:val="18"/>
                <w:szCs w:val="18"/>
              </w:rPr>
            </w:pPr>
            <w:r>
              <w:rPr>
                <w:rFonts w:ascii="Verdana" w:hAnsi="Verdana"/>
                <w:sz w:val="18"/>
                <w:szCs w:val="18"/>
              </w:rPr>
              <w:t>A unique identifier of beneficiaries is required.</w:t>
            </w:r>
          </w:p>
        </w:tc>
      </w:tr>
    </w:tbl>
    <w:p w14:paraId="31CE9A62" w14:textId="77777777" w:rsidR="00FA7E72" w:rsidRPr="00ED2A3A" w:rsidRDefault="00FA7E72" w:rsidP="00022C9D"/>
    <w:sectPr w:rsidR="00FA7E72" w:rsidRPr="00ED2A3A" w:rsidSect="0026636E">
      <w:headerReference w:type="default" r:id="rId217"/>
      <w:footerReference w:type="default" r:id="rId218"/>
      <w:headerReference w:type="first" r:id="rId219"/>
      <w:pgSz w:w="11906" w:h="16838"/>
      <w:pgMar w:top="1080" w:right="1416" w:bottom="1417"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E5D438" w16cex:dateUtc="2022-02-28T11:03:46.393Z"/>
  <w16cex:commentExtensible w16cex:durableId="1BDE5A29" w16cex:dateUtc="2022-02-28T11:05:57.598Z"/>
  <w16cex:commentExtensible w16cex:durableId="75073458" w16cex:dateUtc="2022-02-28T11:31:50.541Z"/>
  <w16cex:commentExtensible w16cex:durableId="51D275DE" w16cex:dateUtc="2022-03-02T08:08:16.816Z"/>
  <w16cex:commentExtensible w16cex:durableId="20E80E39" w16cex:dateUtc="2022-03-02T08:10:43.412Z"/>
  <w16cex:commentExtensible w16cex:durableId="453B777E" w16cex:dateUtc="2022-03-02T08:13:54.087Z"/>
</w16cex:commentsExtensible>
</file>

<file path=word/commentsIds.xml><?xml version="1.0" encoding="utf-8"?>
<w16cid:commentsIds xmlns:mc="http://schemas.openxmlformats.org/markup-compatibility/2006" xmlns:w16cid="http://schemas.microsoft.com/office/word/2016/wordml/cid" mc:Ignorable="w16cid">
  <w16cid:commentId w16cid:paraId="27450676" w16cid:durableId="4EE5D438"/>
  <w16cid:commentId w16cid:paraId="41DE9BE3" w16cid:durableId="1BDE5A29"/>
  <w16cid:commentId w16cid:paraId="0EA84AC8" w16cid:durableId="75073458"/>
  <w16cid:commentId w16cid:paraId="22771621" w16cid:durableId="51D275DE"/>
  <w16cid:commentId w16cid:paraId="0A8E7472" w16cid:durableId="20E80E39"/>
  <w16cid:commentId w16cid:paraId="72E09525" w16cid:durableId="453B77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AA78" w14:textId="77777777" w:rsidR="00E4791B" w:rsidRDefault="00E4791B" w:rsidP="009F32E3">
      <w:pPr>
        <w:spacing w:after="0" w:line="240" w:lineRule="auto"/>
      </w:pPr>
      <w:r>
        <w:separator/>
      </w:r>
    </w:p>
  </w:endnote>
  <w:endnote w:type="continuationSeparator" w:id="0">
    <w:p w14:paraId="0D47E361" w14:textId="77777777" w:rsidR="00E4791B" w:rsidRDefault="00E4791B" w:rsidP="009F32E3">
      <w:pPr>
        <w:spacing w:after="0" w:line="240" w:lineRule="auto"/>
      </w:pPr>
      <w:r>
        <w:continuationSeparator/>
      </w:r>
    </w:p>
  </w:endnote>
  <w:endnote w:type="continuationNotice" w:id="1">
    <w:p w14:paraId="5F4D3F00" w14:textId="77777777" w:rsidR="00E4791B" w:rsidRDefault="00E47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F95E7" w14:textId="0A754724" w:rsidR="00E4791B" w:rsidRPr="007279BA" w:rsidRDefault="00E4791B" w:rsidP="007279BA">
    <w:pPr>
      <w:tabs>
        <w:tab w:val="center" w:pos="4513"/>
        <w:tab w:val="right" w:pos="9026"/>
      </w:tabs>
      <w:spacing w:before="60" w:after="60" w:line="240" w:lineRule="auto"/>
      <w:jc w:val="center"/>
      <w:rPr>
        <w:rFonts w:ascii="Calibri" w:eastAsia="Calibri" w:hAnsi="Calibri" w:cs="Times New Roman"/>
        <w:caps/>
        <w:color w:val="4F81BD"/>
        <w:lang w:eastAsia="en-US"/>
      </w:rPr>
    </w:pPr>
    <w:r w:rsidRPr="007279BA">
      <w:rPr>
        <w:rFonts w:ascii="Calibri" w:eastAsia="Calibri" w:hAnsi="Calibri" w:cs="Times New Roman"/>
        <w:caps/>
        <w:color w:val="4F81BD"/>
        <w:lang w:eastAsia="en-US"/>
      </w:rPr>
      <w:t>DISCLAIMER</w:t>
    </w:r>
  </w:p>
  <w:p w14:paraId="75F6A6C4" w14:textId="07A18201" w:rsidR="00E4791B" w:rsidRPr="007279BA" w:rsidRDefault="00E4791B" w:rsidP="007279BA">
    <w:pPr>
      <w:tabs>
        <w:tab w:val="center" w:pos="4513"/>
        <w:tab w:val="right" w:pos="9026"/>
      </w:tabs>
      <w:spacing w:after="0" w:line="240" w:lineRule="auto"/>
      <w:jc w:val="both"/>
      <w:rPr>
        <w:rFonts w:ascii="Calibri" w:eastAsia="Calibri" w:hAnsi="Calibri" w:cs="Times New Roman"/>
        <w:i/>
        <w:iCs/>
        <w:color w:val="4F81BD"/>
        <w:sz w:val="20"/>
        <w:szCs w:val="20"/>
        <w:lang w:val="en-US" w:eastAsia="en-US"/>
      </w:rPr>
    </w:pPr>
    <w:r w:rsidRPr="007279BA">
      <w:rPr>
        <w:rFonts w:ascii="Calibri" w:eastAsia="Calibri" w:hAnsi="Calibri" w:cs="Times New Roman"/>
        <w:i/>
        <w:iCs/>
        <w:color w:val="4F81BD"/>
        <w:sz w:val="20"/>
        <w:szCs w:val="20"/>
        <w:lang w:val="en-US" w:eastAsia="en-US"/>
      </w:rPr>
      <w:t xml:space="preserve">This document has been prepared by the Commission services as guidance to the Member States or to any other parties (e.g. for the purpose of drafting the national CAP Strategic Plans). </w:t>
    </w:r>
  </w:p>
  <w:p w14:paraId="7DAB630C" w14:textId="1268A3F8" w:rsidR="00E4791B" w:rsidRDefault="00E4791B" w:rsidP="007279BA">
    <w:pPr>
      <w:pStyle w:val="Footer"/>
      <w:jc w:val="both"/>
    </w:pPr>
    <w:r w:rsidRPr="007279BA">
      <w:rPr>
        <w:rFonts w:ascii="Calibri" w:eastAsia="Calibri" w:hAnsi="Calibri" w:cs="Times New Roman"/>
        <w:i/>
        <w:iCs/>
        <w:color w:val="4F81BD"/>
        <w:sz w:val="20"/>
        <w:szCs w:val="20"/>
        <w:lang w:val="en-GB" w:eastAsia="en-US"/>
      </w:rPr>
      <w:t>The document does not bind the European Commission in relation to the future approval procedure of the CAP Strategic Plans of Member States. It was prepared by Commission services and does not commit the European Commission.</w:t>
    </w:r>
  </w:p>
  <w:p w14:paraId="5539EA56" w14:textId="0884FCBF" w:rsidR="00E4791B" w:rsidRDefault="00E4791B">
    <w:pPr>
      <w:pStyle w:val="Footer"/>
      <w:jc w:val="center"/>
    </w:pPr>
    <w:r>
      <w:fldChar w:fldCharType="begin"/>
    </w:r>
    <w:r>
      <w:instrText>PAGE</w:instrText>
    </w:r>
    <w:r>
      <w:fldChar w:fldCharType="separate"/>
    </w:r>
    <w:r w:rsidR="00AA07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448C" w14:textId="77777777" w:rsidR="00E4791B" w:rsidRDefault="00E4791B" w:rsidP="009F32E3">
      <w:pPr>
        <w:spacing w:after="0" w:line="240" w:lineRule="auto"/>
      </w:pPr>
      <w:r>
        <w:separator/>
      </w:r>
    </w:p>
  </w:footnote>
  <w:footnote w:type="continuationSeparator" w:id="0">
    <w:p w14:paraId="7E183F90" w14:textId="77777777" w:rsidR="00E4791B" w:rsidRDefault="00E4791B" w:rsidP="009F32E3">
      <w:pPr>
        <w:spacing w:after="0" w:line="240" w:lineRule="auto"/>
      </w:pPr>
      <w:r>
        <w:continuationSeparator/>
      </w:r>
    </w:p>
  </w:footnote>
  <w:footnote w:type="continuationNotice" w:id="1">
    <w:p w14:paraId="7E522CF0" w14:textId="77777777" w:rsidR="00E4791B" w:rsidRDefault="00E4791B">
      <w:pPr>
        <w:spacing w:after="0" w:line="240" w:lineRule="auto"/>
      </w:pPr>
    </w:p>
  </w:footnote>
  <w:footnote w:id="2">
    <w:p w14:paraId="421A67E9" w14:textId="77777777" w:rsidR="00E4791B" w:rsidRPr="00FA7243" w:rsidRDefault="00E4791B" w:rsidP="5CB4B133">
      <w:pPr>
        <w:pStyle w:val="FootnoteText"/>
        <w:ind w:left="0" w:firstLine="0"/>
        <w:rPr>
          <w:rFonts w:ascii="Verdana" w:hAnsi="Verdana"/>
          <w:sz w:val="16"/>
          <w:szCs w:val="16"/>
        </w:rPr>
      </w:pPr>
      <w:r w:rsidRPr="5CB4B133">
        <w:rPr>
          <w:rStyle w:val="FootnoteReference"/>
          <w:rFonts w:ascii="Verdana" w:hAnsi="Verdana"/>
          <w:sz w:val="16"/>
          <w:szCs w:val="16"/>
        </w:rPr>
        <w:footnoteRef/>
      </w:r>
      <w:r w:rsidRPr="5CB4B133">
        <w:rPr>
          <w:rFonts w:ascii="Verdana" w:hAnsi="Verdana"/>
          <w:sz w:val="16"/>
          <w:szCs w:val="16"/>
        </w:rPr>
        <w:t xml:space="preserve"> In the</w:t>
      </w:r>
      <w:r w:rsidRPr="5CB4B133">
        <w:rPr>
          <w:rFonts w:ascii="Verdana" w:hAnsi="Verdana"/>
          <w:sz w:val="16"/>
          <w:szCs w:val="16"/>
          <w:lang w:val="en-GB"/>
        </w:rPr>
        <w:t xml:space="preserve"> </w:t>
      </w:r>
      <w:r w:rsidRPr="5CB4B133">
        <w:rPr>
          <w:rFonts w:ascii="Verdana" w:hAnsi="Verdana"/>
          <w:sz w:val="16"/>
          <w:szCs w:val="16"/>
        </w:rPr>
        <w:t xml:space="preserve">programming period 2007-2013, the employment rate </w:t>
      </w:r>
      <w:r w:rsidRPr="5CB4B133">
        <w:rPr>
          <w:rFonts w:ascii="Verdana" w:hAnsi="Verdana"/>
          <w:sz w:val="16"/>
          <w:szCs w:val="16"/>
          <w:lang w:val="en-GB"/>
        </w:rPr>
        <w:t>was</w:t>
      </w:r>
      <w:r w:rsidRPr="5CB4B133">
        <w:rPr>
          <w:rFonts w:ascii="Verdana" w:hAnsi="Verdana"/>
          <w:sz w:val="16"/>
          <w:szCs w:val="16"/>
        </w:rPr>
        <w:t xml:space="preserve"> calculated for the age group of 15-64</w:t>
      </w:r>
      <w:r w:rsidRPr="5CB4B133">
        <w:rPr>
          <w:rFonts w:ascii="Verdana" w:hAnsi="Verdana"/>
          <w:sz w:val="16"/>
          <w:szCs w:val="16"/>
          <w:lang w:val="en-GB"/>
        </w:rPr>
        <w:t xml:space="preserve"> years</w:t>
      </w:r>
      <w:r w:rsidRPr="5CB4B133">
        <w:rPr>
          <w:rFonts w:ascii="Verdana" w:hAnsi="Verdana"/>
          <w:sz w:val="16"/>
          <w:szCs w:val="16"/>
        </w:rPr>
        <w:t xml:space="preserve">. In the Europe 2020 strategy, reaching an employment rate of 75% of the population aged 20-64 </w:t>
      </w:r>
      <w:r w:rsidRPr="5CB4B133">
        <w:rPr>
          <w:rFonts w:ascii="Verdana" w:hAnsi="Verdana"/>
          <w:sz w:val="16"/>
          <w:szCs w:val="16"/>
          <w:lang w:val="en-GB"/>
        </w:rPr>
        <w:t xml:space="preserve">years </w:t>
      </w:r>
      <w:r w:rsidRPr="5CB4B133">
        <w:rPr>
          <w:rFonts w:ascii="Verdana" w:hAnsi="Verdana"/>
          <w:sz w:val="16"/>
          <w:szCs w:val="16"/>
        </w:rPr>
        <w:t>is one of the five headline targets to be achieved; however, in rural areas the employment of people below 20 i</w:t>
      </w:r>
      <w:r w:rsidRPr="5CB4B133">
        <w:rPr>
          <w:rFonts w:ascii="Verdana" w:hAnsi="Verdana"/>
          <w:sz w:val="16"/>
          <w:szCs w:val="16"/>
          <w:lang w:val="en-GB"/>
        </w:rPr>
        <w:t>s</w:t>
      </w:r>
      <w:r w:rsidRPr="5CB4B133">
        <w:rPr>
          <w:rFonts w:ascii="Verdana" w:hAnsi="Verdana"/>
          <w:sz w:val="16"/>
          <w:szCs w:val="16"/>
        </w:rPr>
        <w:t xml:space="preserve"> also an important indicator. Thus it is proposed to keep both age groups, which is also Eurostat's approach.</w:t>
      </w:r>
    </w:p>
  </w:footnote>
  <w:footnote w:id="3">
    <w:p w14:paraId="0A1133E8" w14:textId="77777777" w:rsidR="00E4791B" w:rsidRPr="00FA7243" w:rsidRDefault="00E4791B" w:rsidP="5CB4B133">
      <w:pPr>
        <w:pStyle w:val="NormalWeb"/>
        <w:jc w:val="both"/>
        <w:rPr>
          <w:rFonts w:ascii="Verdana" w:hAnsi="Verdana"/>
          <w:sz w:val="16"/>
          <w:szCs w:val="16"/>
          <w:lang w:val="en"/>
        </w:rPr>
      </w:pPr>
      <w:r w:rsidRPr="5CB4B133">
        <w:rPr>
          <w:rStyle w:val="FootnoteReference"/>
          <w:rFonts w:ascii="Verdana" w:hAnsi="Verdana"/>
          <w:sz w:val="16"/>
          <w:szCs w:val="16"/>
        </w:rPr>
        <w:footnoteRef/>
      </w:r>
      <w:r w:rsidRPr="5CB4B133">
        <w:rPr>
          <w:rFonts w:ascii="Verdana" w:hAnsi="Verdana"/>
          <w:sz w:val="16"/>
          <w:szCs w:val="16"/>
        </w:rPr>
        <w:t xml:space="preserve"> </w:t>
      </w:r>
      <w:r w:rsidRPr="00F053C3">
        <w:rPr>
          <w:rFonts w:ascii="Verdana" w:hAnsi="Verdana"/>
          <w:sz w:val="16"/>
          <w:szCs w:val="16"/>
          <w:lang w:val="en"/>
        </w:rPr>
        <w:t>The P</w:t>
      </w:r>
      <w:r w:rsidRPr="5CB4B133">
        <w:rPr>
          <w:rFonts w:ascii="Verdana" w:hAnsi="Verdana"/>
          <w:sz w:val="16"/>
          <w:szCs w:val="16"/>
          <w:lang w:val="en"/>
        </w:rPr>
        <w:t>urchasing Power Standard</w:t>
      </w:r>
      <w:r w:rsidRPr="00F053C3">
        <w:rPr>
          <w:rFonts w:ascii="Verdana" w:hAnsi="Verdana"/>
          <w:sz w:val="16"/>
          <w:szCs w:val="16"/>
          <w:lang w:val="en"/>
        </w:rPr>
        <w:t xml:space="preserve">, abbreviated as </w:t>
      </w:r>
      <w:r w:rsidRPr="5CB4B133">
        <w:rPr>
          <w:rFonts w:ascii="Verdana" w:hAnsi="Verdana"/>
          <w:sz w:val="16"/>
          <w:szCs w:val="16"/>
          <w:lang w:val="en"/>
        </w:rPr>
        <w:t>PPS</w:t>
      </w:r>
      <w:r w:rsidRPr="00F053C3">
        <w:rPr>
          <w:rFonts w:ascii="Verdana" w:hAnsi="Verdana"/>
          <w:sz w:val="16"/>
          <w:szCs w:val="16"/>
          <w:lang w:val="en"/>
        </w:rPr>
        <w:t xml:space="preserve">, is an artificial currency unit. Theoretically, one PPS can buy the same amount of goods and services in each country. However, price differences across borders mean that different amounts of national currency units are needed for the same goods and services depending on the country. PPS are derived by dividing any economic aggregate of a country in national currency by its respective </w:t>
      </w:r>
      <w:hyperlink r:id="rId1" w:tooltip="Glossary:Purchasing power parities (PPPs)" w:history="1">
        <w:r w:rsidRPr="00F053C3">
          <w:rPr>
            <w:rFonts w:ascii="Verdana" w:hAnsi="Verdana"/>
            <w:sz w:val="16"/>
            <w:szCs w:val="16"/>
            <w:lang w:val="en"/>
          </w:rPr>
          <w:t>Purchasing Power Parities</w:t>
        </w:r>
      </w:hyperlink>
      <w:r w:rsidRPr="00F053C3">
        <w:rPr>
          <w:rFonts w:ascii="Verdana" w:hAnsi="Verdana"/>
          <w:sz w:val="16"/>
          <w:szCs w:val="16"/>
          <w:lang w:val="en"/>
        </w:rPr>
        <w:t>.</w:t>
      </w:r>
      <w:r w:rsidRPr="5CB4B133">
        <w:rPr>
          <w:rFonts w:ascii="Verdana" w:hAnsi="Verdana"/>
          <w:sz w:val="16"/>
          <w:szCs w:val="16"/>
          <w:lang w:val="en"/>
        </w:rPr>
        <w:t xml:space="preserve"> </w:t>
      </w:r>
    </w:p>
    <w:p w14:paraId="51011216" w14:textId="77777777" w:rsidR="00E4791B" w:rsidRPr="00FA7243" w:rsidRDefault="00E4791B" w:rsidP="00D860D3">
      <w:pPr>
        <w:pStyle w:val="FootnoteText"/>
        <w:rPr>
          <w:rFonts w:ascii="Verdana" w:hAnsi="Verdana"/>
          <w:sz w:val="16"/>
          <w:lang w:val="en"/>
        </w:rPr>
      </w:pPr>
    </w:p>
  </w:footnote>
  <w:footnote w:id="4">
    <w:p w14:paraId="311FC8C9" w14:textId="77777777" w:rsidR="00E4791B" w:rsidRPr="00ED38D8" w:rsidRDefault="00E4791B">
      <w:pPr>
        <w:pStyle w:val="FootnoteText"/>
      </w:pPr>
      <w:r>
        <w:rPr>
          <w:rStyle w:val="FootnoteReference"/>
        </w:rPr>
        <w:footnoteRef/>
      </w:r>
      <w:r>
        <w:t xml:space="preserve"> </w:t>
      </w:r>
      <w:r>
        <w:rPr>
          <w:lang w:val="en-GB"/>
        </w:rPr>
        <w:t xml:space="preserve">See </w:t>
      </w:r>
      <w:hyperlink r:id="rId2" w:history="1">
        <w:r w:rsidRPr="0016265E">
          <w:rPr>
            <w:rStyle w:val="Hyperlink"/>
            <w:lang w:val="en-IE"/>
          </w:rPr>
          <w:t>https://ec.europa.eu/eurostat/statistics-explained/index.php/Glossary:Livestock_unit_(LSU)</w:t>
        </w:r>
      </w:hyperlink>
    </w:p>
  </w:footnote>
  <w:footnote w:id="5">
    <w:p w14:paraId="2B6684FD" w14:textId="77777777" w:rsidR="00E4791B" w:rsidRPr="00ED38D8" w:rsidRDefault="00E4791B">
      <w:pPr>
        <w:pStyle w:val="FootnoteText"/>
        <w:rPr>
          <w:lang w:val="en-GB"/>
        </w:rPr>
      </w:pPr>
      <w:r>
        <w:rPr>
          <w:rStyle w:val="FootnoteReference"/>
        </w:rPr>
        <w:footnoteRef/>
      </w:r>
      <w:r>
        <w:t xml:space="preserve"> </w:t>
      </w:r>
      <w:r>
        <w:rPr>
          <w:lang w:val="en-GB"/>
        </w:rPr>
        <w:t>Ibidem</w:t>
      </w:r>
    </w:p>
  </w:footnote>
  <w:footnote w:id="6">
    <w:p w14:paraId="170899B5" w14:textId="77777777" w:rsidR="00E4791B" w:rsidRPr="00F053C3" w:rsidRDefault="00E4791B" w:rsidP="00F053C3">
      <w:pPr>
        <w:pStyle w:val="FootnoteText"/>
        <w:spacing w:after="0"/>
        <w:jc w:val="left"/>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r w:rsidRPr="00F053C3">
        <w:rPr>
          <w:rFonts w:ascii="Verdana" w:hAnsi="Verdana"/>
          <w:sz w:val="16"/>
          <w:szCs w:val="16"/>
          <w:lang w:val="en"/>
        </w:rPr>
        <w:t>See</w:t>
      </w:r>
      <w:r w:rsidRPr="00F053C3">
        <w:rPr>
          <w:rFonts w:ascii="Verdana" w:hAnsi="Verdana"/>
          <w:sz w:val="16"/>
          <w:szCs w:val="16"/>
          <w:lang w:val="en-GB"/>
        </w:rPr>
        <w:t xml:space="preserve"> </w:t>
      </w:r>
      <w:hyperlink r:id="rId3" w:anchor="Labour_cost_components" w:history="1">
        <w:r w:rsidRPr="002B093A">
          <w:rPr>
            <w:rStyle w:val="Hyperlink"/>
            <w:rFonts w:ascii="Verdana" w:hAnsi="Verdana"/>
            <w:sz w:val="16"/>
            <w:szCs w:val="16"/>
            <w:lang w:val="en-GB"/>
          </w:rPr>
          <w:t>https://ec.europa.eu/eurostat/statistics-explained/index.php/Wages_and_labour_costs#Labour_cost_components</w:t>
        </w:r>
      </w:hyperlink>
      <w:r w:rsidRPr="00F053C3">
        <w:rPr>
          <w:rFonts w:ascii="Verdana" w:hAnsi="Verdana"/>
          <w:sz w:val="16"/>
          <w:szCs w:val="16"/>
          <w:lang w:val="en-GB"/>
        </w:rPr>
        <w:t xml:space="preserve"> </w:t>
      </w:r>
    </w:p>
  </w:footnote>
  <w:footnote w:id="7">
    <w:p w14:paraId="3FFD6648" w14:textId="77777777" w:rsidR="00E4791B" w:rsidRPr="00FA7243" w:rsidRDefault="00E4791B" w:rsidP="5CB4B133">
      <w:pPr>
        <w:pStyle w:val="FootnoteText"/>
        <w:spacing w:after="0"/>
        <w:ind w:left="0" w:firstLine="0"/>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
        </w:rPr>
        <w:t>See also Annex I Chapter V Agricultural Income Indicators of Regulation (EC) No 138/2004 of the European Parliament and of the Council of 5 December 2003 on the economic accounts for agriculture in the Community.</w:t>
      </w:r>
    </w:p>
  </w:footnote>
  <w:footnote w:id="8">
    <w:p w14:paraId="7749B477" w14:textId="77777777" w:rsidR="00E4791B" w:rsidRPr="00F053C3" w:rsidRDefault="00E4791B" w:rsidP="00F053C3">
      <w:pPr>
        <w:pStyle w:val="FootnoteText"/>
        <w:jc w:val="left"/>
        <w:rPr>
          <w:rFonts w:ascii="Verdana" w:hAnsi="Verdana"/>
          <w:sz w:val="16"/>
          <w:szCs w:val="16"/>
          <w:lang w:val="en-GB"/>
        </w:rPr>
      </w:pPr>
      <w:r w:rsidRPr="00F053C3">
        <w:rPr>
          <w:rFonts w:ascii="Verdana" w:hAnsi="Verdana"/>
          <w:sz w:val="16"/>
          <w:szCs w:val="16"/>
          <w:vertAlign w:val="superscript"/>
          <w:lang w:val="en"/>
        </w:rPr>
        <w:footnoteRef/>
      </w:r>
      <w:r w:rsidRPr="00F053C3">
        <w:rPr>
          <w:rFonts w:ascii="Verdana" w:hAnsi="Verdana"/>
          <w:sz w:val="16"/>
          <w:szCs w:val="16"/>
          <w:vertAlign w:val="superscript"/>
          <w:lang w:val="en"/>
        </w:rPr>
        <w:t xml:space="preserve"> </w:t>
      </w:r>
      <w:r w:rsidRPr="00F053C3">
        <w:rPr>
          <w:rFonts w:ascii="Verdana" w:hAnsi="Verdana"/>
          <w:sz w:val="16"/>
          <w:szCs w:val="16"/>
          <w:lang w:val="en"/>
        </w:rPr>
        <w:t xml:space="preserve">The compensation of employees is defined as total remuneration, in cash or in kind, payable by an employer to an employee in return for work done by the latter during the accounting period. It includes gross wages and salaries (in cash and kind); employers’ social contributions (actual and imputed). (See </w:t>
      </w:r>
      <w:r>
        <w:rPr>
          <w:rFonts w:ascii="Verdana" w:hAnsi="Verdana"/>
          <w:sz w:val="16"/>
          <w:szCs w:val="16"/>
          <w:lang w:val="en"/>
        </w:rPr>
        <w:t>Regulation (EC) No 138/2004, Part III C)</w:t>
      </w:r>
      <w:r w:rsidRPr="00F053C3">
        <w:rPr>
          <w:rFonts w:ascii="Verdana" w:hAnsi="Verdana"/>
          <w:sz w:val="16"/>
          <w:szCs w:val="16"/>
          <w:lang w:val="en-GB"/>
        </w:rPr>
        <w:t xml:space="preserve">. </w:t>
      </w:r>
    </w:p>
  </w:footnote>
  <w:footnote w:id="9">
    <w:p w14:paraId="619D310A" w14:textId="77777777" w:rsidR="00E4791B" w:rsidRPr="00F053C3" w:rsidRDefault="00E4791B" w:rsidP="00EF6D86">
      <w:pPr>
        <w:pStyle w:val="FootnoteText"/>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r w:rsidRPr="00F053C3">
        <w:rPr>
          <w:rFonts w:ascii="Verdana" w:hAnsi="Verdana"/>
          <w:sz w:val="16"/>
          <w:szCs w:val="16"/>
          <w:lang w:val="en-GB"/>
        </w:rPr>
        <w:t xml:space="preserve">See </w:t>
      </w:r>
      <w:hyperlink r:id="rId4" w:history="1">
        <w:r w:rsidRPr="00F053C3">
          <w:rPr>
            <w:rStyle w:val="Hyperlink"/>
            <w:rFonts w:ascii="Verdana" w:hAnsi="Verdana"/>
            <w:sz w:val="16"/>
            <w:szCs w:val="16"/>
            <w:lang w:val="en-GB"/>
          </w:rPr>
          <w:t>https://ec.europa.eu/eurostat/web/agriculture/methodology</w:t>
        </w:r>
      </w:hyperlink>
      <w:r w:rsidRPr="00F053C3">
        <w:rPr>
          <w:rFonts w:ascii="Verdana" w:hAnsi="Verdana"/>
          <w:sz w:val="16"/>
          <w:szCs w:val="16"/>
          <w:lang w:val="en-GB"/>
        </w:rPr>
        <w:t xml:space="preserve">. </w:t>
      </w:r>
    </w:p>
  </w:footnote>
  <w:footnote w:id="10">
    <w:p w14:paraId="666F378E" w14:textId="67F0F642" w:rsidR="00E4791B" w:rsidRPr="00F053C3" w:rsidRDefault="00E4791B" w:rsidP="00F053C3">
      <w:pPr>
        <w:pStyle w:val="FootnoteText"/>
        <w:spacing w:after="0"/>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r w:rsidRPr="00F053C3">
        <w:rPr>
          <w:rFonts w:ascii="Verdana" w:hAnsi="Verdana"/>
          <w:sz w:val="16"/>
          <w:szCs w:val="16"/>
          <w:lang w:val="en-GB"/>
        </w:rPr>
        <w:t>For s</w:t>
      </w:r>
      <w:r>
        <w:rPr>
          <w:rFonts w:ascii="Verdana" w:hAnsi="Verdana"/>
          <w:sz w:val="16"/>
          <w:szCs w:val="16"/>
          <w:lang w:val="en-GB"/>
        </w:rPr>
        <w:t xml:space="preserve">pecific </w:t>
      </w:r>
      <w:r w:rsidRPr="00F053C3">
        <w:rPr>
          <w:rFonts w:ascii="Verdana" w:hAnsi="Verdana"/>
          <w:sz w:val="16"/>
          <w:szCs w:val="16"/>
          <w:lang w:val="en-GB"/>
        </w:rPr>
        <w:t>indicator b, AWU data from FADN will be used to ensure internal consistency of the calculations. The FADN sample is different from the total agricultural sector as described in the economic accounts, since small farms are excluded.</w:t>
      </w:r>
    </w:p>
  </w:footnote>
  <w:footnote w:id="11">
    <w:p w14:paraId="53B32424" w14:textId="77777777" w:rsidR="00E4791B" w:rsidRPr="00F053C3" w:rsidRDefault="00E4791B" w:rsidP="00F053C3">
      <w:pPr>
        <w:pStyle w:val="FootnoteText"/>
        <w:spacing w:after="0"/>
        <w:rPr>
          <w:rFonts w:ascii="Verdana" w:hAnsi="Verdana"/>
          <w:sz w:val="16"/>
          <w:szCs w:val="16"/>
          <w:lang w:val="en-GB"/>
        </w:rPr>
      </w:pPr>
      <w:r w:rsidRPr="00F053C3">
        <w:rPr>
          <w:rStyle w:val="FootnoteReference"/>
          <w:rFonts w:ascii="Verdana" w:hAnsi="Verdana"/>
          <w:sz w:val="16"/>
          <w:szCs w:val="16"/>
        </w:rPr>
        <w:footnoteRef/>
      </w:r>
      <w:r w:rsidRPr="00F053C3">
        <w:rPr>
          <w:rFonts w:ascii="Verdana" w:hAnsi="Verdana"/>
          <w:sz w:val="16"/>
          <w:szCs w:val="16"/>
        </w:rPr>
        <w:t xml:space="preserve"> </w:t>
      </w:r>
      <w:hyperlink r:id="rId5" w:history="1">
        <w:r w:rsidRPr="00F053C3">
          <w:rPr>
            <w:rStyle w:val="Hyperlink"/>
            <w:rFonts w:ascii="Verdana" w:hAnsi="Verdana"/>
            <w:sz w:val="16"/>
            <w:szCs w:val="16"/>
          </w:rPr>
          <w:t>https://ec.europa.eu/eurostat/data/database</w:t>
        </w:r>
      </w:hyperlink>
      <w:r w:rsidRPr="00F053C3">
        <w:rPr>
          <w:rFonts w:ascii="Verdana" w:hAnsi="Verdana"/>
          <w:sz w:val="16"/>
          <w:szCs w:val="16"/>
          <w:lang w:val="en-GB"/>
        </w:rPr>
        <w:t xml:space="preserve"> </w:t>
      </w:r>
    </w:p>
  </w:footnote>
  <w:footnote w:id="12">
    <w:p w14:paraId="1A7E65F4" w14:textId="63C269F3" w:rsidR="00E4791B" w:rsidRPr="003B43D9" w:rsidRDefault="00E4791B" w:rsidP="003B43D9">
      <w:pPr>
        <w:spacing w:before="120" w:after="60"/>
        <w:rPr>
          <w:rFonts w:ascii="Verdana" w:hAnsi="Verdana"/>
          <w:sz w:val="18"/>
          <w:szCs w:val="18"/>
        </w:rPr>
      </w:pPr>
      <w:r w:rsidRPr="00F053C3">
        <w:rPr>
          <w:rStyle w:val="FootnoteReference"/>
          <w:rFonts w:ascii="Verdana" w:hAnsi="Verdana"/>
          <w:sz w:val="16"/>
          <w:szCs w:val="16"/>
        </w:rPr>
        <w:footnoteRef/>
      </w:r>
      <w:r w:rsidRPr="00F053C3">
        <w:rPr>
          <w:rFonts w:ascii="Verdana" w:hAnsi="Verdana"/>
          <w:sz w:val="16"/>
          <w:szCs w:val="16"/>
        </w:rPr>
        <w:t xml:space="preserve"> </w:t>
      </w:r>
      <w:hyperlink r:id="rId6" w:history="1">
        <w:r>
          <w:rPr>
            <w:rStyle w:val="Hyperlink"/>
          </w:rPr>
          <w:t>European Commission | Agri food-data | Farm Economics (europa.eu)</w:t>
        </w:r>
      </w:hyperlink>
      <w:r w:rsidRPr="00F053C3">
        <w:rPr>
          <w:rFonts w:ascii="Verdana" w:hAnsi="Verdana"/>
          <w:sz w:val="16"/>
          <w:szCs w:val="16"/>
        </w:rPr>
        <w:t xml:space="preserve"> </w:t>
      </w:r>
    </w:p>
  </w:footnote>
  <w:footnote w:id="13">
    <w:p w14:paraId="76AEB9C9" w14:textId="26DA56D6" w:rsidR="00E4791B" w:rsidRPr="00E26267" w:rsidRDefault="00E4791B">
      <w:pPr>
        <w:pStyle w:val="FootnoteText"/>
      </w:pPr>
      <w:r>
        <w:rPr>
          <w:rStyle w:val="FootnoteReference"/>
        </w:rPr>
        <w:footnoteRef/>
      </w:r>
      <w:r w:rsidRPr="790C88FB">
        <w:t xml:space="preserve"> </w:t>
      </w:r>
      <w:r w:rsidRPr="00E26267">
        <w:t>The assessment of the trends for pollinators shall be performed by using relevant Union measures for pollinator indicators, in particular by a pollinator indicator and other measures adopted through the governance framework of the EU Biodiversity Strategy for 2030 (Commission Communication of 20 May 2020) on the basis of the EU Pollinators Initiative (Commission Communication of 1 June 2018).</w:t>
      </w:r>
    </w:p>
  </w:footnote>
  <w:footnote w:id="14">
    <w:p w14:paraId="2C6FFFC7" w14:textId="1A18B36C" w:rsidR="00E4791B" w:rsidRPr="00993042" w:rsidRDefault="00E4791B" w:rsidP="00915B8E">
      <w:pPr>
        <w:rPr>
          <w:sz w:val="20"/>
        </w:rPr>
      </w:pPr>
      <w:r w:rsidRPr="00993042">
        <w:rPr>
          <w:rStyle w:val="FootnoteReference"/>
          <w:rFonts w:ascii="Times New Roman" w:hAnsi="Times New Roman" w:cs="Times New Roman"/>
          <w:sz w:val="20"/>
          <w:szCs w:val="20"/>
        </w:rPr>
        <w:footnoteRef/>
      </w:r>
      <w:r w:rsidRPr="00993042">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7" w:history="1">
        <w:r w:rsidRPr="00993042">
          <w:rPr>
            <w:rStyle w:val="Hyperlink"/>
            <w:rFonts w:ascii="Times New Roman" w:hAnsi="Times New Roman" w:cs="Times New Roman"/>
            <w:sz w:val="18"/>
            <w:szCs w:val="18"/>
          </w:rPr>
          <w:t>http://ec.europa.eu/environment/nature/natura2000/management/docs/FARMING%20FOR%20NATURA%202000-final%20guidance.pdf</w:t>
        </w:r>
      </w:hyperlink>
    </w:p>
  </w:footnote>
  <w:footnote w:id="15">
    <w:p w14:paraId="2CD505C5" w14:textId="77777777" w:rsidR="00E4791B" w:rsidRPr="008D6791" w:rsidRDefault="00E4791B" w:rsidP="008D6791">
      <w:pPr>
        <w:pStyle w:val="FootnoteText"/>
        <w:rPr>
          <w:lang w:val="en-IE"/>
        </w:rPr>
      </w:pPr>
      <w:r>
        <w:rPr>
          <w:rStyle w:val="FootnoteReference"/>
        </w:rPr>
        <w:footnoteRef/>
      </w:r>
      <w:r>
        <w:t xml:space="preserve"> </w:t>
      </w:r>
      <w:hyperlink r:id="rId8" w:history="1">
        <w:r w:rsidRPr="008D6791">
          <w:rPr>
            <w:rStyle w:val="Hyperlink"/>
            <w:rFonts w:ascii="Verdana" w:hAnsi="Verdana"/>
            <w:sz w:val="18"/>
            <w:szCs w:val="18"/>
          </w:rPr>
          <w:t>https://www.eea.europa.eu/publications/state-of-nature-in-the-eu</w:t>
        </w:r>
      </w:hyperlink>
      <w:r w:rsidRPr="008D6791">
        <w:rPr>
          <w:rFonts w:ascii="Verdana" w:hAnsi="Verdana"/>
          <w:sz w:val="18"/>
          <w:szCs w:val="18"/>
          <w:lang w:val="en-IE"/>
        </w:rPr>
        <w:t xml:space="preserve"> </w:t>
      </w:r>
    </w:p>
  </w:footnote>
  <w:footnote w:id="16">
    <w:p w14:paraId="034B1D27" w14:textId="77777777" w:rsidR="00E4791B" w:rsidRPr="009C4253" w:rsidRDefault="00E4791B" w:rsidP="3F2573B5">
      <w:pPr>
        <w:pStyle w:val="FootnoteText"/>
        <w:rPr>
          <w:rFonts w:ascii="Verdana" w:hAnsi="Verdana"/>
          <w:sz w:val="16"/>
          <w:szCs w:val="16"/>
          <w:lang w:val="en-GB"/>
        </w:rPr>
      </w:pPr>
      <w:r w:rsidRPr="3F2573B5">
        <w:rPr>
          <w:rFonts w:ascii="Verdana" w:hAnsi="Verdana"/>
          <w:sz w:val="16"/>
          <w:szCs w:val="16"/>
          <w:vertAlign w:val="superscript"/>
          <w:lang w:val="en-GB"/>
        </w:rPr>
        <w:t>14</w:t>
      </w:r>
      <w:r w:rsidRPr="3F2573B5">
        <w:rPr>
          <w:rFonts w:ascii="Verdana" w:hAnsi="Verdana"/>
          <w:sz w:val="16"/>
          <w:szCs w:val="16"/>
          <w:lang w:val="en-GB"/>
        </w:rPr>
        <w:t xml:space="preserve"> Orgiazzi et al., 2017. LUCAS Soil, the largest expandable soil dataset for Europe: a review. EJSS</w:t>
      </w:r>
    </w:p>
  </w:footnote>
  <w:footnote w:id="17">
    <w:p w14:paraId="73AA18B0" w14:textId="77777777" w:rsidR="00E4791B" w:rsidRPr="009C4253" w:rsidRDefault="00E4791B" w:rsidP="3F2573B5">
      <w:pPr>
        <w:pStyle w:val="FootnoteText"/>
        <w:rPr>
          <w:rFonts w:ascii="Verdana" w:hAnsi="Verdana"/>
          <w:sz w:val="16"/>
          <w:szCs w:val="16"/>
          <w:lang w:val="en-GB"/>
        </w:rPr>
      </w:pPr>
      <w:r w:rsidRPr="004E28AF">
        <w:rPr>
          <w:rFonts w:ascii="Verdana" w:hAnsi="Verdana" w:cs="Calibri"/>
          <w:sz w:val="16"/>
          <w:szCs w:val="16"/>
          <w:vertAlign w:val="superscript"/>
          <w:lang w:val="en-US"/>
        </w:rPr>
        <w:t>1</w:t>
      </w:r>
      <w:r>
        <w:rPr>
          <w:rFonts w:ascii="Verdana" w:hAnsi="Verdana" w:cs="Calibri"/>
          <w:sz w:val="16"/>
          <w:szCs w:val="16"/>
          <w:vertAlign w:val="superscript"/>
          <w:lang w:val="en-US"/>
        </w:rPr>
        <w:t>5</w:t>
      </w:r>
      <w:r w:rsidRPr="004E28AF">
        <w:rPr>
          <w:rFonts w:ascii="Verdana" w:hAnsi="Verdana" w:cs="Calibri"/>
          <w:sz w:val="16"/>
          <w:szCs w:val="16"/>
          <w:vertAlign w:val="superscript"/>
          <w:lang w:val="en-US"/>
        </w:rPr>
        <w:t xml:space="preserve"> </w:t>
      </w:r>
      <w:r w:rsidRPr="005C5FAC">
        <w:rPr>
          <w:rFonts w:ascii="Verdana" w:hAnsi="Verdana" w:cs="Calibri"/>
          <w:sz w:val="16"/>
          <w:szCs w:val="16"/>
        </w:rPr>
        <w:t>Lugato et al., 2018. Mitigation potential of soil carbon management overestimated by neglecting N2O emissions. NCC.</w:t>
      </w:r>
    </w:p>
  </w:footnote>
  <w:footnote w:id="18">
    <w:p w14:paraId="5F8208A1" w14:textId="77777777" w:rsidR="00E4791B" w:rsidRPr="00FA7243" w:rsidRDefault="00E4791B" w:rsidP="3F2573B5">
      <w:pPr>
        <w:pStyle w:val="FootnoteText"/>
        <w:rPr>
          <w:rFonts w:ascii="Verdana" w:hAnsi="Verdana"/>
          <w:sz w:val="16"/>
          <w:szCs w:val="16"/>
        </w:rPr>
      </w:pPr>
      <w:r w:rsidRPr="3F2573B5">
        <w:rPr>
          <w:rStyle w:val="FootnoteReference"/>
          <w:rFonts w:ascii="Verdana" w:hAnsi="Verdana"/>
          <w:sz w:val="16"/>
          <w:szCs w:val="16"/>
        </w:rPr>
        <w:footnoteRef/>
      </w:r>
      <w:r w:rsidRPr="3F2573B5">
        <w:rPr>
          <w:rFonts w:ascii="Verdana" w:hAnsi="Verdana"/>
          <w:sz w:val="16"/>
          <w:szCs w:val="16"/>
        </w:rPr>
        <w:t xml:space="preserve"> </w:t>
      </w:r>
      <w:r w:rsidRPr="3F2573B5">
        <w:rPr>
          <w:rFonts w:ascii="Verdana" w:hAnsi="Verdana"/>
          <w:sz w:val="16"/>
          <w:szCs w:val="16"/>
          <w:lang w:val="en-GB"/>
        </w:rPr>
        <w:t>Panagos et al. "The new assessment of soil loss my water erosion in Europe', Environmental and Science Policy 54(2015) 438-447</w:t>
      </w:r>
    </w:p>
  </w:footnote>
  <w:footnote w:id="19">
    <w:p w14:paraId="1A92009A" w14:textId="77777777" w:rsidR="00E4791B" w:rsidRPr="00FA7243" w:rsidRDefault="00E4791B" w:rsidP="3F4AE0BD">
      <w:pPr>
        <w:pStyle w:val="FootnoteText"/>
        <w:rPr>
          <w:rFonts w:ascii="Verdana" w:hAnsi="Verdana"/>
          <w:sz w:val="16"/>
          <w:szCs w:val="16"/>
          <w:lang w:val="en-IE"/>
        </w:rPr>
      </w:pPr>
      <w:r w:rsidRPr="3F4AE0BD">
        <w:rPr>
          <w:rStyle w:val="FootnoteReference"/>
          <w:rFonts w:ascii="Verdana" w:hAnsi="Verdana"/>
          <w:sz w:val="16"/>
          <w:szCs w:val="16"/>
        </w:rPr>
        <w:footnoteRef/>
      </w:r>
      <w:r w:rsidRPr="3F4AE0BD">
        <w:rPr>
          <w:rFonts w:ascii="Verdana" w:hAnsi="Verdana"/>
          <w:sz w:val="16"/>
          <w:szCs w:val="16"/>
        </w:rPr>
        <w:t xml:space="preserve"> </w:t>
      </w:r>
      <w:hyperlink r:id="rId9" w:history="1">
        <w:r w:rsidRPr="3F4AE0BD">
          <w:rPr>
            <w:rStyle w:val="Hyperlink"/>
            <w:rFonts w:ascii="Verdana" w:hAnsi="Verdana"/>
            <w:sz w:val="16"/>
            <w:szCs w:val="16"/>
          </w:rPr>
          <w:t>https://ec.europa.eu/eurostat/statistics-explained/index.php/Glossary:Tonnes_of_oil_equivalent_(toe)</w:t>
        </w:r>
      </w:hyperlink>
      <w:r w:rsidRPr="3F4AE0BD">
        <w:rPr>
          <w:rFonts w:ascii="Verdana" w:hAnsi="Verdana"/>
          <w:sz w:val="16"/>
          <w:szCs w:val="16"/>
          <w:lang w:val="en-IE"/>
        </w:rPr>
        <w:t xml:space="preserve"> </w:t>
      </w:r>
    </w:p>
  </w:footnote>
  <w:footnote w:id="20">
    <w:p w14:paraId="6E4260A7" w14:textId="77777777" w:rsidR="00E4791B" w:rsidRPr="00FA7243" w:rsidRDefault="00E4791B" w:rsidP="5CB4B133">
      <w:pPr>
        <w:pStyle w:val="FootnoteText"/>
        <w:spacing w:after="0"/>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GB"/>
        </w:rPr>
        <w:t>The codes used refer to the so-called NFR codes used for reporting under the UNECE Convention on Long Range Transboundary Air Pollution (LRTAP)</w:t>
      </w:r>
    </w:p>
  </w:footnote>
  <w:footnote w:id="21">
    <w:p w14:paraId="0382D93D" w14:textId="77777777" w:rsidR="00E4791B" w:rsidRPr="00FA7243" w:rsidRDefault="00E4791B" w:rsidP="5CB4B133">
      <w:pPr>
        <w:pStyle w:val="FootnoteText"/>
        <w:spacing w:after="0"/>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GB"/>
        </w:rPr>
        <w:t>The Directive on the reduction of national emissions of certain atmospheric pollutants (2016/2284/EU), also referred to as the (new)</w:t>
      </w:r>
      <w:r w:rsidRPr="5CB4B133">
        <w:rPr>
          <w:rFonts w:ascii="Verdana" w:hAnsi="Verdana"/>
          <w:sz w:val="16"/>
          <w:szCs w:val="16"/>
        </w:rPr>
        <w:t xml:space="preserve"> NEC,</w:t>
      </w:r>
      <w:r w:rsidRPr="5CB4B133">
        <w:rPr>
          <w:rFonts w:ascii="Verdana" w:hAnsi="Verdana"/>
          <w:sz w:val="16"/>
          <w:szCs w:val="16"/>
          <w:lang w:val="en-GB"/>
        </w:rPr>
        <w:t xml:space="preserve"> came into force in 2016 and </w:t>
      </w:r>
      <w:r w:rsidRPr="5CB4B133">
        <w:rPr>
          <w:rFonts w:ascii="Verdana" w:hAnsi="Verdana"/>
          <w:sz w:val="16"/>
          <w:szCs w:val="16"/>
        </w:rPr>
        <w:t>sets national emission reduction targets for SO</w:t>
      </w:r>
      <w:r w:rsidRPr="5CB4B133">
        <w:rPr>
          <w:rFonts w:ascii="Verdana" w:hAnsi="Verdana"/>
          <w:sz w:val="16"/>
          <w:szCs w:val="16"/>
          <w:vertAlign w:val="subscript"/>
        </w:rPr>
        <w:t>2</w:t>
      </w:r>
      <w:r w:rsidRPr="5CB4B133">
        <w:rPr>
          <w:rFonts w:ascii="Verdana" w:hAnsi="Verdana"/>
          <w:sz w:val="16"/>
          <w:szCs w:val="16"/>
        </w:rPr>
        <w:t>, NO</w:t>
      </w:r>
      <w:r w:rsidRPr="5CB4B133">
        <w:rPr>
          <w:rFonts w:ascii="Verdana" w:hAnsi="Verdana"/>
          <w:sz w:val="16"/>
          <w:szCs w:val="16"/>
          <w:vertAlign w:val="subscript"/>
        </w:rPr>
        <w:t>x</w:t>
      </w:r>
      <w:r w:rsidRPr="5CB4B133">
        <w:rPr>
          <w:rFonts w:ascii="Verdana" w:hAnsi="Verdana"/>
          <w:sz w:val="16"/>
          <w:szCs w:val="16"/>
        </w:rPr>
        <w:t>, NMVOC, PM</w:t>
      </w:r>
      <w:r w:rsidRPr="5CB4B133">
        <w:rPr>
          <w:rFonts w:ascii="Verdana" w:hAnsi="Verdana"/>
          <w:sz w:val="16"/>
          <w:szCs w:val="16"/>
          <w:vertAlign w:val="subscript"/>
        </w:rPr>
        <w:t>2.5</w:t>
      </w:r>
      <w:r w:rsidRPr="5CB4B133">
        <w:rPr>
          <w:rFonts w:ascii="Verdana" w:hAnsi="Verdana"/>
          <w:sz w:val="16"/>
          <w:szCs w:val="16"/>
        </w:rPr>
        <w:t xml:space="preserve"> and NH</w:t>
      </w:r>
      <w:r w:rsidRPr="5CB4B133">
        <w:rPr>
          <w:rFonts w:ascii="Verdana" w:hAnsi="Verdana"/>
          <w:sz w:val="16"/>
          <w:szCs w:val="16"/>
          <w:vertAlign w:val="subscript"/>
        </w:rPr>
        <w:t>3</w:t>
      </w:r>
      <w:r w:rsidRPr="5CB4B133">
        <w:rPr>
          <w:rFonts w:ascii="Verdana" w:hAnsi="Verdana"/>
          <w:sz w:val="16"/>
          <w:szCs w:val="16"/>
          <w:lang w:val="en-GB"/>
        </w:rPr>
        <w:t>, for 2020 and 2030.</w:t>
      </w:r>
    </w:p>
  </w:footnote>
  <w:footnote w:id="22">
    <w:p w14:paraId="4DD4A24C" w14:textId="77777777" w:rsidR="00E4791B" w:rsidRPr="00FA7243" w:rsidRDefault="00E4791B" w:rsidP="5CB4B133">
      <w:pPr>
        <w:pStyle w:val="FootnoteText"/>
        <w:rPr>
          <w:rFonts w:ascii="Verdana" w:hAnsi="Verdana"/>
          <w:sz w:val="16"/>
          <w:szCs w:val="16"/>
          <w:lang w:val="en-GB"/>
        </w:rPr>
      </w:pPr>
      <w:r w:rsidRPr="5CB4B133">
        <w:rPr>
          <w:rStyle w:val="FootnoteReference"/>
          <w:rFonts w:ascii="Verdana" w:hAnsi="Verdana"/>
          <w:sz w:val="16"/>
          <w:szCs w:val="16"/>
        </w:rPr>
        <w:footnoteRef/>
      </w:r>
      <w:r w:rsidRPr="5CB4B133">
        <w:rPr>
          <w:rFonts w:ascii="Verdana" w:hAnsi="Verdana"/>
          <w:sz w:val="16"/>
          <w:szCs w:val="16"/>
        </w:rPr>
        <w:t xml:space="preserve"> </w:t>
      </w:r>
      <w:r w:rsidRPr="5CB4B133">
        <w:rPr>
          <w:rFonts w:ascii="Verdana" w:hAnsi="Verdana"/>
          <w:sz w:val="16"/>
          <w:szCs w:val="16"/>
          <w:lang w:val="en-GB"/>
        </w:rPr>
        <w:t>The absolute national emission ceilings will be replaced by (relative) national reduction targets in 2020.</w:t>
      </w:r>
    </w:p>
  </w:footnote>
  <w:footnote w:id="23">
    <w:p w14:paraId="4D86BABE" w14:textId="65D2C2D5" w:rsidR="00E4791B" w:rsidRPr="00325330" w:rsidRDefault="00E4791B" w:rsidP="00D2508F">
      <w:pPr>
        <w:pStyle w:val="FootnoteText"/>
        <w:spacing w:after="0"/>
        <w:rPr>
          <w:rFonts w:ascii="Verdana" w:hAnsi="Verdana"/>
          <w:sz w:val="16"/>
          <w:szCs w:val="16"/>
        </w:rPr>
      </w:pPr>
      <w:r w:rsidRPr="5CB4B133">
        <w:rPr>
          <w:rStyle w:val="FootnoteReference"/>
          <w:rFonts w:ascii="Verdana" w:hAnsi="Verdana"/>
          <w:sz w:val="16"/>
          <w:szCs w:val="16"/>
        </w:rPr>
        <w:footnoteRef/>
      </w:r>
      <w:r w:rsidRPr="5CB4B133">
        <w:rPr>
          <w:rFonts w:ascii="Verdana" w:hAnsi="Verdana"/>
          <w:sz w:val="16"/>
          <w:szCs w:val="16"/>
        </w:rPr>
        <w:t xml:space="preserve"> Article </w:t>
      </w:r>
      <w:r w:rsidRPr="00D9298F">
        <w:rPr>
          <w:rFonts w:ascii="Verdana" w:hAnsi="Verdana"/>
          <w:sz w:val="16"/>
          <w:szCs w:val="16"/>
          <w:lang w:val="en-GB"/>
        </w:rPr>
        <w:t>57</w:t>
      </w:r>
      <w:r>
        <w:rPr>
          <w:rFonts w:ascii="Verdana" w:hAnsi="Verdana"/>
          <w:sz w:val="16"/>
          <w:szCs w:val="16"/>
          <w:lang w:val="en-GB"/>
        </w:rPr>
        <w:t xml:space="preserve"> </w:t>
      </w:r>
      <w:r w:rsidRPr="00D2508F">
        <w:rPr>
          <w:rFonts w:ascii="Verdana" w:hAnsi="Verdana"/>
          <w:sz w:val="16"/>
          <w:szCs w:val="16"/>
          <w:lang w:val="en-US"/>
        </w:rPr>
        <w:t>of</w:t>
      </w:r>
      <w:r w:rsidRPr="5CB4B133">
        <w:rPr>
          <w:rFonts w:ascii="Verdana" w:hAnsi="Verdana"/>
          <w:sz w:val="16"/>
          <w:szCs w:val="16"/>
        </w:rPr>
        <w:t xml:space="preserve"> Regulation</w:t>
      </w:r>
      <w:r w:rsidRPr="00D9298F">
        <w:rPr>
          <w:rFonts w:ascii="Verdana" w:hAnsi="Verdana"/>
          <w:sz w:val="16"/>
          <w:szCs w:val="16"/>
          <w:lang w:val="en-GB"/>
        </w:rPr>
        <w:t xml:space="preserve"> (</w:t>
      </w:r>
      <w:r>
        <w:rPr>
          <w:rFonts w:ascii="Verdana" w:hAnsi="Verdana"/>
          <w:sz w:val="16"/>
          <w:szCs w:val="16"/>
          <w:lang w:val="en-GB"/>
        </w:rPr>
        <w:t>EU) 2019/6.</w:t>
      </w:r>
    </w:p>
  </w:footnote>
  <w:footnote w:id="24">
    <w:p w14:paraId="30B6AF2B" w14:textId="6959A7AA" w:rsidR="00E4791B" w:rsidRPr="00F70270" w:rsidRDefault="00E4791B">
      <w:pPr>
        <w:pStyle w:val="FootnoteText"/>
        <w:rPr>
          <w:lang w:val="en-IE"/>
        </w:rPr>
      </w:pPr>
      <w:r>
        <w:rPr>
          <w:rStyle w:val="FootnoteReference"/>
        </w:rPr>
        <w:footnoteRef/>
      </w:r>
      <w:r w:rsidRPr="790C88FB">
        <w:t xml:space="preserve"> </w:t>
      </w:r>
      <w:r w:rsidRPr="00F70270">
        <w:rPr>
          <w:sz w:val="16"/>
          <w:szCs w:val="16"/>
        </w:rPr>
        <w:t xml:space="preserve">For the purpose of the Farm to Fork, hazardous pesticides are defined as active substances meeting the cut-off criteria as set out in points 3.6.2. to 3.6.5 and 3.8.2 of Annex II to </w:t>
      </w:r>
      <w:hyperlink r:id="rId10" w:history="1">
        <w:r w:rsidRPr="016CD91E">
          <w:rPr>
            <w:rFonts w:eastAsiaTheme="majorEastAsia"/>
            <w:color w:val="0000FF"/>
            <w:sz w:val="16"/>
            <w:szCs w:val="16"/>
            <w:u w:val="single"/>
          </w:rPr>
          <w:t>Regulation (EC) No 1107/2009</w:t>
        </w:r>
      </w:hyperlink>
      <w:r w:rsidRPr="00F70270">
        <w:rPr>
          <w:sz w:val="16"/>
          <w:szCs w:val="16"/>
        </w:rPr>
        <w:t xml:space="preserve"> or identified as candidates for substitution in accordance with the criteria in point 4 of that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2D06" w14:textId="4FBFDF20" w:rsidR="00E4791B" w:rsidRPr="007279BA" w:rsidRDefault="00E4791B" w:rsidP="00A26DE9">
    <w:pPr>
      <w:pStyle w:val="Header"/>
      <w:spacing w:after="120"/>
      <w:jc w:val="center"/>
      <w:rPr>
        <w:color w:val="FFFFFF" w:themeColor="background1"/>
        <w:lang w:val="en-GB"/>
      </w:rPr>
    </w:pPr>
    <w:r w:rsidRPr="007279BA">
      <w:rPr>
        <w:rFonts w:ascii="Calibri" w:eastAsia="Calibri" w:hAnsi="Calibri" w:cs="Times New Roman"/>
        <w:noProof/>
        <w:lang w:val="en-US" w:eastAsia="en-US"/>
      </w:rPr>
      <mc:AlternateContent>
        <mc:Choice Requires="wps">
          <w:drawing>
            <wp:anchor distT="0" distB="0" distL="118745" distR="118745" simplePos="0" relativeHeight="251658240" behindDoc="1" locked="0" layoutInCell="1" allowOverlap="0" wp14:anchorId="536710D2" wp14:editId="5B04F111">
              <wp:simplePos x="0" y="0"/>
              <wp:positionH relativeFrom="margin">
                <wp:posOffset>211015</wp:posOffset>
              </wp:positionH>
              <wp:positionV relativeFrom="page">
                <wp:posOffset>432094</wp:posOffset>
              </wp:positionV>
              <wp:extent cx="5760720" cy="252730"/>
              <wp:effectExtent l="0" t="0" r="2540" b="0"/>
              <wp:wrapSquare wrapText="bothSides"/>
              <wp:docPr id="11" name="Rectangle 11"/>
              <wp:cNvGraphicFramePr/>
              <a:graphic xmlns:a="http://schemas.openxmlformats.org/drawingml/2006/main">
                <a:graphicData uri="http://schemas.microsoft.com/office/word/2010/wordprocessingShape">
                  <wps:wsp>
                    <wps:cNvSpPr/>
                    <wps:spPr>
                      <a:xfrm>
                        <a:off x="0" y="0"/>
                        <a:ext cx="5760720" cy="252730"/>
                      </a:xfrm>
                      <a:prstGeom prst="rect">
                        <a:avLst/>
                      </a:prstGeom>
                      <a:solidFill>
                        <a:srgbClr val="4F81BD"/>
                      </a:solidFill>
                      <a:ln w="25400" cap="flat" cmpd="sng" algn="ctr">
                        <a:noFill/>
                        <a:prstDash val="solid"/>
                      </a:ln>
                      <a:effectLst/>
                    </wps:spPr>
                    <wps:txbx>
                      <w:txbxContent>
                        <w:p w14:paraId="07865FA3" w14:textId="5CE0CAB9" w:rsidR="00E4791B" w:rsidRPr="00E36E6E" w:rsidRDefault="00E4791B" w:rsidP="007279BA">
                          <w:pPr>
                            <w:pStyle w:val="Header"/>
                            <w:rPr>
                              <w:caps/>
                              <w:color w:val="FFFFFF"/>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36710D2" id="Rectangle 11" o:spid="_x0000_s1026" style="position:absolute;left:0;text-align:left;margin-left:16.6pt;margin-top:34pt;width:453.6pt;height:19.9pt;z-index:-25165824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" o:allowoverlap="f" fillcolor="#4f81bd" stroked="f" strokeweight="2pt">
              <v:textbox>
                <w:txbxContent>
                  <w:p w14:paraId="07865FA3" w14:textId="5CE0CAB9" w:rsidR="00E4791B" w:rsidRPr="00E36E6E" w:rsidRDefault="00E4791B" w:rsidP="007279BA">
                    <w:pPr>
                      <w:pStyle w:val="Header"/>
                      <w:rPr>
                        <w:caps/>
                        <w:color w:val="FFFFFF"/>
                        <w:lang w:val="en-GB"/>
                      </w:rPr>
                    </w:pPr>
                  </w:p>
                </w:txbxContent>
              </v:textbox>
              <w10:wrap type="square" anchorx="margin" anchory="page"/>
            </v:rect>
          </w:pict>
        </mc:Fallback>
      </mc:AlternateContent>
    </w:r>
    <w:r w:rsidRPr="007279BA">
      <w:rPr>
        <w:color w:val="FFFFFF" w:themeColor="background1"/>
        <w:lang w:val="en-GB"/>
      </w:rPr>
      <w:t>Context and Impact indicators</w:t>
    </w:r>
    <w:r>
      <w:rPr>
        <w:color w:val="FFFFFF" w:themeColor="background1"/>
        <w:lang w:val="en-GB"/>
      </w:rPr>
      <w:t xml:space="preserve"> </w:t>
    </w:r>
    <w:r w:rsidR="00CE6C55">
      <w:rPr>
        <w:color w:val="FFFFFF" w:themeColor="background1"/>
        <w:lang w:val="en-GB"/>
      </w:rPr>
      <w:t>14</w:t>
    </w:r>
    <w:r>
      <w:rPr>
        <w:color w:val="FFFFFF" w:themeColor="background1"/>
        <w:lang w:val="en-GB"/>
      </w:rPr>
      <w:t>/0</w:t>
    </w:r>
    <w:r w:rsidR="00CE6C55">
      <w:rPr>
        <w:color w:val="FFFFFF" w:themeColor="background1"/>
        <w:lang w:val="en-GB"/>
      </w:rPr>
      <w:t>2</w:t>
    </w:r>
    <w:r>
      <w:rPr>
        <w:color w:val="FFFFFF" w:themeColor="background1"/>
        <w:lang w:val="en-GB"/>
      </w:rPr>
      <w:t>/202</w:t>
    </w:r>
    <w:r w:rsidR="00CE6C55">
      <w:rPr>
        <w:color w:val="FFFFFF" w:themeColor="background1"/>
        <w:lang w:val="en-GB"/>
      </w:rPr>
      <w:t>3</w:t>
    </w:r>
    <w:r>
      <w:rPr>
        <w:color w:val="FFFFFF" w:themeColor="background1"/>
        <w:lang w:val="en-GB"/>
      </w:rPr>
      <w:t xml:space="preserve"> – Version </w:t>
    </w:r>
    <w:r w:rsidR="00AA07F1">
      <w:rPr>
        <w:color w:val="FFFFFF" w:themeColor="background1"/>
        <w:lang w:val="en-GB"/>
      </w:rPr>
      <w:t>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F9F9" w14:textId="77777777" w:rsidR="00E4791B" w:rsidRDefault="00E4791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2311"/>
        </w:tabs>
        <w:ind w:left="-2311"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07241A"/>
    <w:multiLevelType w:val="hybridMultilevel"/>
    <w:tmpl w:val="768401B2"/>
    <w:lvl w:ilvl="0" w:tplc="08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20520A5"/>
    <w:multiLevelType w:val="hybridMultilevel"/>
    <w:tmpl w:val="25163D80"/>
    <w:lvl w:ilvl="0" w:tplc="59AEE3E2">
      <w:numFmt w:val="bullet"/>
      <w:lvlText w:val="-"/>
      <w:lvlJc w:val="left"/>
      <w:pPr>
        <w:ind w:left="360" w:hanging="360"/>
      </w:pPr>
      <w:rPr>
        <w:rFonts w:ascii="Calibri" w:eastAsia="Poor Richard"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4B7938"/>
    <w:multiLevelType w:val="hybridMultilevel"/>
    <w:tmpl w:val="2B024934"/>
    <w:lvl w:ilvl="0" w:tplc="D7A8DEBC">
      <w:start w:val="1"/>
      <w:numFmt w:val="bullet"/>
      <w:lvlText w:val="-"/>
      <w:lvlJc w:val="left"/>
      <w:pPr>
        <w:ind w:left="360" w:hanging="360"/>
      </w:pPr>
      <w:rPr>
        <w:rFonts w:ascii="Verdana" w:eastAsia="Times New Roman" w:hAnsi="Verdana" w:cs="Calibri" w:hint="default"/>
        <w:b w:val="0"/>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E11058"/>
    <w:multiLevelType w:val="hybridMultilevel"/>
    <w:tmpl w:val="01580B7C"/>
    <w:lvl w:ilvl="0" w:tplc="C4A0CE18">
      <w:start w:val="100"/>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0C61BB"/>
    <w:multiLevelType w:val="hybridMultilevel"/>
    <w:tmpl w:val="D350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8278F"/>
    <w:multiLevelType w:val="hybridMultilevel"/>
    <w:tmpl w:val="F49CCB46"/>
    <w:lvl w:ilvl="0" w:tplc="DE2CD864">
      <w:start w:val="1"/>
      <w:numFmt w:val="decimal"/>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FE1B79"/>
    <w:multiLevelType w:val="hybridMultilevel"/>
    <w:tmpl w:val="4578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21563B"/>
    <w:multiLevelType w:val="hybridMultilevel"/>
    <w:tmpl w:val="320ED47A"/>
    <w:lvl w:ilvl="0" w:tplc="E2E062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11C66"/>
    <w:multiLevelType w:val="hybridMultilevel"/>
    <w:tmpl w:val="6694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B5A3A"/>
    <w:multiLevelType w:val="hybridMultilevel"/>
    <w:tmpl w:val="875E8234"/>
    <w:lvl w:ilvl="0" w:tplc="9E3282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676A9"/>
    <w:multiLevelType w:val="hybridMultilevel"/>
    <w:tmpl w:val="DD580D20"/>
    <w:lvl w:ilvl="0" w:tplc="C22CBF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A7650"/>
    <w:multiLevelType w:val="hybridMultilevel"/>
    <w:tmpl w:val="7DD0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DD6EBD"/>
    <w:multiLevelType w:val="hybridMultilevel"/>
    <w:tmpl w:val="4E8012F0"/>
    <w:lvl w:ilvl="0" w:tplc="4FB8DFFC">
      <w:start w:val="1"/>
      <w:numFmt w:val="lowerLetter"/>
      <w:lvlText w:val="%1."/>
      <w:lvlJc w:val="left"/>
      <w:pPr>
        <w:ind w:left="1145"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8" w15:restartNumberingAfterBreak="0">
    <w:nsid w:val="14AC41AD"/>
    <w:multiLevelType w:val="hybridMultilevel"/>
    <w:tmpl w:val="A8D8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D4380F"/>
    <w:multiLevelType w:val="hybridMultilevel"/>
    <w:tmpl w:val="53B4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3B1FCA"/>
    <w:multiLevelType w:val="hybridMultilevel"/>
    <w:tmpl w:val="DC2ADFF4"/>
    <w:lvl w:ilvl="0" w:tplc="379237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B6224D"/>
    <w:multiLevelType w:val="hybridMultilevel"/>
    <w:tmpl w:val="4596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BB052B"/>
    <w:multiLevelType w:val="hybridMultilevel"/>
    <w:tmpl w:val="A322C32C"/>
    <w:lvl w:ilvl="0" w:tplc="218AF09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BC62E05"/>
    <w:multiLevelType w:val="hybridMultilevel"/>
    <w:tmpl w:val="819E2E42"/>
    <w:lvl w:ilvl="0" w:tplc="ED1830D8">
      <w:start w:val="1"/>
      <w:numFmt w:val="decimal"/>
      <w:lvlText w:val="%1."/>
      <w:lvlJc w:val="left"/>
      <w:pPr>
        <w:ind w:left="720" w:hanging="360"/>
      </w:pPr>
    </w:lvl>
    <w:lvl w:ilvl="1" w:tplc="3DFEA48C">
      <w:start w:val="1"/>
      <w:numFmt w:val="lowerLetter"/>
      <w:lvlText w:val="%2."/>
      <w:lvlJc w:val="left"/>
      <w:pPr>
        <w:ind w:left="1440" w:hanging="360"/>
      </w:pPr>
    </w:lvl>
    <w:lvl w:ilvl="2" w:tplc="196E10FA">
      <w:start w:val="1"/>
      <w:numFmt w:val="lowerRoman"/>
      <w:lvlText w:val="%3."/>
      <w:lvlJc w:val="right"/>
      <w:pPr>
        <w:ind w:left="2160" w:hanging="180"/>
      </w:pPr>
    </w:lvl>
    <w:lvl w:ilvl="3" w:tplc="C8C4A7EE">
      <w:start w:val="1"/>
      <w:numFmt w:val="decimal"/>
      <w:lvlText w:val="%4."/>
      <w:lvlJc w:val="left"/>
      <w:pPr>
        <w:ind w:left="2880" w:hanging="360"/>
      </w:pPr>
    </w:lvl>
    <w:lvl w:ilvl="4" w:tplc="FEC2029A">
      <w:start w:val="1"/>
      <w:numFmt w:val="lowerLetter"/>
      <w:lvlText w:val="%5."/>
      <w:lvlJc w:val="left"/>
      <w:pPr>
        <w:ind w:left="3600" w:hanging="360"/>
      </w:pPr>
    </w:lvl>
    <w:lvl w:ilvl="5" w:tplc="138AD578">
      <w:start w:val="1"/>
      <w:numFmt w:val="lowerRoman"/>
      <w:lvlText w:val="%6."/>
      <w:lvlJc w:val="right"/>
      <w:pPr>
        <w:ind w:left="4320" w:hanging="180"/>
      </w:pPr>
    </w:lvl>
    <w:lvl w:ilvl="6" w:tplc="F1586DCA">
      <w:start w:val="1"/>
      <w:numFmt w:val="decimal"/>
      <w:lvlText w:val="%7."/>
      <w:lvlJc w:val="left"/>
      <w:pPr>
        <w:ind w:left="5040" w:hanging="360"/>
      </w:pPr>
    </w:lvl>
    <w:lvl w:ilvl="7" w:tplc="5FC81A0E">
      <w:start w:val="1"/>
      <w:numFmt w:val="lowerLetter"/>
      <w:lvlText w:val="%8."/>
      <w:lvlJc w:val="left"/>
      <w:pPr>
        <w:ind w:left="5760" w:hanging="360"/>
      </w:pPr>
    </w:lvl>
    <w:lvl w:ilvl="8" w:tplc="F1087298">
      <w:start w:val="1"/>
      <w:numFmt w:val="lowerRoman"/>
      <w:lvlText w:val="%9."/>
      <w:lvlJc w:val="right"/>
      <w:pPr>
        <w:ind w:left="6480" w:hanging="180"/>
      </w:pPr>
    </w:lvl>
  </w:abstractNum>
  <w:abstractNum w:abstractNumId="24" w15:restartNumberingAfterBreak="0">
    <w:nsid w:val="1D324BAA"/>
    <w:multiLevelType w:val="hybridMultilevel"/>
    <w:tmpl w:val="1136C3AE"/>
    <w:lvl w:ilvl="0" w:tplc="8390C5E6">
      <w:start w:val="1"/>
      <w:numFmt w:val="decimal"/>
      <w:lvlText w:val="%1."/>
      <w:lvlJc w:val="left"/>
      <w:pPr>
        <w:ind w:left="720" w:hanging="360"/>
      </w:pPr>
    </w:lvl>
    <w:lvl w:ilvl="1" w:tplc="86389540">
      <w:start w:val="1"/>
      <w:numFmt w:val="lowerLetter"/>
      <w:lvlText w:val="%2."/>
      <w:lvlJc w:val="left"/>
      <w:pPr>
        <w:ind w:left="1440" w:hanging="360"/>
      </w:pPr>
    </w:lvl>
    <w:lvl w:ilvl="2" w:tplc="46081A8E">
      <w:start w:val="1"/>
      <w:numFmt w:val="lowerRoman"/>
      <w:lvlText w:val="%3."/>
      <w:lvlJc w:val="right"/>
      <w:pPr>
        <w:ind w:left="2160" w:hanging="180"/>
      </w:pPr>
    </w:lvl>
    <w:lvl w:ilvl="3" w:tplc="0C4C09F2">
      <w:start w:val="1"/>
      <w:numFmt w:val="decimal"/>
      <w:lvlText w:val="%4."/>
      <w:lvlJc w:val="left"/>
      <w:pPr>
        <w:ind w:left="2880" w:hanging="360"/>
      </w:pPr>
    </w:lvl>
    <w:lvl w:ilvl="4" w:tplc="E098D2A8">
      <w:start w:val="1"/>
      <w:numFmt w:val="lowerLetter"/>
      <w:lvlText w:val="%5."/>
      <w:lvlJc w:val="left"/>
      <w:pPr>
        <w:ind w:left="3600" w:hanging="360"/>
      </w:pPr>
    </w:lvl>
    <w:lvl w:ilvl="5" w:tplc="0E98359E">
      <w:start w:val="1"/>
      <w:numFmt w:val="lowerRoman"/>
      <w:lvlText w:val="%6."/>
      <w:lvlJc w:val="right"/>
      <w:pPr>
        <w:ind w:left="4320" w:hanging="180"/>
      </w:pPr>
    </w:lvl>
    <w:lvl w:ilvl="6" w:tplc="3B7EC82A">
      <w:start w:val="1"/>
      <w:numFmt w:val="decimal"/>
      <w:lvlText w:val="%7."/>
      <w:lvlJc w:val="left"/>
      <w:pPr>
        <w:ind w:left="5040" w:hanging="360"/>
      </w:pPr>
    </w:lvl>
    <w:lvl w:ilvl="7" w:tplc="9F7CFC6E">
      <w:start w:val="1"/>
      <w:numFmt w:val="lowerLetter"/>
      <w:lvlText w:val="%8."/>
      <w:lvlJc w:val="left"/>
      <w:pPr>
        <w:ind w:left="5760" w:hanging="360"/>
      </w:pPr>
    </w:lvl>
    <w:lvl w:ilvl="8" w:tplc="CAA845A4">
      <w:start w:val="1"/>
      <w:numFmt w:val="lowerRoman"/>
      <w:lvlText w:val="%9."/>
      <w:lvlJc w:val="right"/>
      <w:pPr>
        <w:ind w:left="6480" w:hanging="180"/>
      </w:pPr>
    </w:lvl>
  </w:abstractNum>
  <w:abstractNum w:abstractNumId="25" w15:restartNumberingAfterBreak="0">
    <w:nsid w:val="1E402969"/>
    <w:multiLevelType w:val="multilevel"/>
    <w:tmpl w:val="BD086020"/>
    <w:lvl w:ilvl="0">
      <w:start w:val="1"/>
      <w:numFmt w:val="decimal"/>
      <w:lvlText w:val="%1."/>
      <w:lvlJc w:val="left"/>
      <w:pPr>
        <w:ind w:left="360" w:hanging="360"/>
      </w:pPr>
      <w:rPr>
        <w:rFonts w:ascii="Verdana" w:hAnsi="Verdana" w:hint="default"/>
        <w:b w:val="0"/>
        <w:sz w:val="18"/>
        <w:szCs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C77863"/>
    <w:multiLevelType w:val="hybridMultilevel"/>
    <w:tmpl w:val="9648C192"/>
    <w:lvl w:ilvl="0" w:tplc="04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04011F"/>
    <w:multiLevelType w:val="hybridMultilevel"/>
    <w:tmpl w:val="B7FA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734306"/>
    <w:multiLevelType w:val="multilevel"/>
    <w:tmpl w:val="5CB03D84"/>
    <w:lvl w:ilvl="0">
      <w:start w:val="1"/>
      <w:numFmt w:val="decimal"/>
      <w:pStyle w:val="heading10"/>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0"/>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0" w:firstLine="0"/>
      </w:pPr>
      <w:rPr>
        <w:rFonts w:hint="default"/>
        <w:i/>
        <w:color w:val="auto"/>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0214522"/>
    <w:multiLevelType w:val="hybridMultilevel"/>
    <w:tmpl w:val="D44AAF02"/>
    <w:lvl w:ilvl="0" w:tplc="113EC9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D42160"/>
    <w:multiLevelType w:val="hybridMultilevel"/>
    <w:tmpl w:val="7032B396"/>
    <w:lvl w:ilvl="0" w:tplc="15C8FCE8">
      <w:start w:val="1"/>
      <w:numFmt w:val="decimal"/>
      <w:lvlText w:val="%1."/>
      <w:lvlJc w:val="left"/>
      <w:pPr>
        <w:ind w:left="1080" w:hanging="360"/>
      </w:pPr>
      <w:rPr>
        <w:rFonts w:ascii="Verdana" w:hAnsi="Verdana" w:hint="default"/>
        <w:b w:val="0"/>
        <w:sz w:val="18"/>
        <w:szCs w:val="18"/>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21DE6ECB"/>
    <w:multiLevelType w:val="hybridMultilevel"/>
    <w:tmpl w:val="6AB2CEE0"/>
    <w:lvl w:ilvl="0" w:tplc="145ECB4E">
      <w:start w:val="5"/>
      <w:numFmt w:val="bullet"/>
      <w:lvlText w:val="-"/>
      <w:lvlJc w:val="left"/>
      <w:pPr>
        <w:ind w:left="360" w:hanging="360"/>
      </w:pPr>
      <w:rPr>
        <w:rFonts w:ascii="Verdana" w:eastAsia="Calibri" w:hAnsi="Verdana" w:cs="Times New Roman"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3" w15:restartNumberingAfterBreak="0">
    <w:nsid w:val="24D665FC"/>
    <w:multiLevelType w:val="hybridMultilevel"/>
    <w:tmpl w:val="B65C75F8"/>
    <w:lvl w:ilvl="0" w:tplc="1BB2D2AA">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276E679C"/>
    <w:multiLevelType w:val="hybridMultilevel"/>
    <w:tmpl w:val="FC282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3A63C2"/>
    <w:multiLevelType w:val="hybridMultilevel"/>
    <w:tmpl w:val="F3A0DBA8"/>
    <w:lvl w:ilvl="0" w:tplc="7108DC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0766BA"/>
    <w:multiLevelType w:val="hybridMultilevel"/>
    <w:tmpl w:val="51E89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8" w15:restartNumberingAfterBreak="0">
    <w:nsid w:val="2D293CE3"/>
    <w:multiLevelType w:val="multilevel"/>
    <w:tmpl w:val="98A0CE66"/>
    <w:lvl w:ilvl="0">
      <w:start w:val="1"/>
      <w:numFmt w:val="decimal"/>
      <w:pStyle w:val="LegalNumPar"/>
      <w:lvlText w:val="%1"/>
      <w:lvlJc w:val="left"/>
      <w:pPr>
        <w:ind w:left="476" w:hanging="476"/>
      </w:pPr>
      <w:rPr>
        <w:rFonts w:ascii="Verdana" w:eastAsia="Calibri" w:hAnsi="Verdana" w:cs="Times New Roman"/>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DCA522E"/>
    <w:multiLevelType w:val="hybridMultilevel"/>
    <w:tmpl w:val="3DB26A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024C28"/>
    <w:multiLevelType w:val="hybridMultilevel"/>
    <w:tmpl w:val="EFEE04F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069"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85B25"/>
    <w:multiLevelType w:val="hybridMultilevel"/>
    <w:tmpl w:val="A7C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7275D6"/>
    <w:multiLevelType w:val="hybridMultilevel"/>
    <w:tmpl w:val="B072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2E139C"/>
    <w:multiLevelType w:val="hybridMultilevel"/>
    <w:tmpl w:val="EA1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8E7B41"/>
    <w:multiLevelType w:val="hybridMultilevel"/>
    <w:tmpl w:val="087A6D98"/>
    <w:lvl w:ilvl="0" w:tplc="E91A0682">
      <w:start w:val="1"/>
      <w:numFmt w:val="decimal"/>
      <w:lvlText w:val="%1."/>
      <w:lvlJc w:val="left"/>
      <w:pPr>
        <w:ind w:left="64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34AE346C"/>
    <w:multiLevelType w:val="hybridMultilevel"/>
    <w:tmpl w:val="7BB8B1CC"/>
    <w:lvl w:ilvl="0" w:tplc="657EF3F2">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15:restartNumberingAfterBreak="0">
    <w:nsid w:val="36767E96"/>
    <w:multiLevelType w:val="hybridMultilevel"/>
    <w:tmpl w:val="1F5EC444"/>
    <w:lvl w:ilvl="0" w:tplc="57A2661A">
      <w:start w:val="3"/>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38265484"/>
    <w:multiLevelType w:val="hybridMultilevel"/>
    <w:tmpl w:val="08F88E96"/>
    <w:lvl w:ilvl="0" w:tplc="FFFFFFFF">
      <w:start w:val="1"/>
      <w:numFmt w:val="bullet"/>
      <w:pStyle w:val="Tablesbullets2"/>
      <w:lvlText w:val=""/>
      <w:lvlJc w:val="left"/>
      <w:pPr>
        <w:tabs>
          <w:tab w:val="num" w:pos="814"/>
        </w:tabs>
        <w:ind w:left="587" w:firstLine="0"/>
      </w:pPr>
      <w:rPr>
        <w:rFonts w:ascii="Symbol" w:hAnsi="Symbol" w:hint="default"/>
        <w:color w:val="auto"/>
        <w:sz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98607C8"/>
    <w:multiLevelType w:val="hybridMultilevel"/>
    <w:tmpl w:val="7340F7C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A202272"/>
    <w:multiLevelType w:val="hybridMultilevel"/>
    <w:tmpl w:val="082CECB0"/>
    <w:lvl w:ilvl="0" w:tplc="C89A4AB6">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1" w15:restartNumberingAfterBreak="0">
    <w:nsid w:val="3D983691"/>
    <w:multiLevelType w:val="hybridMultilevel"/>
    <w:tmpl w:val="276E175A"/>
    <w:lvl w:ilvl="0" w:tplc="24148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2B077A"/>
    <w:multiLevelType w:val="hybridMultilevel"/>
    <w:tmpl w:val="1D92B5F2"/>
    <w:lvl w:ilvl="0" w:tplc="7F1A74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E855F0"/>
    <w:multiLevelType w:val="hybridMultilevel"/>
    <w:tmpl w:val="918AF15C"/>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2BC629D"/>
    <w:multiLevelType w:val="hybridMultilevel"/>
    <w:tmpl w:val="D31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D625B"/>
    <w:multiLevelType w:val="hybridMultilevel"/>
    <w:tmpl w:val="10480DB0"/>
    <w:lvl w:ilvl="0" w:tplc="652222BA">
      <w:start w:val="2"/>
      <w:numFmt w:val="decimal"/>
      <w:lvlText w:val="%1."/>
      <w:lvlJc w:val="left"/>
      <w:pPr>
        <w:ind w:left="10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6CA6CAE"/>
    <w:multiLevelType w:val="hybridMultilevel"/>
    <w:tmpl w:val="7A1E31E2"/>
    <w:lvl w:ilvl="0" w:tplc="07D000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9366E36"/>
    <w:multiLevelType w:val="hybridMultilevel"/>
    <w:tmpl w:val="FBB84D56"/>
    <w:lvl w:ilvl="0" w:tplc="5D841DE6">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9562D8D"/>
    <w:multiLevelType w:val="hybridMultilevel"/>
    <w:tmpl w:val="33E2BAE8"/>
    <w:lvl w:ilvl="0" w:tplc="0409000F">
      <w:start w:val="1"/>
      <w:numFmt w:val="decimal"/>
      <w:lvlText w:val="%1."/>
      <w:lvlJc w:val="left"/>
      <w:pPr>
        <w:ind w:left="720" w:hanging="360"/>
      </w:pPr>
      <w:rPr>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D863EA"/>
    <w:multiLevelType w:val="hybridMultilevel"/>
    <w:tmpl w:val="44B06DBC"/>
    <w:lvl w:ilvl="0" w:tplc="45BEE5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310E7F"/>
    <w:multiLevelType w:val="hybridMultilevel"/>
    <w:tmpl w:val="BC02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590712"/>
    <w:multiLevelType w:val="hybridMultilevel"/>
    <w:tmpl w:val="DE588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1D0481"/>
    <w:multiLevelType w:val="hybridMultilevel"/>
    <w:tmpl w:val="F14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04F308B"/>
    <w:multiLevelType w:val="hybridMultilevel"/>
    <w:tmpl w:val="F830F3D6"/>
    <w:lvl w:ilvl="0" w:tplc="59AEE3E2">
      <w:numFmt w:val="bullet"/>
      <w:lvlText w:val="-"/>
      <w:lvlJc w:val="left"/>
      <w:pPr>
        <w:ind w:left="360" w:hanging="360"/>
      </w:pPr>
      <w:rPr>
        <w:rFonts w:ascii="Calibri" w:eastAsia="Poor Richard"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0D00A24"/>
    <w:multiLevelType w:val="hybridMultilevel"/>
    <w:tmpl w:val="AFFA7B3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1E5726C"/>
    <w:multiLevelType w:val="hybridMultilevel"/>
    <w:tmpl w:val="D454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1415BE"/>
    <w:multiLevelType w:val="hybridMultilevel"/>
    <w:tmpl w:val="2408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007B1B"/>
    <w:multiLevelType w:val="hybridMultilevel"/>
    <w:tmpl w:val="4E986E4A"/>
    <w:lvl w:ilvl="0" w:tplc="9D0204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3262C66"/>
    <w:multiLevelType w:val="hybridMultilevel"/>
    <w:tmpl w:val="082CECB0"/>
    <w:lvl w:ilvl="0" w:tplc="C89A4AB6">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34139DD"/>
    <w:multiLevelType w:val="hybridMultilevel"/>
    <w:tmpl w:val="1468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3360EE"/>
    <w:multiLevelType w:val="hybridMultilevel"/>
    <w:tmpl w:val="6A826F5A"/>
    <w:lvl w:ilvl="0" w:tplc="FFFFFFFF">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4835CB5"/>
    <w:multiLevelType w:val="hybridMultilevel"/>
    <w:tmpl w:val="986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4B90DA1"/>
    <w:multiLevelType w:val="hybridMultilevel"/>
    <w:tmpl w:val="3E6E82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8" w15:restartNumberingAfterBreak="0">
    <w:nsid w:val="5A291275"/>
    <w:multiLevelType w:val="hybridMultilevel"/>
    <w:tmpl w:val="D248AB26"/>
    <w:lvl w:ilvl="0" w:tplc="82DEE7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A93143A"/>
    <w:multiLevelType w:val="hybridMultilevel"/>
    <w:tmpl w:val="E3D05A82"/>
    <w:lvl w:ilvl="0" w:tplc="BB3C89F6">
      <w:start w:val="1"/>
      <w:numFmt w:val="decimal"/>
      <w:lvlText w:val="%1."/>
      <w:lvlJc w:val="left"/>
      <w:pPr>
        <w:ind w:left="360" w:hanging="360"/>
      </w:pPr>
      <w:rPr>
        <w:rFonts w:hint="default"/>
        <w:b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5AFF29E1"/>
    <w:multiLevelType w:val="hybridMultilevel"/>
    <w:tmpl w:val="B9A8EF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BB04A29"/>
    <w:multiLevelType w:val="hybridMultilevel"/>
    <w:tmpl w:val="7E12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500D1A"/>
    <w:multiLevelType w:val="hybridMultilevel"/>
    <w:tmpl w:val="F940CDDC"/>
    <w:lvl w:ilvl="0" w:tplc="145ECB4E">
      <w:start w:val="5"/>
      <w:numFmt w:val="bullet"/>
      <w:lvlText w:val="-"/>
      <w:lvlJc w:val="left"/>
      <w:pPr>
        <w:ind w:left="360" w:hanging="360"/>
      </w:pPr>
      <w:rPr>
        <w:rFonts w:ascii="Verdana" w:eastAsia="Calibri" w:hAnsi="Verdana"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5F115E4F"/>
    <w:multiLevelType w:val="hybridMultilevel"/>
    <w:tmpl w:val="A55AF1BE"/>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84" w15:restartNumberingAfterBreak="0">
    <w:nsid w:val="5F620C61"/>
    <w:multiLevelType w:val="hybridMultilevel"/>
    <w:tmpl w:val="501A4B78"/>
    <w:lvl w:ilvl="0" w:tplc="07D000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0E4C12"/>
    <w:multiLevelType w:val="hybridMultilevel"/>
    <w:tmpl w:val="083AED48"/>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86" w15:restartNumberingAfterBreak="0">
    <w:nsid w:val="62A92A41"/>
    <w:multiLevelType w:val="hybridMultilevel"/>
    <w:tmpl w:val="65087F66"/>
    <w:lvl w:ilvl="0" w:tplc="C89A4AB6">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3503081"/>
    <w:multiLevelType w:val="hybridMultilevel"/>
    <w:tmpl w:val="E58A8A44"/>
    <w:lvl w:ilvl="0" w:tplc="0409000F">
      <w:start w:val="1"/>
      <w:numFmt w:val="decimal"/>
      <w:lvlText w:val="%1."/>
      <w:lvlJc w:val="left"/>
      <w:pPr>
        <w:ind w:left="720" w:hanging="360"/>
      </w:pPr>
      <w:rPr>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F2786F"/>
    <w:multiLevelType w:val="hybridMultilevel"/>
    <w:tmpl w:val="153287F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89" w15:restartNumberingAfterBreak="0">
    <w:nsid w:val="64A72B95"/>
    <w:multiLevelType w:val="hybridMultilevel"/>
    <w:tmpl w:val="0B5E901E"/>
    <w:lvl w:ilvl="0" w:tplc="514C23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1" w15:restartNumberingAfterBreak="0">
    <w:nsid w:val="666D2B25"/>
    <w:multiLevelType w:val="hybridMultilevel"/>
    <w:tmpl w:val="7396B13A"/>
    <w:lvl w:ilvl="0" w:tplc="9B4E95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3" w15:restartNumberingAfterBreak="0">
    <w:nsid w:val="66BE5FEA"/>
    <w:multiLevelType w:val="hybridMultilevel"/>
    <w:tmpl w:val="992E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392AD2"/>
    <w:multiLevelType w:val="hybridMultilevel"/>
    <w:tmpl w:val="F1003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DB22046"/>
    <w:multiLevelType w:val="hybridMultilevel"/>
    <w:tmpl w:val="7AA2246A"/>
    <w:lvl w:ilvl="0" w:tplc="63623A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51641F"/>
    <w:multiLevelType w:val="hybridMultilevel"/>
    <w:tmpl w:val="8E4E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586BC1"/>
    <w:multiLevelType w:val="hybridMultilevel"/>
    <w:tmpl w:val="319454F6"/>
    <w:lvl w:ilvl="0" w:tplc="4FA4B910">
      <w:start w:val="1"/>
      <w:numFmt w:val="lowerLetter"/>
      <w:lvlText w:val="%1."/>
      <w:lvlJc w:val="left"/>
      <w:pPr>
        <w:ind w:left="1145"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9" w15:restartNumberingAfterBreak="0">
    <w:nsid w:val="6EC000BC"/>
    <w:multiLevelType w:val="multilevel"/>
    <w:tmpl w:val="AC8E714E"/>
    <w:lvl w:ilvl="0">
      <w:start w:val="2"/>
      <w:numFmt w:val="decimal"/>
      <w:lvlText w:val="%1."/>
      <w:lvlJc w:val="left"/>
      <w:pPr>
        <w:ind w:left="360" w:hanging="360"/>
      </w:pPr>
      <w:rPr>
        <w:rFonts w:ascii="Verdana" w:hAnsi="Verdana" w:hint="default"/>
        <w:b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0844B9E"/>
    <w:multiLevelType w:val="hybridMultilevel"/>
    <w:tmpl w:val="43C68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0EF5974"/>
    <w:multiLevelType w:val="hybridMultilevel"/>
    <w:tmpl w:val="0758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2950D11"/>
    <w:multiLevelType w:val="hybridMultilevel"/>
    <w:tmpl w:val="E2AC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2DD6837"/>
    <w:multiLevelType w:val="hybridMultilevel"/>
    <w:tmpl w:val="4EDEFDA2"/>
    <w:lvl w:ilvl="0" w:tplc="59AEE3E2">
      <w:numFmt w:val="bullet"/>
      <w:lvlText w:val="-"/>
      <w:lvlJc w:val="left"/>
      <w:pPr>
        <w:ind w:left="720" w:hanging="360"/>
      </w:pPr>
      <w:rPr>
        <w:rFonts w:ascii="Calibri" w:eastAsia="Poor Richard" w:hAnsi="Calibri" w:cs="Arial" w:hint="default"/>
      </w:rPr>
    </w:lvl>
    <w:lvl w:ilvl="1" w:tplc="F17CB5C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EB4C8D"/>
    <w:multiLevelType w:val="hybridMultilevel"/>
    <w:tmpl w:val="193A4F0C"/>
    <w:lvl w:ilvl="0" w:tplc="113EC9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204CFA"/>
    <w:multiLevelType w:val="hybridMultilevel"/>
    <w:tmpl w:val="48A8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42A3695"/>
    <w:multiLevelType w:val="hybridMultilevel"/>
    <w:tmpl w:val="FD1CC2FE"/>
    <w:lvl w:ilvl="0" w:tplc="40C88C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6C346D"/>
    <w:multiLevelType w:val="hybridMultilevel"/>
    <w:tmpl w:val="FE40679A"/>
    <w:lvl w:ilvl="0" w:tplc="F0B26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F57F2F"/>
    <w:multiLevelType w:val="hybridMultilevel"/>
    <w:tmpl w:val="CB2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7C760EE"/>
    <w:multiLevelType w:val="hybridMultilevel"/>
    <w:tmpl w:val="C06E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83A1FDC"/>
    <w:multiLevelType w:val="hybridMultilevel"/>
    <w:tmpl w:val="04B4D8C2"/>
    <w:lvl w:ilvl="0" w:tplc="33A80226">
      <w:start w:val="1"/>
      <w:numFmt w:val="decimal"/>
      <w:lvlText w:val="%1."/>
      <w:lvlJc w:val="left"/>
      <w:pPr>
        <w:ind w:left="720" w:hanging="360"/>
      </w:pPr>
      <w:rPr>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8F07249"/>
    <w:multiLevelType w:val="hybridMultilevel"/>
    <w:tmpl w:val="560A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AD7576"/>
    <w:multiLevelType w:val="hybridMultilevel"/>
    <w:tmpl w:val="319454F6"/>
    <w:lvl w:ilvl="0" w:tplc="4FA4B910">
      <w:start w:val="1"/>
      <w:numFmt w:val="lowerLetter"/>
      <w:lvlText w:val="%1."/>
      <w:lvlJc w:val="left"/>
      <w:pPr>
        <w:ind w:left="1145"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3" w15:restartNumberingAfterBreak="0">
    <w:nsid w:val="7BC74A00"/>
    <w:multiLevelType w:val="hybridMultilevel"/>
    <w:tmpl w:val="F1EA4334"/>
    <w:lvl w:ilvl="0" w:tplc="A6E409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B02A81"/>
    <w:multiLevelType w:val="hybridMultilevel"/>
    <w:tmpl w:val="195EA0FC"/>
    <w:lvl w:ilvl="0" w:tplc="72D24D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F512370"/>
    <w:multiLevelType w:val="hybridMultilevel"/>
    <w:tmpl w:val="23306A94"/>
    <w:lvl w:ilvl="0" w:tplc="2F10CA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F7A32B4"/>
    <w:multiLevelType w:val="hybridMultilevel"/>
    <w:tmpl w:val="BC5221C8"/>
    <w:lvl w:ilvl="0" w:tplc="3AFC6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A110D0"/>
    <w:multiLevelType w:val="hybridMultilevel"/>
    <w:tmpl w:val="0F4E64D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3"/>
  </w:num>
  <w:num w:numId="3">
    <w:abstractNumId w:val="77"/>
  </w:num>
  <w:num w:numId="4">
    <w:abstractNumId w:val="50"/>
  </w:num>
  <w:num w:numId="5">
    <w:abstractNumId w:val="54"/>
  </w:num>
  <w:num w:numId="6">
    <w:abstractNumId w:val="47"/>
  </w:num>
  <w:num w:numId="7">
    <w:abstractNumId w:val="1"/>
  </w:num>
  <w:num w:numId="8">
    <w:abstractNumId w:val="0"/>
  </w:num>
  <w:num w:numId="9">
    <w:abstractNumId w:val="37"/>
  </w:num>
  <w:num w:numId="10">
    <w:abstractNumId w:val="17"/>
  </w:num>
  <w:num w:numId="11">
    <w:abstractNumId w:val="16"/>
  </w:num>
  <w:num w:numId="12">
    <w:abstractNumId w:val="90"/>
  </w:num>
  <w:num w:numId="13">
    <w:abstractNumId w:val="92"/>
  </w:num>
  <w:num w:numId="14">
    <w:abstractNumId w:val="98"/>
  </w:num>
  <w:num w:numId="15">
    <w:abstractNumId w:val="32"/>
  </w:num>
  <w:num w:numId="16">
    <w:abstractNumId w:val="58"/>
  </w:num>
  <w:num w:numId="17">
    <w:abstractNumId w:val="57"/>
  </w:num>
  <w:num w:numId="18">
    <w:abstractNumId w:val="8"/>
  </w:num>
  <w:num w:numId="19">
    <w:abstractNumId w:val="60"/>
  </w:num>
  <w:num w:numId="20">
    <w:abstractNumId w:val="28"/>
  </w:num>
  <w:num w:numId="21">
    <w:abstractNumId w:val="19"/>
  </w:num>
  <w:num w:numId="22">
    <w:abstractNumId w:val="67"/>
  </w:num>
  <w:num w:numId="23">
    <w:abstractNumId w:val="105"/>
  </w:num>
  <w:num w:numId="24">
    <w:abstractNumId w:val="21"/>
  </w:num>
  <w:num w:numId="25">
    <w:abstractNumId w:val="85"/>
  </w:num>
  <w:num w:numId="26">
    <w:abstractNumId w:val="26"/>
  </w:num>
  <w:num w:numId="27">
    <w:abstractNumId w:val="48"/>
  </w:num>
  <w:num w:numId="28">
    <w:abstractNumId w:val="29"/>
  </w:num>
  <w:num w:numId="29">
    <w:abstractNumId w:val="65"/>
  </w:num>
  <w:num w:numId="30">
    <w:abstractNumId w:val="27"/>
  </w:num>
  <w:num w:numId="31">
    <w:abstractNumId w:val="4"/>
  </w:num>
  <w:num w:numId="32">
    <w:abstractNumId w:val="7"/>
  </w:num>
  <w:num w:numId="33">
    <w:abstractNumId w:val="86"/>
  </w:num>
  <w:num w:numId="34">
    <w:abstractNumId w:val="14"/>
  </w:num>
  <w:num w:numId="35">
    <w:abstractNumId w:val="66"/>
  </w:num>
  <w:num w:numId="36">
    <w:abstractNumId w:val="41"/>
  </w:num>
  <w:num w:numId="37">
    <w:abstractNumId w:val="55"/>
  </w:num>
  <w:num w:numId="38">
    <w:abstractNumId w:val="102"/>
  </w:num>
  <w:num w:numId="39">
    <w:abstractNumId w:val="101"/>
  </w:num>
  <w:num w:numId="40">
    <w:abstractNumId w:val="40"/>
  </w:num>
  <w:num w:numId="41">
    <w:abstractNumId w:val="108"/>
  </w:num>
  <w:num w:numId="42">
    <w:abstractNumId w:val="43"/>
  </w:num>
  <w:num w:numId="43">
    <w:abstractNumId w:val="80"/>
  </w:num>
  <w:num w:numId="44">
    <w:abstractNumId w:val="74"/>
  </w:num>
  <w:num w:numId="45">
    <w:abstractNumId w:val="82"/>
  </w:num>
  <w:num w:numId="46">
    <w:abstractNumId w:val="31"/>
  </w:num>
  <w:num w:numId="47">
    <w:abstractNumId w:val="83"/>
  </w:num>
  <w:num w:numId="48">
    <w:abstractNumId w:val="91"/>
  </w:num>
  <w:num w:numId="49">
    <w:abstractNumId w:val="64"/>
  </w:num>
  <w:num w:numId="50">
    <w:abstractNumId w:val="68"/>
  </w:num>
  <w:num w:numId="51">
    <w:abstractNumId w:val="117"/>
  </w:num>
  <w:num w:numId="52">
    <w:abstractNumId w:val="79"/>
  </w:num>
  <w:num w:numId="53">
    <w:abstractNumId w:val="70"/>
  </w:num>
  <w:num w:numId="54">
    <w:abstractNumId w:val="109"/>
  </w:num>
  <w:num w:numId="55">
    <w:abstractNumId w:val="75"/>
  </w:num>
  <w:num w:numId="56">
    <w:abstractNumId w:val="25"/>
  </w:num>
  <w:num w:numId="57">
    <w:abstractNumId w:val="99"/>
  </w:num>
  <w:num w:numId="58">
    <w:abstractNumId w:val="115"/>
  </w:num>
  <w:num w:numId="59">
    <w:abstractNumId w:val="38"/>
  </w:num>
  <w:num w:numId="60">
    <w:abstractNumId w:val="78"/>
  </w:num>
  <w:num w:numId="61">
    <w:abstractNumId w:val="36"/>
  </w:num>
  <w:num w:numId="62">
    <w:abstractNumId w:val="9"/>
  </w:num>
  <w:num w:numId="63">
    <w:abstractNumId w:val="61"/>
  </w:num>
  <w:num w:numId="64">
    <w:abstractNumId w:val="62"/>
  </w:num>
  <w:num w:numId="65">
    <w:abstractNumId w:val="87"/>
  </w:num>
  <w:num w:numId="66">
    <w:abstractNumId w:val="51"/>
  </w:num>
  <w:num w:numId="67">
    <w:abstractNumId w:val="110"/>
  </w:num>
  <w:num w:numId="68">
    <w:abstractNumId w:val="30"/>
  </w:num>
  <w:num w:numId="69">
    <w:abstractNumId w:val="39"/>
  </w:num>
  <w:num w:numId="70">
    <w:abstractNumId w:val="114"/>
  </w:num>
  <w:num w:numId="71">
    <w:abstractNumId w:val="107"/>
  </w:num>
  <w:num w:numId="72">
    <w:abstractNumId w:val="44"/>
  </w:num>
  <w:num w:numId="73">
    <w:abstractNumId w:val="20"/>
  </w:num>
  <w:num w:numId="74">
    <w:abstractNumId w:val="103"/>
  </w:num>
  <w:num w:numId="75">
    <w:abstractNumId w:val="59"/>
  </w:num>
  <w:num w:numId="76">
    <w:abstractNumId w:val="84"/>
  </w:num>
  <w:num w:numId="77">
    <w:abstractNumId w:val="113"/>
  </w:num>
  <w:num w:numId="78">
    <w:abstractNumId w:val="22"/>
  </w:num>
  <w:num w:numId="79">
    <w:abstractNumId w:val="52"/>
  </w:num>
  <w:num w:numId="80">
    <w:abstractNumId w:val="63"/>
  </w:num>
  <w:num w:numId="81">
    <w:abstractNumId w:val="81"/>
  </w:num>
  <w:num w:numId="82">
    <w:abstractNumId w:val="73"/>
  </w:num>
  <w:num w:numId="83">
    <w:abstractNumId w:val="88"/>
  </w:num>
  <w:num w:numId="84">
    <w:abstractNumId w:val="35"/>
  </w:num>
  <w:num w:numId="85">
    <w:abstractNumId w:val="11"/>
  </w:num>
  <w:num w:numId="86">
    <w:abstractNumId w:val="2"/>
  </w:num>
  <w:num w:numId="87">
    <w:abstractNumId w:val="116"/>
  </w:num>
  <w:num w:numId="88">
    <w:abstractNumId w:val="89"/>
  </w:num>
  <w:num w:numId="89">
    <w:abstractNumId w:val="45"/>
  </w:num>
  <w:num w:numId="90">
    <w:abstractNumId w:val="13"/>
  </w:num>
  <w:num w:numId="91">
    <w:abstractNumId w:val="106"/>
  </w:num>
  <w:num w:numId="92">
    <w:abstractNumId w:val="10"/>
  </w:num>
  <w:num w:numId="93">
    <w:abstractNumId w:val="33"/>
  </w:num>
  <w:num w:numId="94">
    <w:abstractNumId w:val="3"/>
  </w:num>
  <w:num w:numId="95">
    <w:abstractNumId w:val="12"/>
  </w:num>
  <w:num w:numId="96">
    <w:abstractNumId w:val="53"/>
  </w:num>
  <w:num w:numId="97">
    <w:abstractNumId w:val="34"/>
  </w:num>
  <w:num w:numId="98">
    <w:abstractNumId w:val="42"/>
  </w:num>
  <w:num w:numId="99">
    <w:abstractNumId w:val="6"/>
  </w:num>
  <w:num w:numId="100">
    <w:abstractNumId w:val="18"/>
  </w:num>
  <w:num w:numId="101">
    <w:abstractNumId w:val="93"/>
  </w:num>
  <w:num w:numId="102">
    <w:abstractNumId w:val="56"/>
  </w:num>
  <w:num w:numId="103">
    <w:abstractNumId w:val="72"/>
  </w:num>
  <w:num w:numId="104">
    <w:abstractNumId w:val="96"/>
  </w:num>
  <w:num w:numId="105">
    <w:abstractNumId w:val="69"/>
  </w:num>
  <w:num w:numId="106">
    <w:abstractNumId w:val="71"/>
  </w:num>
  <w:num w:numId="107">
    <w:abstractNumId w:val="100"/>
  </w:num>
  <w:num w:numId="108">
    <w:abstractNumId w:val="97"/>
  </w:num>
  <w:num w:numId="109">
    <w:abstractNumId w:val="15"/>
  </w:num>
  <w:num w:numId="110">
    <w:abstractNumId w:val="112"/>
  </w:num>
  <w:num w:numId="111">
    <w:abstractNumId w:val="76"/>
  </w:num>
  <w:num w:numId="112">
    <w:abstractNumId w:val="49"/>
  </w:num>
  <w:num w:numId="113">
    <w:abstractNumId w:val="46"/>
  </w:num>
  <w:num w:numId="114">
    <w:abstractNumId w:val="5"/>
  </w:num>
  <w:num w:numId="115">
    <w:abstractNumId w:val="94"/>
  </w:num>
  <w:num w:numId="116">
    <w:abstractNumId w:val="95"/>
  </w:num>
  <w:num w:numId="117">
    <w:abstractNumId w:val="111"/>
  </w:num>
  <w:num w:numId="118">
    <w:abstractNumId w:val="10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nl-BE"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IE" w:vendorID="64" w:dllVersion="131078" w:nlCheck="1" w:checkStyle="1"/>
  <w:doNotTrackFormatting/>
  <w:defaultTabStop w:val="720"/>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1680"/>
    <w:rsid w:val="00000ED1"/>
    <w:rsid w:val="00002226"/>
    <w:rsid w:val="00002870"/>
    <w:rsid w:val="00003059"/>
    <w:rsid w:val="00004633"/>
    <w:rsid w:val="00004777"/>
    <w:rsid w:val="00004F3D"/>
    <w:rsid w:val="00005001"/>
    <w:rsid w:val="00005EA8"/>
    <w:rsid w:val="00006DA8"/>
    <w:rsid w:val="00007995"/>
    <w:rsid w:val="0001175C"/>
    <w:rsid w:val="00011D21"/>
    <w:rsid w:val="000127C1"/>
    <w:rsid w:val="00012B6F"/>
    <w:rsid w:val="0001316B"/>
    <w:rsid w:val="000146F7"/>
    <w:rsid w:val="0001481D"/>
    <w:rsid w:val="00014E03"/>
    <w:rsid w:val="000151DC"/>
    <w:rsid w:val="000151F5"/>
    <w:rsid w:val="000161A5"/>
    <w:rsid w:val="000168DC"/>
    <w:rsid w:val="00016C62"/>
    <w:rsid w:val="00017034"/>
    <w:rsid w:val="00017746"/>
    <w:rsid w:val="00017B04"/>
    <w:rsid w:val="00020200"/>
    <w:rsid w:val="000211DF"/>
    <w:rsid w:val="00022C9D"/>
    <w:rsid w:val="00022E8B"/>
    <w:rsid w:val="00022F45"/>
    <w:rsid w:val="00023FCF"/>
    <w:rsid w:val="00025869"/>
    <w:rsid w:val="00025B12"/>
    <w:rsid w:val="00026912"/>
    <w:rsid w:val="00027BD4"/>
    <w:rsid w:val="00030593"/>
    <w:rsid w:val="00030E20"/>
    <w:rsid w:val="00031394"/>
    <w:rsid w:val="0003252F"/>
    <w:rsid w:val="0003253B"/>
    <w:rsid w:val="0003345A"/>
    <w:rsid w:val="000337EA"/>
    <w:rsid w:val="000345A1"/>
    <w:rsid w:val="00034A3A"/>
    <w:rsid w:val="00035236"/>
    <w:rsid w:val="00036181"/>
    <w:rsid w:val="000362D8"/>
    <w:rsid w:val="000366DD"/>
    <w:rsid w:val="0003693F"/>
    <w:rsid w:val="00037573"/>
    <w:rsid w:val="00040AEE"/>
    <w:rsid w:val="00041F57"/>
    <w:rsid w:val="00044C30"/>
    <w:rsid w:val="00044F56"/>
    <w:rsid w:val="0004503A"/>
    <w:rsid w:val="00047477"/>
    <w:rsid w:val="00047E25"/>
    <w:rsid w:val="00050555"/>
    <w:rsid w:val="0005059A"/>
    <w:rsid w:val="00051B8B"/>
    <w:rsid w:val="00051D0D"/>
    <w:rsid w:val="00054818"/>
    <w:rsid w:val="00054AC1"/>
    <w:rsid w:val="00054F39"/>
    <w:rsid w:val="000550BD"/>
    <w:rsid w:val="00056F54"/>
    <w:rsid w:val="000616C1"/>
    <w:rsid w:val="000616CE"/>
    <w:rsid w:val="000617D7"/>
    <w:rsid w:val="00061D36"/>
    <w:rsid w:val="000620AC"/>
    <w:rsid w:val="000637C1"/>
    <w:rsid w:val="00063BA8"/>
    <w:rsid w:val="00064654"/>
    <w:rsid w:val="00064D0C"/>
    <w:rsid w:val="00064FF5"/>
    <w:rsid w:val="00066A79"/>
    <w:rsid w:val="00066ED4"/>
    <w:rsid w:val="0007141E"/>
    <w:rsid w:val="000723BC"/>
    <w:rsid w:val="000724E9"/>
    <w:rsid w:val="00072791"/>
    <w:rsid w:val="000732A9"/>
    <w:rsid w:val="000735C2"/>
    <w:rsid w:val="00073890"/>
    <w:rsid w:val="00073AB3"/>
    <w:rsid w:val="000745CF"/>
    <w:rsid w:val="00074632"/>
    <w:rsid w:val="00074DB6"/>
    <w:rsid w:val="0007567B"/>
    <w:rsid w:val="00075B11"/>
    <w:rsid w:val="0007671D"/>
    <w:rsid w:val="00077767"/>
    <w:rsid w:val="00077AB0"/>
    <w:rsid w:val="00080BA5"/>
    <w:rsid w:val="00081F51"/>
    <w:rsid w:val="000821B6"/>
    <w:rsid w:val="000829FC"/>
    <w:rsid w:val="00082FE8"/>
    <w:rsid w:val="00083679"/>
    <w:rsid w:val="00083B7C"/>
    <w:rsid w:val="00084897"/>
    <w:rsid w:val="00085BFC"/>
    <w:rsid w:val="00086114"/>
    <w:rsid w:val="00086185"/>
    <w:rsid w:val="00086F36"/>
    <w:rsid w:val="000900FF"/>
    <w:rsid w:val="00090490"/>
    <w:rsid w:val="000919A8"/>
    <w:rsid w:val="000937F0"/>
    <w:rsid w:val="00093ABE"/>
    <w:rsid w:val="00095E66"/>
    <w:rsid w:val="000A0E7B"/>
    <w:rsid w:val="000A24A9"/>
    <w:rsid w:val="000A41E1"/>
    <w:rsid w:val="000A5253"/>
    <w:rsid w:val="000A5850"/>
    <w:rsid w:val="000A7509"/>
    <w:rsid w:val="000A7D58"/>
    <w:rsid w:val="000B0BE6"/>
    <w:rsid w:val="000B3BD5"/>
    <w:rsid w:val="000B3FC5"/>
    <w:rsid w:val="000B422F"/>
    <w:rsid w:val="000B428F"/>
    <w:rsid w:val="000B540E"/>
    <w:rsid w:val="000B5E76"/>
    <w:rsid w:val="000B5EE8"/>
    <w:rsid w:val="000B6543"/>
    <w:rsid w:val="000C07C5"/>
    <w:rsid w:val="000C0FEC"/>
    <w:rsid w:val="000C2256"/>
    <w:rsid w:val="000C3042"/>
    <w:rsid w:val="000C3238"/>
    <w:rsid w:val="000C3262"/>
    <w:rsid w:val="000C35FA"/>
    <w:rsid w:val="000C437B"/>
    <w:rsid w:val="000C495A"/>
    <w:rsid w:val="000C6192"/>
    <w:rsid w:val="000C646D"/>
    <w:rsid w:val="000C67FE"/>
    <w:rsid w:val="000C7C29"/>
    <w:rsid w:val="000D05F3"/>
    <w:rsid w:val="000D25A7"/>
    <w:rsid w:val="000D3192"/>
    <w:rsid w:val="000D3211"/>
    <w:rsid w:val="000D33DB"/>
    <w:rsid w:val="000D5315"/>
    <w:rsid w:val="000D661E"/>
    <w:rsid w:val="000E2457"/>
    <w:rsid w:val="000E2A41"/>
    <w:rsid w:val="000E2D6E"/>
    <w:rsid w:val="000E3913"/>
    <w:rsid w:val="000E3E58"/>
    <w:rsid w:val="000E4012"/>
    <w:rsid w:val="000E4928"/>
    <w:rsid w:val="000E4CDA"/>
    <w:rsid w:val="000E68A5"/>
    <w:rsid w:val="000F0463"/>
    <w:rsid w:val="000F060C"/>
    <w:rsid w:val="000F0EA8"/>
    <w:rsid w:val="000F15A4"/>
    <w:rsid w:val="000F176F"/>
    <w:rsid w:val="000F20CC"/>
    <w:rsid w:val="000F479B"/>
    <w:rsid w:val="000F4CE8"/>
    <w:rsid w:val="000F5919"/>
    <w:rsid w:val="000F7B5F"/>
    <w:rsid w:val="00100083"/>
    <w:rsid w:val="00100BF9"/>
    <w:rsid w:val="0010121D"/>
    <w:rsid w:val="00102D48"/>
    <w:rsid w:val="00103201"/>
    <w:rsid w:val="00103346"/>
    <w:rsid w:val="00105130"/>
    <w:rsid w:val="001076D8"/>
    <w:rsid w:val="00107E5A"/>
    <w:rsid w:val="00110A24"/>
    <w:rsid w:val="0011145D"/>
    <w:rsid w:val="001125FA"/>
    <w:rsid w:val="001133A5"/>
    <w:rsid w:val="00114C2A"/>
    <w:rsid w:val="0011571B"/>
    <w:rsid w:val="00115BCC"/>
    <w:rsid w:val="00115C64"/>
    <w:rsid w:val="0011649C"/>
    <w:rsid w:val="001170BE"/>
    <w:rsid w:val="001174AF"/>
    <w:rsid w:val="00121BDE"/>
    <w:rsid w:val="00121C2B"/>
    <w:rsid w:val="0012383B"/>
    <w:rsid w:val="00123D0D"/>
    <w:rsid w:val="0012415F"/>
    <w:rsid w:val="00124CBE"/>
    <w:rsid w:val="001254EB"/>
    <w:rsid w:val="00126F57"/>
    <w:rsid w:val="00131B41"/>
    <w:rsid w:val="00131FAF"/>
    <w:rsid w:val="0013277C"/>
    <w:rsid w:val="0013385D"/>
    <w:rsid w:val="00134865"/>
    <w:rsid w:val="001354EB"/>
    <w:rsid w:val="00135AFD"/>
    <w:rsid w:val="00135DA7"/>
    <w:rsid w:val="0013723E"/>
    <w:rsid w:val="00137DBC"/>
    <w:rsid w:val="00141130"/>
    <w:rsid w:val="00141216"/>
    <w:rsid w:val="00141639"/>
    <w:rsid w:val="00141854"/>
    <w:rsid w:val="00142D2C"/>
    <w:rsid w:val="0014303A"/>
    <w:rsid w:val="00143331"/>
    <w:rsid w:val="001437C1"/>
    <w:rsid w:val="00144D93"/>
    <w:rsid w:val="001460B7"/>
    <w:rsid w:val="00146767"/>
    <w:rsid w:val="00146EAA"/>
    <w:rsid w:val="00147EA6"/>
    <w:rsid w:val="0015104E"/>
    <w:rsid w:val="00151A2E"/>
    <w:rsid w:val="00152D2F"/>
    <w:rsid w:val="00152DFB"/>
    <w:rsid w:val="0015453A"/>
    <w:rsid w:val="00156141"/>
    <w:rsid w:val="00156709"/>
    <w:rsid w:val="0015680F"/>
    <w:rsid w:val="00156DFB"/>
    <w:rsid w:val="001616B1"/>
    <w:rsid w:val="001618CD"/>
    <w:rsid w:val="00161B7C"/>
    <w:rsid w:val="0016217E"/>
    <w:rsid w:val="001621B1"/>
    <w:rsid w:val="00162E03"/>
    <w:rsid w:val="00163112"/>
    <w:rsid w:val="00164EEA"/>
    <w:rsid w:val="00165481"/>
    <w:rsid w:val="00165923"/>
    <w:rsid w:val="001660ED"/>
    <w:rsid w:val="0017088C"/>
    <w:rsid w:val="00170C32"/>
    <w:rsid w:val="00171B0E"/>
    <w:rsid w:val="001725EC"/>
    <w:rsid w:val="001740F1"/>
    <w:rsid w:val="00174385"/>
    <w:rsid w:val="001745A4"/>
    <w:rsid w:val="00175224"/>
    <w:rsid w:val="00176076"/>
    <w:rsid w:val="001764EB"/>
    <w:rsid w:val="00180AC6"/>
    <w:rsid w:val="00181628"/>
    <w:rsid w:val="0018229E"/>
    <w:rsid w:val="00182BB5"/>
    <w:rsid w:val="00182EF7"/>
    <w:rsid w:val="0018434D"/>
    <w:rsid w:val="001850F7"/>
    <w:rsid w:val="00185ABB"/>
    <w:rsid w:val="00187902"/>
    <w:rsid w:val="00190011"/>
    <w:rsid w:val="0019073F"/>
    <w:rsid w:val="0019121D"/>
    <w:rsid w:val="001944BF"/>
    <w:rsid w:val="00194A8A"/>
    <w:rsid w:val="00194BF2"/>
    <w:rsid w:val="001954E8"/>
    <w:rsid w:val="00196DE3"/>
    <w:rsid w:val="00196F57"/>
    <w:rsid w:val="001A1255"/>
    <w:rsid w:val="001A49B9"/>
    <w:rsid w:val="001A4C34"/>
    <w:rsid w:val="001A7CEC"/>
    <w:rsid w:val="001B09CE"/>
    <w:rsid w:val="001B0D42"/>
    <w:rsid w:val="001B14D5"/>
    <w:rsid w:val="001B47C4"/>
    <w:rsid w:val="001B51E2"/>
    <w:rsid w:val="001B52DE"/>
    <w:rsid w:val="001B5D27"/>
    <w:rsid w:val="001B6EB2"/>
    <w:rsid w:val="001C1144"/>
    <w:rsid w:val="001C13C2"/>
    <w:rsid w:val="001C195E"/>
    <w:rsid w:val="001C1C34"/>
    <w:rsid w:val="001C26C5"/>
    <w:rsid w:val="001C286E"/>
    <w:rsid w:val="001C55A9"/>
    <w:rsid w:val="001C6009"/>
    <w:rsid w:val="001C7136"/>
    <w:rsid w:val="001C7416"/>
    <w:rsid w:val="001C7532"/>
    <w:rsid w:val="001C7C9B"/>
    <w:rsid w:val="001C7D15"/>
    <w:rsid w:val="001D00DF"/>
    <w:rsid w:val="001D29B4"/>
    <w:rsid w:val="001D426E"/>
    <w:rsid w:val="001D4364"/>
    <w:rsid w:val="001D5ECE"/>
    <w:rsid w:val="001D6460"/>
    <w:rsid w:val="001D6B51"/>
    <w:rsid w:val="001D6F11"/>
    <w:rsid w:val="001D7010"/>
    <w:rsid w:val="001D779D"/>
    <w:rsid w:val="001E03C4"/>
    <w:rsid w:val="001E04FC"/>
    <w:rsid w:val="001E0EAD"/>
    <w:rsid w:val="001E11F4"/>
    <w:rsid w:val="001E15A7"/>
    <w:rsid w:val="001E18AD"/>
    <w:rsid w:val="001E1918"/>
    <w:rsid w:val="001E1EB1"/>
    <w:rsid w:val="001E27A2"/>
    <w:rsid w:val="001E28BD"/>
    <w:rsid w:val="001E2D63"/>
    <w:rsid w:val="001E4908"/>
    <w:rsid w:val="001E5182"/>
    <w:rsid w:val="001E71E9"/>
    <w:rsid w:val="001E7C6A"/>
    <w:rsid w:val="001F04E6"/>
    <w:rsid w:val="001F204E"/>
    <w:rsid w:val="001F4152"/>
    <w:rsid w:val="001F4252"/>
    <w:rsid w:val="001F4F2A"/>
    <w:rsid w:val="001F67CA"/>
    <w:rsid w:val="00200E48"/>
    <w:rsid w:val="002017AA"/>
    <w:rsid w:val="0020190A"/>
    <w:rsid w:val="00202C73"/>
    <w:rsid w:val="0020350D"/>
    <w:rsid w:val="00203A9F"/>
    <w:rsid w:val="00203B7D"/>
    <w:rsid w:val="00204D6E"/>
    <w:rsid w:val="002050B0"/>
    <w:rsid w:val="0020539E"/>
    <w:rsid w:val="002057BE"/>
    <w:rsid w:val="00205B6B"/>
    <w:rsid w:val="002060DB"/>
    <w:rsid w:val="002066BC"/>
    <w:rsid w:val="00206F55"/>
    <w:rsid w:val="00206F8D"/>
    <w:rsid w:val="0020774E"/>
    <w:rsid w:val="0020793C"/>
    <w:rsid w:val="0021248D"/>
    <w:rsid w:val="002148E3"/>
    <w:rsid w:val="00214E38"/>
    <w:rsid w:val="002153EC"/>
    <w:rsid w:val="00220E63"/>
    <w:rsid w:val="002213BF"/>
    <w:rsid w:val="00221A02"/>
    <w:rsid w:val="0022279B"/>
    <w:rsid w:val="002227C1"/>
    <w:rsid w:val="00222BF4"/>
    <w:rsid w:val="00223A86"/>
    <w:rsid w:val="002241BD"/>
    <w:rsid w:val="0022473A"/>
    <w:rsid w:val="0022520C"/>
    <w:rsid w:val="002259A5"/>
    <w:rsid w:val="00225AAB"/>
    <w:rsid w:val="00226124"/>
    <w:rsid w:val="00226E06"/>
    <w:rsid w:val="00227188"/>
    <w:rsid w:val="002279C7"/>
    <w:rsid w:val="00227C7B"/>
    <w:rsid w:val="00227DE9"/>
    <w:rsid w:val="00230238"/>
    <w:rsid w:val="002317DE"/>
    <w:rsid w:val="00231BD9"/>
    <w:rsid w:val="00231F4F"/>
    <w:rsid w:val="00232F4E"/>
    <w:rsid w:val="002349E9"/>
    <w:rsid w:val="00234B7A"/>
    <w:rsid w:val="00235122"/>
    <w:rsid w:val="00235234"/>
    <w:rsid w:val="00235F0D"/>
    <w:rsid w:val="00236D69"/>
    <w:rsid w:val="002375D1"/>
    <w:rsid w:val="00240261"/>
    <w:rsid w:val="00240500"/>
    <w:rsid w:val="002426F3"/>
    <w:rsid w:val="00242D84"/>
    <w:rsid w:val="00243E84"/>
    <w:rsid w:val="00244A1F"/>
    <w:rsid w:val="00246112"/>
    <w:rsid w:val="00246FD7"/>
    <w:rsid w:val="00247380"/>
    <w:rsid w:val="0025066C"/>
    <w:rsid w:val="00251BA7"/>
    <w:rsid w:val="0025313A"/>
    <w:rsid w:val="00253B13"/>
    <w:rsid w:val="00253CDF"/>
    <w:rsid w:val="00253CFA"/>
    <w:rsid w:val="00254814"/>
    <w:rsid w:val="00254A31"/>
    <w:rsid w:val="0025555D"/>
    <w:rsid w:val="0025678E"/>
    <w:rsid w:val="00256DFC"/>
    <w:rsid w:val="00257002"/>
    <w:rsid w:val="00257C28"/>
    <w:rsid w:val="00260084"/>
    <w:rsid w:val="0026244E"/>
    <w:rsid w:val="00262898"/>
    <w:rsid w:val="00263438"/>
    <w:rsid w:val="0026636E"/>
    <w:rsid w:val="0026688A"/>
    <w:rsid w:val="00267D80"/>
    <w:rsid w:val="002735AD"/>
    <w:rsid w:val="002737C1"/>
    <w:rsid w:val="00273C2B"/>
    <w:rsid w:val="002740CE"/>
    <w:rsid w:val="00274B25"/>
    <w:rsid w:val="00274CA1"/>
    <w:rsid w:val="00275B53"/>
    <w:rsid w:val="00280C60"/>
    <w:rsid w:val="00281571"/>
    <w:rsid w:val="00283955"/>
    <w:rsid w:val="0028419A"/>
    <w:rsid w:val="002854C8"/>
    <w:rsid w:val="00286718"/>
    <w:rsid w:val="0029166C"/>
    <w:rsid w:val="00291C32"/>
    <w:rsid w:val="00293D08"/>
    <w:rsid w:val="00294F15"/>
    <w:rsid w:val="0029514C"/>
    <w:rsid w:val="002954AA"/>
    <w:rsid w:val="00295840"/>
    <w:rsid w:val="002958F1"/>
    <w:rsid w:val="00295C7D"/>
    <w:rsid w:val="002961BF"/>
    <w:rsid w:val="0029626E"/>
    <w:rsid w:val="002964E1"/>
    <w:rsid w:val="002970CE"/>
    <w:rsid w:val="00297845"/>
    <w:rsid w:val="002978BF"/>
    <w:rsid w:val="00297AD3"/>
    <w:rsid w:val="00297CBF"/>
    <w:rsid w:val="00297FA0"/>
    <w:rsid w:val="002A013A"/>
    <w:rsid w:val="002A0697"/>
    <w:rsid w:val="002A1653"/>
    <w:rsid w:val="002A205C"/>
    <w:rsid w:val="002A3C0B"/>
    <w:rsid w:val="002A45FC"/>
    <w:rsid w:val="002A4659"/>
    <w:rsid w:val="002A6D18"/>
    <w:rsid w:val="002A7D14"/>
    <w:rsid w:val="002B0245"/>
    <w:rsid w:val="002B3BB2"/>
    <w:rsid w:val="002B3EDB"/>
    <w:rsid w:val="002B3F1C"/>
    <w:rsid w:val="002B4574"/>
    <w:rsid w:val="002B4FA5"/>
    <w:rsid w:val="002B5756"/>
    <w:rsid w:val="002B74B1"/>
    <w:rsid w:val="002C22E4"/>
    <w:rsid w:val="002C3995"/>
    <w:rsid w:val="002C3AC2"/>
    <w:rsid w:val="002C58BD"/>
    <w:rsid w:val="002C7659"/>
    <w:rsid w:val="002D0B4E"/>
    <w:rsid w:val="002D0B51"/>
    <w:rsid w:val="002D0EFD"/>
    <w:rsid w:val="002D3200"/>
    <w:rsid w:val="002D494B"/>
    <w:rsid w:val="002D4BFA"/>
    <w:rsid w:val="002D5042"/>
    <w:rsid w:val="002D54D6"/>
    <w:rsid w:val="002D6AF6"/>
    <w:rsid w:val="002D7218"/>
    <w:rsid w:val="002D72D6"/>
    <w:rsid w:val="002E0791"/>
    <w:rsid w:val="002E07A6"/>
    <w:rsid w:val="002E07B6"/>
    <w:rsid w:val="002E126C"/>
    <w:rsid w:val="002E1318"/>
    <w:rsid w:val="002E1F1A"/>
    <w:rsid w:val="002E33F2"/>
    <w:rsid w:val="002E3F6E"/>
    <w:rsid w:val="002E5171"/>
    <w:rsid w:val="002E568C"/>
    <w:rsid w:val="002E69C3"/>
    <w:rsid w:val="002F0660"/>
    <w:rsid w:val="002F0B9E"/>
    <w:rsid w:val="002F2870"/>
    <w:rsid w:val="002F2E9C"/>
    <w:rsid w:val="002F3CCB"/>
    <w:rsid w:val="002F3D8B"/>
    <w:rsid w:val="002F54C0"/>
    <w:rsid w:val="002F56BC"/>
    <w:rsid w:val="002F6287"/>
    <w:rsid w:val="002F6417"/>
    <w:rsid w:val="002F6C1C"/>
    <w:rsid w:val="002F7BC9"/>
    <w:rsid w:val="00300A71"/>
    <w:rsid w:val="0030169C"/>
    <w:rsid w:val="00301E67"/>
    <w:rsid w:val="00302386"/>
    <w:rsid w:val="00302867"/>
    <w:rsid w:val="00303128"/>
    <w:rsid w:val="00304495"/>
    <w:rsid w:val="00304982"/>
    <w:rsid w:val="00304AF5"/>
    <w:rsid w:val="00305B7E"/>
    <w:rsid w:val="00307109"/>
    <w:rsid w:val="00310B25"/>
    <w:rsid w:val="00310E9E"/>
    <w:rsid w:val="00311ACE"/>
    <w:rsid w:val="00311B0C"/>
    <w:rsid w:val="00312205"/>
    <w:rsid w:val="00313374"/>
    <w:rsid w:val="00315626"/>
    <w:rsid w:val="00316419"/>
    <w:rsid w:val="00316B58"/>
    <w:rsid w:val="003177AA"/>
    <w:rsid w:val="0032324C"/>
    <w:rsid w:val="00323F98"/>
    <w:rsid w:val="00323FA8"/>
    <w:rsid w:val="003248BB"/>
    <w:rsid w:val="00325038"/>
    <w:rsid w:val="00325330"/>
    <w:rsid w:val="0032562E"/>
    <w:rsid w:val="00330E3A"/>
    <w:rsid w:val="003312B9"/>
    <w:rsid w:val="00332AC5"/>
    <w:rsid w:val="00333038"/>
    <w:rsid w:val="003332A0"/>
    <w:rsid w:val="0033529C"/>
    <w:rsid w:val="00335CD9"/>
    <w:rsid w:val="00336F0D"/>
    <w:rsid w:val="00337164"/>
    <w:rsid w:val="00337207"/>
    <w:rsid w:val="00337C91"/>
    <w:rsid w:val="0034024B"/>
    <w:rsid w:val="003409EA"/>
    <w:rsid w:val="00340D8D"/>
    <w:rsid w:val="00341062"/>
    <w:rsid w:val="00341A20"/>
    <w:rsid w:val="0034243E"/>
    <w:rsid w:val="0034422F"/>
    <w:rsid w:val="00346BCD"/>
    <w:rsid w:val="00346FDE"/>
    <w:rsid w:val="0034743B"/>
    <w:rsid w:val="00350480"/>
    <w:rsid w:val="00350E21"/>
    <w:rsid w:val="003518D1"/>
    <w:rsid w:val="00351E42"/>
    <w:rsid w:val="00351F1C"/>
    <w:rsid w:val="00352931"/>
    <w:rsid w:val="00352DD6"/>
    <w:rsid w:val="00353C84"/>
    <w:rsid w:val="00354467"/>
    <w:rsid w:val="003545AF"/>
    <w:rsid w:val="00354699"/>
    <w:rsid w:val="00354BC3"/>
    <w:rsid w:val="00354D17"/>
    <w:rsid w:val="0035544E"/>
    <w:rsid w:val="00356B25"/>
    <w:rsid w:val="00357841"/>
    <w:rsid w:val="003578B0"/>
    <w:rsid w:val="003605FB"/>
    <w:rsid w:val="00360A0D"/>
    <w:rsid w:val="0036391A"/>
    <w:rsid w:val="00364751"/>
    <w:rsid w:val="00365164"/>
    <w:rsid w:val="00365D60"/>
    <w:rsid w:val="0036618F"/>
    <w:rsid w:val="003676B2"/>
    <w:rsid w:val="00367C38"/>
    <w:rsid w:val="00367D76"/>
    <w:rsid w:val="0037033E"/>
    <w:rsid w:val="00371E1C"/>
    <w:rsid w:val="00372E94"/>
    <w:rsid w:val="003738AE"/>
    <w:rsid w:val="003750A8"/>
    <w:rsid w:val="00375850"/>
    <w:rsid w:val="00375941"/>
    <w:rsid w:val="0037595B"/>
    <w:rsid w:val="003765C5"/>
    <w:rsid w:val="00380DA3"/>
    <w:rsid w:val="00381761"/>
    <w:rsid w:val="00381D14"/>
    <w:rsid w:val="0038252E"/>
    <w:rsid w:val="0038258B"/>
    <w:rsid w:val="0038293E"/>
    <w:rsid w:val="003830F1"/>
    <w:rsid w:val="00383815"/>
    <w:rsid w:val="00383B0F"/>
    <w:rsid w:val="003841E8"/>
    <w:rsid w:val="00385DF9"/>
    <w:rsid w:val="00385F61"/>
    <w:rsid w:val="00386317"/>
    <w:rsid w:val="0039073C"/>
    <w:rsid w:val="003907FC"/>
    <w:rsid w:val="00390E12"/>
    <w:rsid w:val="003913BF"/>
    <w:rsid w:val="0039146B"/>
    <w:rsid w:val="00393140"/>
    <w:rsid w:val="003949C2"/>
    <w:rsid w:val="00394A3B"/>
    <w:rsid w:val="00394B05"/>
    <w:rsid w:val="003951B6"/>
    <w:rsid w:val="00396642"/>
    <w:rsid w:val="003978D9"/>
    <w:rsid w:val="00397ECD"/>
    <w:rsid w:val="003A1965"/>
    <w:rsid w:val="003A1ED2"/>
    <w:rsid w:val="003A34B7"/>
    <w:rsid w:val="003A4C4C"/>
    <w:rsid w:val="003A4DC0"/>
    <w:rsid w:val="003A6889"/>
    <w:rsid w:val="003A7118"/>
    <w:rsid w:val="003A714B"/>
    <w:rsid w:val="003A7EFE"/>
    <w:rsid w:val="003B048A"/>
    <w:rsid w:val="003B22BD"/>
    <w:rsid w:val="003B3AAA"/>
    <w:rsid w:val="003B3B29"/>
    <w:rsid w:val="003B43D9"/>
    <w:rsid w:val="003B48A5"/>
    <w:rsid w:val="003B60C0"/>
    <w:rsid w:val="003B7245"/>
    <w:rsid w:val="003B72D9"/>
    <w:rsid w:val="003B7888"/>
    <w:rsid w:val="003C06F5"/>
    <w:rsid w:val="003C0C57"/>
    <w:rsid w:val="003C1B4C"/>
    <w:rsid w:val="003C231D"/>
    <w:rsid w:val="003C2B5A"/>
    <w:rsid w:val="003C3153"/>
    <w:rsid w:val="003C443C"/>
    <w:rsid w:val="003C473C"/>
    <w:rsid w:val="003C4FA8"/>
    <w:rsid w:val="003C5125"/>
    <w:rsid w:val="003C5920"/>
    <w:rsid w:val="003C5C2A"/>
    <w:rsid w:val="003C6556"/>
    <w:rsid w:val="003C6E1A"/>
    <w:rsid w:val="003C71FA"/>
    <w:rsid w:val="003D0EEF"/>
    <w:rsid w:val="003D11A5"/>
    <w:rsid w:val="003D2B79"/>
    <w:rsid w:val="003D31CB"/>
    <w:rsid w:val="003D362D"/>
    <w:rsid w:val="003D38D7"/>
    <w:rsid w:val="003D3E9B"/>
    <w:rsid w:val="003D4928"/>
    <w:rsid w:val="003D5620"/>
    <w:rsid w:val="003D58CD"/>
    <w:rsid w:val="003D5D9A"/>
    <w:rsid w:val="003D5DC3"/>
    <w:rsid w:val="003D5DF5"/>
    <w:rsid w:val="003D760E"/>
    <w:rsid w:val="003D7DE3"/>
    <w:rsid w:val="003E1F35"/>
    <w:rsid w:val="003E4A1D"/>
    <w:rsid w:val="003E50DB"/>
    <w:rsid w:val="003E531B"/>
    <w:rsid w:val="003E57E4"/>
    <w:rsid w:val="003F0656"/>
    <w:rsid w:val="003F0815"/>
    <w:rsid w:val="003F0F68"/>
    <w:rsid w:val="003F141E"/>
    <w:rsid w:val="003F14AF"/>
    <w:rsid w:val="003F314E"/>
    <w:rsid w:val="003F3B46"/>
    <w:rsid w:val="003F5472"/>
    <w:rsid w:val="003F6E95"/>
    <w:rsid w:val="003F7CC8"/>
    <w:rsid w:val="004010CF"/>
    <w:rsid w:val="00401D3A"/>
    <w:rsid w:val="00402F60"/>
    <w:rsid w:val="004044DF"/>
    <w:rsid w:val="0040623B"/>
    <w:rsid w:val="00406778"/>
    <w:rsid w:val="0040692D"/>
    <w:rsid w:val="00407AA8"/>
    <w:rsid w:val="00407E9C"/>
    <w:rsid w:val="00410766"/>
    <w:rsid w:val="00410DDD"/>
    <w:rsid w:val="00412453"/>
    <w:rsid w:val="004132BC"/>
    <w:rsid w:val="004137D8"/>
    <w:rsid w:val="00414D32"/>
    <w:rsid w:val="00414DCF"/>
    <w:rsid w:val="00415D69"/>
    <w:rsid w:val="00415E50"/>
    <w:rsid w:val="00415F92"/>
    <w:rsid w:val="0041604C"/>
    <w:rsid w:val="00416ABB"/>
    <w:rsid w:val="00420109"/>
    <w:rsid w:val="00420D0B"/>
    <w:rsid w:val="00421AD8"/>
    <w:rsid w:val="0042280D"/>
    <w:rsid w:val="00422C2A"/>
    <w:rsid w:val="00422FB9"/>
    <w:rsid w:val="00423A93"/>
    <w:rsid w:val="004248F8"/>
    <w:rsid w:val="00425B73"/>
    <w:rsid w:val="004262E4"/>
    <w:rsid w:val="004276A5"/>
    <w:rsid w:val="00434545"/>
    <w:rsid w:val="00434CF8"/>
    <w:rsid w:val="004358EC"/>
    <w:rsid w:val="00435C5D"/>
    <w:rsid w:val="00437A45"/>
    <w:rsid w:val="00437AB6"/>
    <w:rsid w:val="004400C5"/>
    <w:rsid w:val="004426A6"/>
    <w:rsid w:val="00442971"/>
    <w:rsid w:val="0044326E"/>
    <w:rsid w:val="004436B9"/>
    <w:rsid w:val="00443810"/>
    <w:rsid w:val="00444489"/>
    <w:rsid w:val="004463E0"/>
    <w:rsid w:val="00447170"/>
    <w:rsid w:val="004531EB"/>
    <w:rsid w:val="00454DF8"/>
    <w:rsid w:val="0045594B"/>
    <w:rsid w:val="0045640C"/>
    <w:rsid w:val="0045688C"/>
    <w:rsid w:val="0045764D"/>
    <w:rsid w:val="0045775E"/>
    <w:rsid w:val="00457937"/>
    <w:rsid w:val="00457CCE"/>
    <w:rsid w:val="0046018E"/>
    <w:rsid w:val="00461854"/>
    <w:rsid w:val="00462F4B"/>
    <w:rsid w:val="00464E15"/>
    <w:rsid w:val="0046508D"/>
    <w:rsid w:val="00466673"/>
    <w:rsid w:val="00466E21"/>
    <w:rsid w:val="004670F6"/>
    <w:rsid w:val="004707DF"/>
    <w:rsid w:val="00470F5F"/>
    <w:rsid w:val="00471A6B"/>
    <w:rsid w:val="00471C62"/>
    <w:rsid w:val="0047252B"/>
    <w:rsid w:val="00473146"/>
    <w:rsid w:val="00473855"/>
    <w:rsid w:val="00474192"/>
    <w:rsid w:val="0047459F"/>
    <w:rsid w:val="00474863"/>
    <w:rsid w:val="00476B29"/>
    <w:rsid w:val="004774A8"/>
    <w:rsid w:val="004802AE"/>
    <w:rsid w:val="0048040F"/>
    <w:rsid w:val="004807F1"/>
    <w:rsid w:val="00481AE7"/>
    <w:rsid w:val="00482635"/>
    <w:rsid w:val="00482785"/>
    <w:rsid w:val="004827D0"/>
    <w:rsid w:val="00483406"/>
    <w:rsid w:val="00483420"/>
    <w:rsid w:val="00483533"/>
    <w:rsid w:val="00483CDD"/>
    <w:rsid w:val="004843D3"/>
    <w:rsid w:val="00484AD7"/>
    <w:rsid w:val="00484FA6"/>
    <w:rsid w:val="00485C73"/>
    <w:rsid w:val="00485C90"/>
    <w:rsid w:val="0048705D"/>
    <w:rsid w:val="00490D14"/>
    <w:rsid w:val="00491557"/>
    <w:rsid w:val="004917FD"/>
    <w:rsid w:val="004921A1"/>
    <w:rsid w:val="00492276"/>
    <w:rsid w:val="00494004"/>
    <w:rsid w:val="00494BCF"/>
    <w:rsid w:val="00494F1F"/>
    <w:rsid w:val="004952AD"/>
    <w:rsid w:val="0049545E"/>
    <w:rsid w:val="004A0635"/>
    <w:rsid w:val="004A0BAD"/>
    <w:rsid w:val="004A1051"/>
    <w:rsid w:val="004A1E58"/>
    <w:rsid w:val="004A2D48"/>
    <w:rsid w:val="004A307F"/>
    <w:rsid w:val="004A30E0"/>
    <w:rsid w:val="004A451C"/>
    <w:rsid w:val="004A47CB"/>
    <w:rsid w:val="004A4D59"/>
    <w:rsid w:val="004A5577"/>
    <w:rsid w:val="004A6674"/>
    <w:rsid w:val="004A7544"/>
    <w:rsid w:val="004A7A40"/>
    <w:rsid w:val="004B0317"/>
    <w:rsid w:val="004B2C3D"/>
    <w:rsid w:val="004B4F31"/>
    <w:rsid w:val="004B7443"/>
    <w:rsid w:val="004B785F"/>
    <w:rsid w:val="004C0D29"/>
    <w:rsid w:val="004C0F8C"/>
    <w:rsid w:val="004C181D"/>
    <w:rsid w:val="004C1DB4"/>
    <w:rsid w:val="004C2041"/>
    <w:rsid w:val="004C2CC6"/>
    <w:rsid w:val="004C3652"/>
    <w:rsid w:val="004C3C97"/>
    <w:rsid w:val="004C45EA"/>
    <w:rsid w:val="004C471B"/>
    <w:rsid w:val="004C5B56"/>
    <w:rsid w:val="004C5F1C"/>
    <w:rsid w:val="004C746C"/>
    <w:rsid w:val="004D0269"/>
    <w:rsid w:val="004D0A49"/>
    <w:rsid w:val="004D12F5"/>
    <w:rsid w:val="004D170E"/>
    <w:rsid w:val="004D2485"/>
    <w:rsid w:val="004D3340"/>
    <w:rsid w:val="004D34A3"/>
    <w:rsid w:val="004D3754"/>
    <w:rsid w:val="004D6994"/>
    <w:rsid w:val="004D6B8E"/>
    <w:rsid w:val="004D73B0"/>
    <w:rsid w:val="004D74D9"/>
    <w:rsid w:val="004D7911"/>
    <w:rsid w:val="004E088F"/>
    <w:rsid w:val="004E0B41"/>
    <w:rsid w:val="004E0D20"/>
    <w:rsid w:val="004E1FE2"/>
    <w:rsid w:val="004E42ED"/>
    <w:rsid w:val="004E4A46"/>
    <w:rsid w:val="004E59B1"/>
    <w:rsid w:val="004E5B3D"/>
    <w:rsid w:val="004E7690"/>
    <w:rsid w:val="004E7BEB"/>
    <w:rsid w:val="004F094A"/>
    <w:rsid w:val="004F1363"/>
    <w:rsid w:val="004F1648"/>
    <w:rsid w:val="004F261D"/>
    <w:rsid w:val="004F2B9C"/>
    <w:rsid w:val="004F38FF"/>
    <w:rsid w:val="004F3A79"/>
    <w:rsid w:val="004F3C5B"/>
    <w:rsid w:val="004F3E30"/>
    <w:rsid w:val="004F41A7"/>
    <w:rsid w:val="004F4C14"/>
    <w:rsid w:val="004F4DB5"/>
    <w:rsid w:val="004F51A9"/>
    <w:rsid w:val="004F5461"/>
    <w:rsid w:val="004F6DC0"/>
    <w:rsid w:val="004F7209"/>
    <w:rsid w:val="004F7D7E"/>
    <w:rsid w:val="005010D3"/>
    <w:rsid w:val="00501FAB"/>
    <w:rsid w:val="00503F40"/>
    <w:rsid w:val="005043F9"/>
    <w:rsid w:val="00504583"/>
    <w:rsid w:val="00505348"/>
    <w:rsid w:val="005054A6"/>
    <w:rsid w:val="0050711E"/>
    <w:rsid w:val="00507E23"/>
    <w:rsid w:val="00510974"/>
    <w:rsid w:val="0051114B"/>
    <w:rsid w:val="00512485"/>
    <w:rsid w:val="00512A09"/>
    <w:rsid w:val="00513043"/>
    <w:rsid w:val="005137DD"/>
    <w:rsid w:val="005148B1"/>
    <w:rsid w:val="00515E6C"/>
    <w:rsid w:val="005172DC"/>
    <w:rsid w:val="00517426"/>
    <w:rsid w:val="00517DDB"/>
    <w:rsid w:val="00517E1A"/>
    <w:rsid w:val="00520BBE"/>
    <w:rsid w:val="00520FED"/>
    <w:rsid w:val="00521ED7"/>
    <w:rsid w:val="00522388"/>
    <w:rsid w:val="00522CB5"/>
    <w:rsid w:val="00522F48"/>
    <w:rsid w:val="00523698"/>
    <w:rsid w:val="00524CBD"/>
    <w:rsid w:val="00525666"/>
    <w:rsid w:val="005274D1"/>
    <w:rsid w:val="00530587"/>
    <w:rsid w:val="00531983"/>
    <w:rsid w:val="005335FB"/>
    <w:rsid w:val="005339BA"/>
    <w:rsid w:val="00533F08"/>
    <w:rsid w:val="00534F59"/>
    <w:rsid w:val="00535252"/>
    <w:rsid w:val="005357E0"/>
    <w:rsid w:val="00536A71"/>
    <w:rsid w:val="00536C30"/>
    <w:rsid w:val="00537E49"/>
    <w:rsid w:val="0054003A"/>
    <w:rsid w:val="005405AD"/>
    <w:rsid w:val="00540FCD"/>
    <w:rsid w:val="005413D8"/>
    <w:rsid w:val="005417A8"/>
    <w:rsid w:val="00543216"/>
    <w:rsid w:val="005432C4"/>
    <w:rsid w:val="00544018"/>
    <w:rsid w:val="00544397"/>
    <w:rsid w:val="00544872"/>
    <w:rsid w:val="00544D67"/>
    <w:rsid w:val="005479D3"/>
    <w:rsid w:val="00551770"/>
    <w:rsid w:val="005519B6"/>
    <w:rsid w:val="005521C3"/>
    <w:rsid w:val="00552DA4"/>
    <w:rsid w:val="00553180"/>
    <w:rsid w:val="00553EB0"/>
    <w:rsid w:val="005556EA"/>
    <w:rsid w:val="0055572D"/>
    <w:rsid w:val="00556023"/>
    <w:rsid w:val="0055628A"/>
    <w:rsid w:val="00557DC2"/>
    <w:rsid w:val="005604F2"/>
    <w:rsid w:val="0056062D"/>
    <w:rsid w:val="005609BD"/>
    <w:rsid w:val="0056166E"/>
    <w:rsid w:val="00562835"/>
    <w:rsid w:val="00564099"/>
    <w:rsid w:val="00564156"/>
    <w:rsid w:val="005700B4"/>
    <w:rsid w:val="005713B8"/>
    <w:rsid w:val="00571B9F"/>
    <w:rsid w:val="00571E60"/>
    <w:rsid w:val="00572A14"/>
    <w:rsid w:val="00575362"/>
    <w:rsid w:val="0057586F"/>
    <w:rsid w:val="00575986"/>
    <w:rsid w:val="005759C8"/>
    <w:rsid w:val="00577731"/>
    <w:rsid w:val="00577ACC"/>
    <w:rsid w:val="00577EF2"/>
    <w:rsid w:val="00580CBC"/>
    <w:rsid w:val="00581033"/>
    <w:rsid w:val="0058105E"/>
    <w:rsid w:val="00581C15"/>
    <w:rsid w:val="00583728"/>
    <w:rsid w:val="00583B12"/>
    <w:rsid w:val="00583B5B"/>
    <w:rsid w:val="00584699"/>
    <w:rsid w:val="005846E6"/>
    <w:rsid w:val="00585ECC"/>
    <w:rsid w:val="00585FBA"/>
    <w:rsid w:val="005873FC"/>
    <w:rsid w:val="005919F6"/>
    <w:rsid w:val="00591E67"/>
    <w:rsid w:val="00593EC2"/>
    <w:rsid w:val="005947AD"/>
    <w:rsid w:val="00595D6C"/>
    <w:rsid w:val="00596A90"/>
    <w:rsid w:val="00596E95"/>
    <w:rsid w:val="005974F3"/>
    <w:rsid w:val="005A0341"/>
    <w:rsid w:val="005A2432"/>
    <w:rsid w:val="005A2AE4"/>
    <w:rsid w:val="005A2D47"/>
    <w:rsid w:val="005A3DB6"/>
    <w:rsid w:val="005A3F10"/>
    <w:rsid w:val="005A4086"/>
    <w:rsid w:val="005A4969"/>
    <w:rsid w:val="005A49B1"/>
    <w:rsid w:val="005A49BC"/>
    <w:rsid w:val="005A4DDC"/>
    <w:rsid w:val="005A5FCB"/>
    <w:rsid w:val="005A600F"/>
    <w:rsid w:val="005A6791"/>
    <w:rsid w:val="005A7A09"/>
    <w:rsid w:val="005A7D0E"/>
    <w:rsid w:val="005B108C"/>
    <w:rsid w:val="005B25E4"/>
    <w:rsid w:val="005B2F50"/>
    <w:rsid w:val="005B2FAF"/>
    <w:rsid w:val="005B3352"/>
    <w:rsid w:val="005B35E5"/>
    <w:rsid w:val="005B3C23"/>
    <w:rsid w:val="005B44C5"/>
    <w:rsid w:val="005B5547"/>
    <w:rsid w:val="005B57D8"/>
    <w:rsid w:val="005B5C98"/>
    <w:rsid w:val="005B6A0D"/>
    <w:rsid w:val="005B6D55"/>
    <w:rsid w:val="005B7431"/>
    <w:rsid w:val="005B7DC0"/>
    <w:rsid w:val="005B7F46"/>
    <w:rsid w:val="005C1244"/>
    <w:rsid w:val="005C146D"/>
    <w:rsid w:val="005C1EA8"/>
    <w:rsid w:val="005C3133"/>
    <w:rsid w:val="005C4581"/>
    <w:rsid w:val="005C4610"/>
    <w:rsid w:val="005C76B7"/>
    <w:rsid w:val="005D0465"/>
    <w:rsid w:val="005D2120"/>
    <w:rsid w:val="005D296D"/>
    <w:rsid w:val="005D3845"/>
    <w:rsid w:val="005D44FE"/>
    <w:rsid w:val="005D50BF"/>
    <w:rsid w:val="005D6925"/>
    <w:rsid w:val="005D6E90"/>
    <w:rsid w:val="005E1597"/>
    <w:rsid w:val="005E15BF"/>
    <w:rsid w:val="005E1F0A"/>
    <w:rsid w:val="005E252B"/>
    <w:rsid w:val="005E35FF"/>
    <w:rsid w:val="005E3906"/>
    <w:rsid w:val="005E3C6A"/>
    <w:rsid w:val="005E41F5"/>
    <w:rsid w:val="005E4D8F"/>
    <w:rsid w:val="005E6A3F"/>
    <w:rsid w:val="005E7720"/>
    <w:rsid w:val="005F0E9C"/>
    <w:rsid w:val="005F15AC"/>
    <w:rsid w:val="005F3DA1"/>
    <w:rsid w:val="005F630E"/>
    <w:rsid w:val="005F6E19"/>
    <w:rsid w:val="005F7044"/>
    <w:rsid w:val="005F7461"/>
    <w:rsid w:val="005F7653"/>
    <w:rsid w:val="005F7D6F"/>
    <w:rsid w:val="00600A2B"/>
    <w:rsid w:val="00600E08"/>
    <w:rsid w:val="00600EA3"/>
    <w:rsid w:val="0060145A"/>
    <w:rsid w:val="00601552"/>
    <w:rsid w:val="00601B86"/>
    <w:rsid w:val="00602C97"/>
    <w:rsid w:val="00602FF4"/>
    <w:rsid w:val="00603233"/>
    <w:rsid w:val="00603D76"/>
    <w:rsid w:val="006046AD"/>
    <w:rsid w:val="00604C86"/>
    <w:rsid w:val="00605D3D"/>
    <w:rsid w:val="00605E91"/>
    <w:rsid w:val="0060618F"/>
    <w:rsid w:val="00607C1D"/>
    <w:rsid w:val="00610179"/>
    <w:rsid w:val="0061079E"/>
    <w:rsid w:val="00610868"/>
    <w:rsid w:val="00610A86"/>
    <w:rsid w:val="00611FC2"/>
    <w:rsid w:val="006126AB"/>
    <w:rsid w:val="00612F7E"/>
    <w:rsid w:val="006138F9"/>
    <w:rsid w:val="00614D7E"/>
    <w:rsid w:val="00614EC2"/>
    <w:rsid w:val="00615526"/>
    <w:rsid w:val="00615B6F"/>
    <w:rsid w:val="00616A5B"/>
    <w:rsid w:val="006178CD"/>
    <w:rsid w:val="006179F2"/>
    <w:rsid w:val="00617F7C"/>
    <w:rsid w:val="00620E1F"/>
    <w:rsid w:val="006215D7"/>
    <w:rsid w:val="006219E8"/>
    <w:rsid w:val="006228CD"/>
    <w:rsid w:val="00623F39"/>
    <w:rsid w:val="006247E8"/>
    <w:rsid w:val="006259C4"/>
    <w:rsid w:val="006271E4"/>
    <w:rsid w:val="0063034A"/>
    <w:rsid w:val="00630412"/>
    <w:rsid w:val="006323A6"/>
    <w:rsid w:val="00632DB0"/>
    <w:rsid w:val="0063473D"/>
    <w:rsid w:val="00634EB1"/>
    <w:rsid w:val="00636BC6"/>
    <w:rsid w:val="0064058B"/>
    <w:rsid w:val="00642D2C"/>
    <w:rsid w:val="00644674"/>
    <w:rsid w:val="00644DB9"/>
    <w:rsid w:val="00644F1F"/>
    <w:rsid w:val="0064679E"/>
    <w:rsid w:val="00650D68"/>
    <w:rsid w:val="006532F7"/>
    <w:rsid w:val="006533C9"/>
    <w:rsid w:val="00653721"/>
    <w:rsid w:val="006550D6"/>
    <w:rsid w:val="00657E31"/>
    <w:rsid w:val="00660075"/>
    <w:rsid w:val="00660F1E"/>
    <w:rsid w:val="00661C1E"/>
    <w:rsid w:val="00661E40"/>
    <w:rsid w:val="00662650"/>
    <w:rsid w:val="006642CE"/>
    <w:rsid w:val="00665997"/>
    <w:rsid w:val="006665FA"/>
    <w:rsid w:val="00672958"/>
    <w:rsid w:val="00672C81"/>
    <w:rsid w:val="006742B8"/>
    <w:rsid w:val="00674B21"/>
    <w:rsid w:val="00674D4B"/>
    <w:rsid w:val="006765FD"/>
    <w:rsid w:val="0067688A"/>
    <w:rsid w:val="00676DA5"/>
    <w:rsid w:val="0067790E"/>
    <w:rsid w:val="00677D26"/>
    <w:rsid w:val="00680A32"/>
    <w:rsid w:val="006817FD"/>
    <w:rsid w:val="00681BC3"/>
    <w:rsid w:val="00682E7C"/>
    <w:rsid w:val="00682F9F"/>
    <w:rsid w:val="00683352"/>
    <w:rsid w:val="00684492"/>
    <w:rsid w:val="00684C9B"/>
    <w:rsid w:val="00684E1C"/>
    <w:rsid w:val="0068692A"/>
    <w:rsid w:val="00687CDC"/>
    <w:rsid w:val="00687F47"/>
    <w:rsid w:val="00687F7E"/>
    <w:rsid w:val="00690460"/>
    <w:rsid w:val="00690AFA"/>
    <w:rsid w:val="00690F90"/>
    <w:rsid w:val="00693B7B"/>
    <w:rsid w:val="00695BC9"/>
    <w:rsid w:val="00697202"/>
    <w:rsid w:val="006A131E"/>
    <w:rsid w:val="006A1AFB"/>
    <w:rsid w:val="006A2229"/>
    <w:rsid w:val="006A2726"/>
    <w:rsid w:val="006A36A2"/>
    <w:rsid w:val="006A37E0"/>
    <w:rsid w:val="006A3B3B"/>
    <w:rsid w:val="006A51CD"/>
    <w:rsid w:val="006A523E"/>
    <w:rsid w:val="006A53EA"/>
    <w:rsid w:val="006A57E0"/>
    <w:rsid w:val="006A5B86"/>
    <w:rsid w:val="006B186C"/>
    <w:rsid w:val="006B21AA"/>
    <w:rsid w:val="006B70B2"/>
    <w:rsid w:val="006C054F"/>
    <w:rsid w:val="006C0EB4"/>
    <w:rsid w:val="006C2134"/>
    <w:rsid w:val="006C324F"/>
    <w:rsid w:val="006C3A6E"/>
    <w:rsid w:val="006C45AE"/>
    <w:rsid w:val="006C5183"/>
    <w:rsid w:val="006C5C6E"/>
    <w:rsid w:val="006C6C96"/>
    <w:rsid w:val="006C7209"/>
    <w:rsid w:val="006D0120"/>
    <w:rsid w:val="006D0602"/>
    <w:rsid w:val="006D074E"/>
    <w:rsid w:val="006D0C1B"/>
    <w:rsid w:val="006D0CBA"/>
    <w:rsid w:val="006D162B"/>
    <w:rsid w:val="006D1F2A"/>
    <w:rsid w:val="006D2ACD"/>
    <w:rsid w:val="006D2DED"/>
    <w:rsid w:val="006D3AEC"/>
    <w:rsid w:val="006D3C66"/>
    <w:rsid w:val="006D4186"/>
    <w:rsid w:val="006D4195"/>
    <w:rsid w:val="006D52F5"/>
    <w:rsid w:val="006D591B"/>
    <w:rsid w:val="006D5C9C"/>
    <w:rsid w:val="006D5FE3"/>
    <w:rsid w:val="006D62C0"/>
    <w:rsid w:val="006D6720"/>
    <w:rsid w:val="006D6921"/>
    <w:rsid w:val="006D7BE3"/>
    <w:rsid w:val="006D7FAA"/>
    <w:rsid w:val="006E17AD"/>
    <w:rsid w:val="006E193D"/>
    <w:rsid w:val="006E1FF9"/>
    <w:rsid w:val="006E28A4"/>
    <w:rsid w:val="006E48A8"/>
    <w:rsid w:val="006E6479"/>
    <w:rsid w:val="006E66A3"/>
    <w:rsid w:val="006E738F"/>
    <w:rsid w:val="006E780F"/>
    <w:rsid w:val="006F089E"/>
    <w:rsid w:val="006F0E2B"/>
    <w:rsid w:val="006F0E99"/>
    <w:rsid w:val="006F12B9"/>
    <w:rsid w:val="006F1D90"/>
    <w:rsid w:val="006F3763"/>
    <w:rsid w:val="006F387C"/>
    <w:rsid w:val="006F3E32"/>
    <w:rsid w:val="006F461D"/>
    <w:rsid w:val="006F49CC"/>
    <w:rsid w:val="006F4A70"/>
    <w:rsid w:val="006F56B0"/>
    <w:rsid w:val="006F58A2"/>
    <w:rsid w:val="006F76AA"/>
    <w:rsid w:val="00701060"/>
    <w:rsid w:val="00701FAB"/>
    <w:rsid w:val="007022E9"/>
    <w:rsid w:val="007024C0"/>
    <w:rsid w:val="00702C7F"/>
    <w:rsid w:val="00703800"/>
    <w:rsid w:val="00703DDA"/>
    <w:rsid w:val="00705266"/>
    <w:rsid w:val="00705AE2"/>
    <w:rsid w:val="00710329"/>
    <w:rsid w:val="00711936"/>
    <w:rsid w:val="00711E4F"/>
    <w:rsid w:val="0071288B"/>
    <w:rsid w:val="00712B4F"/>
    <w:rsid w:val="007139E9"/>
    <w:rsid w:val="00715496"/>
    <w:rsid w:val="00716E84"/>
    <w:rsid w:val="007175BD"/>
    <w:rsid w:val="00717B8E"/>
    <w:rsid w:val="00720339"/>
    <w:rsid w:val="00721641"/>
    <w:rsid w:val="00721FB2"/>
    <w:rsid w:val="00722C27"/>
    <w:rsid w:val="00723304"/>
    <w:rsid w:val="00723405"/>
    <w:rsid w:val="0072399E"/>
    <w:rsid w:val="00723B8D"/>
    <w:rsid w:val="00723C12"/>
    <w:rsid w:val="00723E8F"/>
    <w:rsid w:val="007241EA"/>
    <w:rsid w:val="00724265"/>
    <w:rsid w:val="007242EB"/>
    <w:rsid w:val="00724BF8"/>
    <w:rsid w:val="007253D8"/>
    <w:rsid w:val="0072579B"/>
    <w:rsid w:val="007268AB"/>
    <w:rsid w:val="00726CA6"/>
    <w:rsid w:val="00726D03"/>
    <w:rsid w:val="007279BA"/>
    <w:rsid w:val="00730BAE"/>
    <w:rsid w:val="00731556"/>
    <w:rsid w:val="00731639"/>
    <w:rsid w:val="00732798"/>
    <w:rsid w:val="00732960"/>
    <w:rsid w:val="0073366C"/>
    <w:rsid w:val="00733F17"/>
    <w:rsid w:val="007350B0"/>
    <w:rsid w:val="007356B9"/>
    <w:rsid w:val="00737624"/>
    <w:rsid w:val="00737681"/>
    <w:rsid w:val="00741333"/>
    <w:rsid w:val="007416A3"/>
    <w:rsid w:val="0074222C"/>
    <w:rsid w:val="007434AB"/>
    <w:rsid w:val="007440FD"/>
    <w:rsid w:val="00745631"/>
    <w:rsid w:val="00747EBE"/>
    <w:rsid w:val="007520EF"/>
    <w:rsid w:val="00752C81"/>
    <w:rsid w:val="00755B5C"/>
    <w:rsid w:val="00756963"/>
    <w:rsid w:val="00756DB7"/>
    <w:rsid w:val="00757390"/>
    <w:rsid w:val="00757394"/>
    <w:rsid w:val="007627C6"/>
    <w:rsid w:val="00762908"/>
    <w:rsid w:val="00763E40"/>
    <w:rsid w:val="00764128"/>
    <w:rsid w:val="007641EA"/>
    <w:rsid w:val="007664B4"/>
    <w:rsid w:val="00770E82"/>
    <w:rsid w:val="00771545"/>
    <w:rsid w:val="00771596"/>
    <w:rsid w:val="00771BA3"/>
    <w:rsid w:val="00771F68"/>
    <w:rsid w:val="00772315"/>
    <w:rsid w:val="00774A97"/>
    <w:rsid w:val="00774AAC"/>
    <w:rsid w:val="0077760C"/>
    <w:rsid w:val="007803F1"/>
    <w:rsid w:val="00780889"/>
    <w:rsid w:val="00780BCB"/>
    <w:rsid w:val="0078126F"/>
    <w:rsid w:val="007833A7"/>
    <w:rsid w:val="00783431"/>
    <w:rsid w:val="00783997"/>
    <w:rsid w:val="007856C1"/>
    <w:rsid w:val="00785D45"/>
    <w:rsid w:val="00786B4E"/>
    <w:rsid w:val="0078771C"/>
    <w:rsid w:val="00787B20"/>
    <w:rsid w:val="0079001D"/>
    <w:rsid w:val="0079251E"/>
    <w:rsid w:val="007935DD"/>
    <w:rsid w:val="0079553F"/>
    <w:rsid w:val="00795638"/>
    <w:rsid w:val="0079669D"/>
    <w:rsid w:val="007969DD"/>
    <w:rsid w:val="00796DFC"/>
    <w:rsid w:val="007978A5"/>
    <w:rsid w:val="007978C5"/>
    <w:rsid w:val="00797A61"/>
    <w:rsid w:val="007A0282"/>
    <w:rsid w:val="007A135D"/>
    <w:rsid w:val="007A2CA7"/>
    <w:rsid w:val="007A33E8"/>
    <w:rsid w:val="007A47B7"/>
    <w:rsid w:val="007A4C15"/>
    <w:rsid w:val="007A523A"/>
    <w:rsid w:val="007A66DF"/>
    <w:rsid w:val="007A6BA0"/>
    <w:rsid w:val="007A7B15"/>
    <w:rsid w:val="007A7D59"/>
    <w:rsid w:val="007B11D9"/>
    <w:rsid w:val="007B1DE3"/>
    <w:rsid w:val="007B203F"/>
    <w:rsid w:val="007B236D"/>
    <w:rsid w:val="007B35B1"/>
    <w:rsid w:val="007B6A00"/>
    <w:rsid w:val="007C1225"/>
    <w:rsid w:val="007C1B2E"/>
    <w:rsid w:val="007C2749"/>
    <w:rsid w:val="007C2BEC"/>
    <w:rsid w:val="007C2E84"/>
    <w:rsid w:val="007C2EFB"/>
    <w:rsid w:val="007C318B"/>
    <w:rsid w:val="007C427D"/>
    <w:rsid w:val="007C4933"/>
    <w:rsid w:val="007C6439"/>
    <w:rsid w:val="007C6E79"/>
    <w:rsid w:val="007D158D"/>
    <w:rsid w:val="007D253B"/>
    <w:rsid w:val="007D25EC"/>
    <w:rsid w:val="007D2CA6"/>
    <w:rsid w:val="007D2E38"/>
    <w:rsid w:val="007D3E04"/>
    <w:rsid w:val="007D4161"/>
    <w:rsid w:val="007D52F2"/>
    <w:rsid w:val="007D563F"/>
    <w:rsid w:val="007D69A2"/>
    <w:rsid w:val="007D6E29"/>
    <w:rsid w:val="007E0AD6"/>
    <w:rsid w:val="007E270F"/>
    <w:rsid w:val="007E36CE"/>
    <w:rsid w:val="007E4207"/>
    <w:rsid w:val="007E436F"/>
    <w:rsid w:val="007E491D"/>
    <w:rsid w:val="007E4BE5"/>
    <w:rsid w:val="007E4E47"/>
    <w:rsid w:val="007E6C53"/>
    <w:rsid w:val="007E7A07"/>
    <w:rsid w:val="007E7E06"/>
    <w:rsid w:val="007F040A"/>
    <w:rsid w:val="007F0D2C"/>
    <w:rsid w:val="007F4E34"/>
    <w:rsid w:val="007F6B10"/>
    <w:rsid w:val="007F6C34"/>
    <w:rsid w:val="007F7D3D"/>
    <w:rsid w:val="00800F9D"/>
    <w:rsid w:val="00801053"/>
    <w:rsid w:val="008016B6"/>
    <w:rsid w:val="00801EB5"/>
    <w:rsid w:val="00801F90"/>
    <w:rsid w:val="00802580"/>
    <w:rsid w:val="00803935"/>
    <w:rsid w:val="0080548F"/>
    <w:rsid w:val="008058C8"/>
    <w:rsid w:val="008060B7"/>
    <w:rsid w:val="00810B94"/>
    <w:rsid w:val="0081147A"/>
    <w:rsid w:val="008118D1"/>
    <w:rsid w:val="00812E8E"/>
    <w:rsid w:val="0081303F"/>
    <w:rsid w:val="008130C5"/>
    <w:rsid w:val="0081332F"/>
    <w:rsid w:val="00813DAF"/>
    <w:rsid w:val="008160F8"/>
    <w:rsid w:val="008161D0"/>
    <w:rsid w:val="00816754"/>
    <w:rsid w:val="00817AE3"/>
    <w:rsid w:val="00817E44"/>
    <w:rsid w:val="008201E9"/>
    <w:rsid w:val="0082122E"/>
    <w:rsid w:val="00821BA8"/>
    <w:rsid w:val="0082335E"/>
    <w:rsid w:val="00824144"/>
    <w:rsid w:val="00824959"/>
    <w:rsid w:val="00826EDE"/>
    <w:rsid w:val="00827319"/>
    <w:rsid w:val="00827CD4"/>
    <w:rsid w:val="00830491"/>
    <w:rsid w:val="00830E92"/>
    <w:rsid w:val="00830F33"/>
    <w:rsid w:val="008316B7"/>
    <w:rsid w:val="00831D19"/>
    <w:rsid w:val="00831FA3"/>
    <w:rsid w:val="00833759"/>
    <w:rsid w:val="00835403"/>
    <w:rsid w:val="008365C4"/>
    <w:rsid w:val="00836C39"/>
    <w:rsid w:val="0083732F"/>
    <w:rsid w:val="00837D98"/>
    <w:rsid w:val="0084001C"/>
    <w:rsid w:val="00840D6A"/>
    <w:rsid w:val="00840FB0"/>
    <w:rsid w:val="00841048"/>
    <w:rsid w:val="00841E23"/>
    <w:rsid w:val="008420A8"/>
    <w:rsid w:val="0084336A"/>
    <w:rsid w:val="00843445"/>
    <w:rsid w:val="008443E2"/>
    <w:rsid w:val="0084447E"/>
    <w:rsid w:val="00844971"/>
    <w:rsid w:val="00844BE4"/>
    <w:rsid w:val="00844CCD"/>
    <w:rsid w:val="00846098"/>
    <w:rsid w:val="0084633F"/>
    <w:rsid w:val="008470B9"/>
    <w:rsid w:val="008479DA"/>
    <w:rsid w:val="008504CE"/>
    <w:rsid w:val="00850DFD"/>
    <w:rsid w:val="00851307"/>
    <w:rsid w:val="0085184F"/>
    <w:rsid w:val="00852682"/>
    <w:rsid w:val="008545E1"/>
    <w:rsid w:val="00855097"/>
    <w:rsid w:val="0085614F"/>
    <w:rsid w:val="0085725F"/>
    <w:rsid w:val="008575B9"/>
    <w:rsid w:val="008606CA"/>
    <w:rsid w:val="008608CF"/>
    <w:rsid w:val="00862857"/>
    <w:rsid w:val="00862904"/>
    <w:rsid w:val="008634F3"/>
    <w:rsid w:val="0086542B"/>
    <w:rsid w:val="008659A0"/>
    <w:rsid w:val="008667AC"/>
    <w:rsid w:val="00866956"/>
    <w:rsid w:val="00867825"/>
    <w:rsid w:val="00867DC6"/>
    <w:rsid w:val="0087077C"/>
    <w:rsid w:val="008713AA"/>
    <w:rsid w:val="008719D6"/>
    <w:rsid w:val="00871C44"/>
    <w:rsid w:val="0087328F"/>
    <w:rsid w:val="00874F36"/>
    <w:rsid w:val="0087584F"/>
    <w:rsid w:val="00875BA9"/>
    <w:rsid w:val="00875FC1"/>
    <w:rsid w:val="00881011"/>
    <w:rsid w:val="008815B2"/>
    <w:rsid w:val="00881DBF"/>
    <w:rsid w:val="00882861"/>
    <w:rsid w:val="008828C0"/>
    <w:rsid w:val="008829F8"/>
    <w:rsid w:val="00882A30"/>
    <w:rsid w:val="00882F83"/>
    <w:rsid w:val="00885583"/>
    <w:rsid w:val="00885EBC"/>
    <w:rsid w:val="00885FC6"/>
    <w:rsid w:val="00886053"/>
    <w:rsid w:val="008862D8"/>
    <w:rsid w:val="00886542"/>
    <w:rsid w:val="00886D4D"/>
    <w:rsid w:val="00887DFD"/>
    <w:rsid w:val="008908FF"/>
    <w:rsid w:val="00890EA8"/>
    <w:rsid w:val="00891A70"/>
    <w:rsid w:val="008924AD"/>
    <w:rsid w:val="00892B4B"/>
    <w:rsid w:val="00893C71"/>
    <w:rsid w:val="00893F81"/>
    <w:rsid w:val="008950F6"/>
    <w:rsid w:val="00895C00"/>
    <w:rsid w:val="00896E60"/>
    <w:rsid w:val="00897259"/>
    <w:rsid w:val="0089744C"/>
    <w:rsid w:val="00897B2D"/>
    <w:rsid w:val="00897B33"/>
    <w:rsid w:val="00897C78"/>
    <w:rsid w:val="008A02F6"/>
    <w:rsid w:val="008A2DD6"/>
    <w:rsid w:val="008A38EF"/>
    <w:rsid w:val="008A49FD"/>
    <w:rsid w:val="008A511E"/>
    <w:rsid w:val="008A6C66"/>
    <w:rsid w:val="008A7E61"/>
    <w:rsid w:val="008B15EB"/>
    <w:rsid w:val="008B19A3"/>
    <w:rsid w:val="008B2B0E"/>
    <w:rsid w:val="008B2E2E"/>
    <w:rsid w:val="008B482A"/>
    <w:rsid w:val="008B5126"/>
    <w:rsid w:val="008B5E87"/>
    <w:rsid w:val="008B60E6"/>
    <w:rsid w:val="008B65DF"/>
    <w:rsid w:val="008B779A"/>
    <w:rsid w:val="008B7C5E"/>
    <w:rsid w:val="008C0457"/>
    <w:rsid w:val="008C17BA"/>
    <w:rsid w:val="008C1AA4"/>
    <w:rsid w:val="008C2B9E"/>
    <w:rsid w:val="008C2E65"/>
    <w:rsid w:val="008C318A"/>
    <w:rsid w:val="008C451C"/>
    <w:rsid w:val="008C669F"/>
    <w:rsid w:val="008C70AB"/>
    <w:rsid w:val="008C7506"/>
    <w:rsid w:val="008D1987"/>
    <w:rsid w:val="008D1CDE"/>
    <w:rsid w:val="008D25C9"/>
    <w:rsid w:val="008D30E1"/>
    <w:rsid w:val="008D3B46"/>
    <w:rsid w:val="008D3EE6"/>
    <w:rsid w:val="008D5E32"/>
    <w:rsid w:val="008D5FEE"/>
    <w:rsid w:val="008D6791"/>
    <w:rsid w:val="008D755D"/>
    <w:rsid w:val="008E1257"/>
    <w:rsid w:val="008E1B6C"/>
    <w:rsid w:val="008E3134"/>
    <w:rsid w:val="008E384E"/>
    <w:rsid w:val="008E393A"/>
    <w:rsid w:val="008E3AC3"/>
    <w:rsid w:val="008E4559"/>
    <w:rsid w:val="008E4BAE"/>
    <w:rsid w:val="008E58F7"/>
    <w:rsid w:val="008E5BAC"/>
    <w:rsid w:val="008E6BE1"/>
    <w:rsid w:val="008F0620"/>
    <w:rsid w:val="008F1C27"/>
    <w:rsid w:val="008F1EA1"/>
    <w:rsid w:val="008F1F90"/>
    <w:rsid w:val="008F2015"/>
    <w:rsid w:val="008F2A95"/>
    <w:rsid w:val="008F335A"/>
    <w:rsid w:val="008F4220"/>
    <w:rsid w:val="008F56D5"/>
    <w:rsid w:val="008F581F"/>
    <w:rsid w:val="008F5B3E"/>
    <w:rsid w:val="008F5C13"/>
    <w:rsid w:val="008F7058"/>
    <w:rsid w:val="0090219B"/>
    <w:rsid w:val="0090246A"/>
    <w:rsid w:val="00903892"/>
    <w:rsid w:val="00904112"/>
    <w:rsid w:val="00907937"/>
    <w:rsid w:val="0091040F"/>
    <w:rsid w:val="0091097F"/>
    <w:rsid w:val="00910FA2"/>
    <w:rsid w:val="009110F8"/>
    <w:rsid w:val="0091140F"/>
    <w:rsid w:val="0091186A"/>
    <w:rsid w:val="00912249"/>
    <w:rsid w:val="00912342"/>
    <w:rsid w:val="0091288A"/>
    <w:rsid w:val="009144EF"/>
    <w:rsid w:val="00914980"/>
    <w:rsid w:val="00915B8E"/>
    <w:rsid w:val="00916096"/>
    <w:rsid w:val="009162AA"/>
    <w:rsid w:val="009169C1"/>
    <w:rsid w:val="00917430"/>
    <w:rsid w:val="00917726"/>
    <w:rsid w:val="00917BF2"/>
    <w:rsid w:val="00920796"/>
    <w:rsid w:val="00921357"/>
    <w:rsid w:val="0092184F"/>
    <w:rsid w:val="00922EF9"/>
    <w:rsid w:val="00925042"/>
    <w:rsid w:val="009250D4"/>
    <w:rsid w:val="00927B25"/>
    <w:rsid w:val="009301F1"/>
    <w:rsid w:val="009303F8"/>
    <w:rsid w:val="00930F63"/>
    <w:rsid w:val="0093203B"/>
    <w:rsid w:val="00932EC3"/>
    <w:rsid w:val="009336D2"/>
    <w:rsid w:val="00933A36"/>
    <w:rsid w:val="00933E98"/>
    <w:rsid w:val="00934791"/>
    <w:rsid w:val="00935385"/>
    <w:rsid w:val="00935859"/>
    <w:rsid w:val="009359B7"/>
    <w:rsid w:val="00935A01"/>
    <w:rsid w:val="00935E99"/>
    <w:rsid w:val="00935FDB"/>
    <w:rsid w:val="00937338"/>
    <w:rsid w:val="00940A4E"/>
    <w:rsid w:val="00941A94"/>
    <w:rsid w:val="00941D12"/>
    <w:rsid w:val="00944152"/>
    <w:rsid w:val="009444A2"/>
    <w:rsid w:val="009454A5"/>
    <w:rsid w:val="0094628E"/>
    <w:rsid w:val="0094745F"/>
    <w:rsid w:val="00950317"/>
    <w:rsid w:val="00951DB2"/>
    <w:rsid w:val="009527B8"/>
    <w:rsid w:val="009529CD"/>
    <w:rsid w:val="009537EE"/>
    <w:rsid w:val="00953BE6"/>
    <w:rsid w:val="00954547"/>
    <w:rsid w:val="00954BEE"/>
    <w:rsid w:val="00954CC0"/>
    <w:rsid w:val="00955C4D"/>
    <w:rsid w:val="0095712A"/>
    <w:rsid w:val="00960107"/>
    <w:rsid w:val="00960A3D"/>
    <w:rsid w:val="00960A93"/>
    <w:rsid w:val="00962384"/>
    <w:rsid w:val="009646F6"/>
    <w:rsid w:val="009647E1"/>
    <w:rsid w:val="00964944"/>
    <w:rsid w:val="00966025"/>
    <w:rsid w:val="00967373"/>
    <w:rsid w:val="009674FC"/>
    <w:rsid w:val="009705CB"/>
    <w:rsid w:val="00970795"/>
    <w:rsid w:val="00971707"/>
    <w:rsid w:val="00971BE9"/>
    <w:rsid w:val="00971DFE"/>
    <w:rsid w:val="009722CC"/>
    <w:rsid w:val="009739F0"/>
    <w:rsid w:val="00974576"/>
    <w:rsid w:val="00974592"/>
    <w:rsid w:val="00974A6A"/>
    <w:rsid w:val="00976125"/>
    <w:rsid w:val="0097699E"/>
    <w:rsid w:val="00977010"/>
    <w:rsid w:val="0098025E"/>
    <w:rsid w:val="0098035A"/>
    <w:rsid w:val="0098074D"/>
    <w:rsid w:val="00981177"/>
    <w:rsid w:val="00981A87"/>
    <w:rsid w:val="00981E79"/>
    <w:rsid w:val="00982654"/>
    <w:rsid w:val="009840D7"/>
    <w:rsid w:val="00984243"/>
    <w:rsid w:val="00985175"/>
    <w:rsid w:val="00990173"/>
    <w:rsid w:val="00992B67"/>
    <w:rsid w:val="0099303D"/>
    <w:rsid w:val="00993042"/>
    <w:rsid w:val="00993FB5"/>
    <w:rsid w:val="00994188"/>
    <w:rsid w:val="00994391"/>
    <w:rsid w:val="00994919"/>
    <w:rsid w:val="00996140"/>
    <w:rsid w:val="009979DE"/>
    <w:rsid w:val="009A0468"/>
    <w:rsid w:val="009A0893"/>
    <w:rsid w:val="009A2763"/>
    <w:rsid w:val="009A2CB0"/>
    <w:rsid w:val="009A3FE8"/>
    <w:rsid w:val="009A442D"/>
    <w:rsid w:val="009A449D"/>
    <w:rsid w:val="009A54AB"/>
    <w:rsid w:val="009A5A86"/>
    <w:rsid w:val="009B2A1D"/>
    <w:rsid w:val="009B3639"/>
    <w:rsid w:val="009B374D"/>
    <w:rsid w:val="009B3824"/>
    <w:rsid w:val="009B382E"/>
    <w:rsid w:val="009B49EB"/>
    <w:rsid w:val="009B6119"/>
    <w:rsid w:val="009B6163"/>
    <w:rsid w:val="009C1993"/>
    <w:rsid w:val="009C2AC1"/>
    <w:rsid w:val="009C4646"/>
    <w:rsid w:val="009C6458"/>
    <w:rsid w:val="009C6E35"/>
    <w:rsid w:val="009C7676"/>
    <w:rsid w:val="009C7975"/>
    <w:rsid w:val="009C7A28"/>
    <w:rsid w:val="009C7B22"/>
    <w:rsid w:val="009D0001"/>
    <w:rsid w:val="009D0F2C"/>
    <w:rsid w:val="009D1184"/>
    <w:rsid w:val="009D142D"/>
    <w:rsid w:val="009D16FF"/>
    <w:rsid w:val="009D3407"/>
    <w:rsid w:val="009D36C4"/>
    <w:rsid w:val="009D51B4"/>
    <w:rsid w:val="009D6BC2"/>
    <w:rsid w:val="009D7585"/>
    <w:rsid w:val="009D7BD8"/>
    <w:rsid w:val="009E13AE"/>
    <w:rsid w:val="009E3496"/>
    <w:rsid w:val="009E3B22"/>
    <w:rsid w:val="009E3C66"/>
    <w:rsid w:val="009E4CEE"/>
    <w:rsid w:val="009E5005"/>
    <w:rsid w:val="009E560F"/>
    <w:rsid w:val="009E5F04"/>
    <w:rsid w:val="009E697C"/>
    <w:rsid w:val="009E71E9"/>
    <w:rsid w:val="009F048C"/>
    <w:rsid w:val="009F08C9"/>
    <w:rsid w:val="009F0D97"/>
    <w:rsid w:val="009F10BE"/>
    <w:rsid w:val="009F148F"/>
    <w:rsid w:val="009F1CBE"/>
    <w:rsid w:val="009F2636"/>
    <w:rsid w:val="009F273B"/>
    <w:rsid w:val="009F32E3"/>
    <w:rsid w:val="009F390B"/>
    <w:rsid w:val="009F3DB0"/>
    <w:rsid w:val="009F561A"/>
    <w:rsid w:val="009F57E1"/>
    <w:rsid w:val="009F6BD0"/>
    <w:rsid w:val="00A00655"/>
    <w:rsid w:val="00A00823"/>
    <w:rsid w:val="00A00927"/>
    <w:rsid w:val="00A02092"/>
    <w:rsid w:val="00A05D67"/>
    <w:rsid w:val="00A077FE"/>
    <w:rsid w:val="00A07830"/>
    <w:rsid w:val="00A10A91"/>
    <w:rsid w:val="00A110B7"/>
    <w:rsid w:val="00A118B8"/>
    <w:rsid w:val="00A12006"/>
    <w:rsid w:val="00A12554"/>
    <w:rsid w:val="00A1328F"/>
    <w:rsid w:val="00A135E1"/>
    <w:rsid w:val="00A13AA9"/>
    <w:rsid w:val="00A14750"/>
    <w:rsid w:val="00A151FD"/>
    <w:rsid w:val="00A15990"/>
    <w:rsid w:val="00A160F4"/>
    <w:rsid w:val="00A163B6"/>
    <w:rsid w:val="00A16B44"/>
    <w:rsid w:val="00A17BFD"/>
    <w:rsid w:val="00A2285E"/>
    <w:rsid w:val="00A228C0"/>
    <w:rsid w:val="00A234B7"/>
    <w:rsid w:val="00A240BB"/>
    <w:rsid w:val="00A251DD"/>
    <w:rsid w:val="00A26DE9"/>
    <w:rsid w:val="00A27612"/>
    <w:rsid w:val="00A2798F"/>
    <w:rsid w:val="00A30255"/>
    <w:rsid w:val="00A303FF"/>
    <w:rsid w:val="00A30781"/>
    <w:rsid w:val="00A3168E"/>
    <w:rsid w:val="00A31E03"/>
    <w:rsid w:val="00A324DA"/>
    <w:rsid w:val="00A329B4"/>
    <w:rsid w:val="00A37745"/>
    <w:rsid w:val="00A37DC1"/>
    <w:rsid w:val="00A40AFD"/>
    <w:rsid w:val="00A41680"/>
    <w:rsid w:val="00A41F36"/>
    <w:rsid w:val="00A42C88"/>
    <w:rsid w:val="00A43B6B"/>
    <w:rsid w:val="00A44607"/>
    <w:rsid w:val="00A44DB9"/>
    <w:rsid w:val="00A45219"/>
    <w:rsid w:val="00A45729"/>
    <w:rsid w:val="00A46AE7"/>
    <w:rsid w:val="00A476B4"/>
    <w:rsid w:val="00A47FFB"/>
    <w:rsid w:val="00A50203"/>
    <w:rsid w:val="00A50536"/>
    <w:rsid w:val="00A50E73"/>
    <w:rsid w:val="00A514F2"/>
    <w:rsid w:val="00A51D1A"/>
    <w:rsid w:val="00A524A3"/>
    <w:rsid w:val="00A5303A"/>
    <w:rsid w:val="00A53E19"/>
    <w:rsid w:val="00A54AA4"/>
    <w:rsid w:val="00A55905"/>
    <w:rsid w:val="00A56518"/>
    <w:rsid w:val="00A577F5"/>
    <w:rsid w:val="00A57BFC"/>
    <w:rsid w:val="00A600C2"/>
    <w:rsid w:val="00A603ED"/>
    <w:rsid w:val="00A61CBF"/>
    <w:rsid w:val="00A62A7C"/>
    <w:rsid w:val="00A62D15"/>
    <w:rsid w:val="00A6594A"/>
    <w:rsid w:val="00A67772"/>
    <w:rsid w:val="00A67903"/>
    <w:rsid w:val="00A7161A"/>
    <w:rsid w:val="00A71818"/>
    <w:rsid w:val="00A726F6"/>
    <w:rsid w:val="00A74226"/>
    <w:rsid w:val="00A74418"/>
    <w:rsid w:val="00A7480A"/>
    <w:rsid w:val="00A76814"/>
    <w:rsid w:val="00A81DCA"/>
    <w:rsid w:val="00A83199"/>
    <w:rsid w:val="00A84515"/>
    <w:rsid w:val="00A8465A"/>
    <w:rsid w:val="00A8496E"/>
    <w:rsid w:val="00A84F75"/>
    <w:rsid w:val="00A8546F"/>
    <w:rsid w:val="00A85A9D"/>
    <w:rsid w:val="00A873D9"/>
    <w:rsid w:val="00A87842"/>
    <w:rsid w:val="00A87BD4"/>
    <w:rsid w:val="00A87F2A"/>
    <w:rsid w:val="00A90BF5"/>
    <w:rsid w:val="00A90E38"/>
    <w:rsid w:val="00A90F18"/>
    <w:rsid w:val="00A91C7F"/>
    <w:rsid w:val="00A92E29"/>
    <w:rsid w:val="00A935C4"/>
    <w:rsid w:val="00A9402A"/>
    <w:rsid w:val="00A9457C"/>
    <w:rsid w:val="00A95135"/>
    <w:rsid w:val="00A959CE"/>
    <w:rsid w:val="00A970AC"/>
    <w:rsid w:val="00A971CC"/>
    <w:rsid w:val="00AA02D0"/>
    <w:rsid w:val="00AA07F1"/>
    <w:rsid w:val="00AA097A"/>
    <w:rsid w:val="00AA1360"/>
    <w:rsid w:val="00AA197A"/>
    <w:rsid w:val="00AA30C3"/>
    <w:rsid w:val="00AA5470"/>
    <w:rsid w:val="00AA567E"/>
    <w:rsid w:val="00AA6E22"/>
    <w:rsid w:val="00AA7F95"/>
    <w:rsid w:val="00AB05AF"/>
    <w:rsid w:val="00AB0A6D"/>
    <w:rsid w:val="00AB1032"/>
    <w:rsid w:val="00AB120D"/>
    <w:rsid w:val="00AB2486"/>
    <w:rsid w:val="00AB37C5"/>
    <w:rsid w:val="00AB54A2"/>
    <w:rsid w:val="00AB71CB"/>
    <w:rsid w:val="00AC0E14"/>
    <w:rsid w:val="00AC22B8"/>
    <w:rsid w:val="00AC2828"/>
    <w:rsid w:val="00AC340F"/>
    <w:rsid w:val="00AC4491"/>
    <w:rsid w:val="00AC4E85"/>
    <w:rsid w:val="00AC5E8A"/>
    <w:rsid w:val="00AC6248"/>
    <w:rsid w:val="00AC7269"/>
    <w:rsid w:val="00AD1CC8"/>
    <w:rsid w:val="00AD280E"/>
    <w:rsid w:val="00AD3CC6"/>
    <w:rsid w:val="00AD3EA9"/>
    <w:rsid w:val="00AD49F2"/>
    <w:rsid w:val="00AD5017"/>
    <w:rsid w:val="00AD5A2C"/>
    <w:rsid w:val="00AE06F5"/>
    <w:rsid w:val="00AE1946"/>
    <w:rsid w:val="00AE1D2E"/>
    <w:rsid w:val="00AE2B9E"/>
    <w:rsid w:val="00AE2DCA"/>
    <w:rsid w:val="00AE31B9"/>
    <w:rsid w:val="00AE59DD"/>
    <w:rsid w:val="00AE6C7A"/>
    <w:rsid w:val="00AE78A5"/>
    <w:rsid w:val="00AF21EA"/>
    <w:rsid w:val="00AF7185"/>
    <w:rsid w:val="00AF7410"/>
    <w:rsid w:val="00AF7DEF"/>
    <w:rsid w:val="00B00B93"/>
    <w:rsid w:val="00B00E14"/>
    <w:rsid w:val="00B01646"/>
    <w:rsid w:val="00B0166F"/>
    <w:rsid w:val="00B01733"/>
    <w:rsid w:val="00B02442"/>
    <w:rsid w:val="00B0478E"/>
    <w:rsid w:val="00B0761C"/>
    <w:rsid w:val="00B0773E"/>
    <w:rsid w:val="00B07DD7"/>
    <w:rsid w:val="00B10D33"/>
    <w:rsid w:val="00B118A9"/>
    <w:rsid w:val="00B11B5B"/>
    <w:rsid w:val="00B1288C"/>
    <w:rsid w:val="00B12DA5"/>
    <w:rsid w:val="00B1307A"/>
    <w:rsid w:val="00B13764"/>
    <w:rsid w:val="00B147A7"/>
    <w:rsid w:val="00B177A2"/>
    <w:rsid w:val="00B2068F"/>
    <w:rsid w:val="00B20CD1"/>
    <w:rsid w:val="00B23D0A"/>
    <w:rsid w:val="00B2488F"/>
    <w:rsid w:val="00B2518A"/>
    <w:rsid w:val="00B2552E"/>
    <w:rsid w:val="00B260F7"/>
    <w:rsid w:val="00B30982"/>
    <w:rsid w:val="00B31071"/>
    <w:rsid w:val="00B3192B"/>
    <w:rsid w:val="00B33AE1"/>
    <w:rsid w:val="00B33CBC"/>
    <w:rsid w:val="00B33CFB"/>
    <w:rsid w:val="00B34527"/>
    <w:rsid w:val="00B34537"/>
    <w:rsid w:val="00B35BB6"/>
    <w:rsid w:val="00B35C41"/>
    <w:rsid w:val="00B3636B"/>
    <w:rsid w:val="00B3718E"/>
    <w:rsid w:val="00B371C6"/>
    <w:rsid w:val="00B371ED"/>
    <w:rsid w:val="00B37297"/>
    <w:rsid w:val="00B37415"/>
    <w:rsid w:val="00B37FBA"/>
    <w:rsid w:val="00B37FDA"/>
    <w:rsid w:val="00B408CF"/>
    <w:rsid w:val="00B413B8"/>
    <w:rsid w:val="00B43267"/>
    <w:rsid w:val="00B43F4B"/>
    <w:rsid w:val="00B44221"/>
    <w:rsid w:val="00B44716"/>
    <w:rsid w:val="00B44850"/>
    <w:rsid w:val="00B45558"/>
    <w:rsid w:val="00B45DCB"/>
    <w:rsid w:val="00B46D0D"/>
    <w:rsid w:val="00B50C9A"/>
    <w:rsid w:val="00B50D4B"/>
    <w:rsid w:val="00B50D5E"/>
    <w:rsid w:val="00B5103A"/>
    <w:rsid w:val="00B51C94"/>
    <w:rsid w:val="00B523B7"/>
    <w:rsid w:val="00B5308C"/>
    <w:rsid w:val="00B53130"/>
    <w:rsid w:val="00B54580"/>
    <w:rsid w:val="00B54A8B"/>
    <w:rsid w:val="00B551B8"/>
    <w:rsid w:val="00B55D87"/>
    <w:rsid w:val="00B55E94"/>
    <w:rsid w:val="00B56474"/>
    <w:rsid w:val="00B565CE"/>
    <w:rsid w:val="00B60A44"/>
    <w:rsid w:val="00B6138A"/>
    <w:rsid w:val="00B62AF2"/>
    <w:rsid w:val="00B64455"/>
    <w:rsid w:val="00B6512A"/>
    <w:rsid w:val="00B666DC"/>
    <w:rsid w:val="00B66B1A"/>
    <w:rsid w:val="00B67ADD"/>
    <w:rsid w:val="00B716D7"/>
    <w:rsid w:val="00B724E1"/>
    <w:rsid w:val="00B73515"/>
    <w:rsid w:val="00B73608"/>
    <w:rsid w:val="00B73B48"/>
    <w:rsid w:val="00B750DA"/>
    <w:rsid w:val="00B75EEF"/>
    <w:rsid w:val="00B75F9D"/>
    <w:rsid w:val="00B761FB"/>
    <w:rsid w:val="00B76757"/>
    <w:rsid w:val="00B768A1"/>
    <w:rsid w:val="00B777E1"/>
    <w:rsid w:val="00B8041A"/>
    <w:rsid w:val="00B80B7B"/>
    <w:rsid w:val="00B8163C"/>
    <w:rsid w:val="00B818B4"/>
    <w:rsid w:val="00B81D21"/>
    <w:rsid w:val="00B83B67"/>
    <w:rsid w:val="00B83FB5"/>
    <w:rsid w:val="00B840B2"/>
    <w:rsid w:val="00B84240"/>
    <w:rsid w:val="00B8647F"/>
    <w:rsid w:val="00B868E0"/>
    <w:rsid w:val="00B87B0C"/>
    <w:rsid w:val="00B93EF2"/>
    <w:rsid w:val="00B94517"/>
    <w:rsid w:val="00B952BD"/>
    <w:rsid w:val="00B95BBE"/>
    <w:rsid w:val="00B95D1A"/>
    <w:rsid w:val="00B962FB"/>
    <w:rsid w:val="00B96660"/>
    <w:rsid w:val="00B96BA4"/>
    <w:rsid w:val="00B978CE"/>
    <w:rsid w:val="00BA08B2"/>
    <w:rsid w:val="00BA10C7"/>
    <w:rsid w:val="00BA3348"/>
    <w:rsid w:val="00BA4067"/>
    <w:rsid w:val="00BA49F3"/>
    <w:rsid w:val="00BA4D39"/>
    <w:rsid w:val="00BA63A2"/>
    <w:rsid w:val="00BA73A5"/>
    <w:rsid w:val="00BB0DBF"/>
    <w:rsid w:val="00BB0FF1"/>
    <w:rsid w:val="00BB19B5"/>
    <w:rsid w:val="00BB219B"/>
    <w:rsid w:val="00BB26FF"/>
    <w:rsid w:val="00BB294C"/>
    <w:rsid w:val="00BB2B4F"/>
    <w:rsid w:val="00BB3167"/>
    <w:rsid w:val="00BB317F"/>
    <w:rsid w:val="00BB44CB"/>
    <w:rsid w:val="00BB5AD3"/>
    <w:rsid w:val="00BB5F1C"/>
    <w:rsid w:val="00BB5F90"/>
    <w:rsid w:val="00BB733E"/>
    <w:rsid w:val="00BB73CB"/>
    <w:rsid w:val="00BC1809"/>
    <w:rsid w:val="00BC2235"/>
    <w:rsid w:val="00BC2C7B"/>
    <w:rsid w:val="00BC32A2"/>
    <w:rsid w:val="00BC4762"/>
    <w:rsid w:val="00BC54D2"/>
    <w:rsid w:val="00BC5914"/>
    <w:rsid w:val="00BC5BE0"/>
    <w:rsid w:val="00BC625E"/>
    <w:rsid w:val="00BC68A7"/>
    <w:rsid w:val="00BD03E9"/>
    <w:rsid w:val="00BD0833"/>
    <w:rsid w:val="00BD0876"/>
    <w:rsid w:val="00BD199F"/>
    <w:rsid w:val="00BD3A1E"/>
    <w:rsid w:val="00BD3E2E"/>
    <w:rsid w:val="00BD57D9"/>
    <w:rsid w:val="00BD60CB"/>
    <w:rsid w:val="00BD6BF6"/>
    <w:rsid w:val="00BD70AB"/>
    <w:rsid w:val="00BD736C"/>
    <w:rsid w:val="00BD7447"/>
    <w:rsid w:val="00BD770F"/>
    <w:rsid w:val="00BD7DB5"/>
    <w:rsid w:val="00BE0571"/>
    <w:rsid w:val="00BE1513"/>
    <w:rsid w:val="00BE3B4C"/>
    <w:rsid w:val="00BE46DE"/>
    <w:rsid w:val="00BE62AD"/>
    <w:rsid w:val="00BE6F94"/>
    <w:rsid w:val="00BE7085"/>
    <w:rsid w:val="00BF04C8"/>
    <w:rsid w:val="00BF1D2B"/>
    <w:rsid w:val="00BF1E09"/>
    <w:rsid w:val="00BF2CFB"/>
    <w:rsid w:val="00BF4478"/>
    <w:rsid w:val="00C00299"/>
    <w:rsid w:val="00C00B9E"/>
    <w:rsid w:val="00C01DA8"/>
    <w:rsid w:val="00C0338E"/>
    <w:rsid w:val="00C03430"/>
    <w:rsid w:val="00C041E0"/>
    <w:rsid w:val="00C043D0"/>
    <w:rsid w:val="00C06305"/>
    <w:rsid w:val="00C06458"/>
    <w:rsid w:val="00C075DE"/>
    <w:rsid w:val="00C10942"/>
    <w:rsid w:val="00C11C42"/>
    <w:rsid w:val="00C123AA"/>
    <w:rsid w:val="00C13118"/>
    <w:rsid w:val="00C13871"/>
    <w:rsid w:val="00C13C57"/>
    <w:rsid w:val="00C14562"/>
    <w:rsid w:val="00C14C06"/>
    <w:rsid w:val="00C15725"/>
    <w:rsid w:val="00C1730D"/>
    <w:rsid w:val="00C1796A"/>
    <w:rsid w:val="00C20077"/>
    <w:rsid w:val="00C20283"/>
    <w:rsid w:val="00C206D7"/>
    <w:rsid w:val="00C20CC0"/>
    <w:rsid w:val="00C217A2"/>
    <w:rsid w:val="00C230BF"/>
    <w:rsid w:val="00C23F3A"/>
    <w:rsid w:val="00C2687A"/>
    <w:rsid w:val="00C27010"/>
    <w:rsid w:val="00C273FD"/>
    <w:rsid w:val="00C275B2"/>
    <w:rsid w:val="00C30187"/>
    <w:rsid w:val="00C30581"/>
    <w:rsid w:val="00C30927"/>
    <w:rsid w:val="00C30ED0"/>
    <w:rsid w:val="00C317CC"/>
    <w:rsid w:val="00C32796"/>
    <w:rsid w:val="00C32F58"/>
    <w:rsid w:val="00C33879"/>
    <w:rsid w:val="00C33C5C"/>
    <w:rsid w:val="00C34707"/>
    <w:rsid w:val="00C348B3"/>
    <w:rsid w:val="00C34DE9"/>
    <w:rsid w:val="00C36490"/>
    <w:rsid w:val="00C366C2"/>
    <w:rsid w:val="00C369D6"/>
    <w:rsid w:val="00C37826"/>
    <w:rsid w:val="00C41C51"/>
    <w:rsid w:val="00C429D5"/>
    <w:rsid w:val="00C42BB1"/>
    <w:rsid w:val="00C4302C"/>
    <w:rsid w:val="00C44712"/>
    <w:rsid w:val="00C46373"/>
    <w:rsid w:val="00C4734B"/>
    <w:rsid w:val="00C51674"/>
    <w:rsid w:val="00C52703"/>
    <w:rsid w:val="00C53089"/>
    <w:rsid w:val="00C54A0D"/>
    <w:rsid w:val="00C54DBC"/>
    <w:rsid w:val="00C553FA"/>
    <w:rsid w:val="00C558C4"/>
    <w:rsid w:val="00C55D48"/>
    <w:rsid w:val="00C55DFF"/>
    <w:rsid w:val="00C56429"/>
    <w:rsid w:val="00C566B1"/>
    <w:rsid w:val="00C56C13"/>
    <w:rsid w:val="00C576F9"/>
    <w:rsid w:val="00C57D32"/>
    <w:rsid w:val="00C6030B"/>
    <w:rsid w:val="00C61349"/>
    <w:rsid w:val="00C63CAF"/>
    <w:rsid w:val="00C65775"/>
    <w:rsid w:val="00C65ED8"/>
    <w:rsid w:val="00C70BB7"/>
    <w:rsid w:val="00C712AA"/>
    <w:rsid w:val="00C72460"/>
    <w:rsid w:val="00C72991"/>
    <w:rsid w:val="00C73A60"/>
    <w:rsid w:val="00C74842"/>
    <w:rsid w:val="00C74AC0"/>
    <w:rsid w:val="00C74FB1"/>
    <w:rsid w:val="00C75788"/>
    <w:rsid w:val="00C76550"/>
    <w:rsid w:val="00C7669D"/>
    <w:rsid w:val="00C77747"/>
    <w:rsid w:val="00C806CC"/>
    <w:rsid w:val="00C81E4A"/>
    <w:rsid w:val="00C824F4"/>
    <w:rsid w:val="00C83298"/>
    <w:rsid w:val="00C836E8"/>
    <w:rsid w:val="00C83C94"/>
    <w:rsid w:val="00C83ECC"/>
    <w:rsid w:val="00C8516B"/>
    <w:rsid w:val="00C859DA"/>
    <w:rsid w:val="00C85E23"/>
    <w:rsid w:val="00C864BB"/>
    <w:rsid w:val="00C86FAE"/>
    <w:rsid w:val="00C871D6"/>
    <w:rsid w:val="00C872AA"/>
    <w:rsid w:val="00C87301"/>
    <w:rsid w:val="00C87CAF"/>
    <w:rsid w:val="00C903C5"/>
    <w:rsid w:val="00C909F5"/>
    <w:rsid w:val="00C91840"/>
    <w:rsid w:val="00C91EFF"/>
    <w:rsid w:val="00C9207A"/>
    <w:rsid w:val="00C93C4D"/>
    <w:rsid w:val="00C943BF"/>
    <w:rsid w:val="00C94C0D"/>
    <w:rsid w:val="00C954D9"/>
    <w:rsid w:val="00C96174"/>
    <w:rsid w:val="00C97A69"/>
    <w:rsid w:val="00C97FD0"/>
    <w:rsid w:val="00CA2529"/>
    <w:rsid w:val="00CA29D7"/>
    <w:rsid w:val="00CA2FDA"/>
    <w:rsid w:val="00CA3191"/>
    <w:rsid w:val="00CA32F8"/>
    <w:rsid w:val="00CA3E26"/>
    <w:rsid w:val="00CA413F"/>
    <w:rsid w:val="00CA5DD1"/>
    <w:rsid w:val="00CA6C64"/>
    <w:rsid w:val="00CA7127"/>
    <w:rsid w:val="00CA7C12"/>
    <w:rsid w:val="00CA7ED7"/>
    <w:rsid w:val="00CB01D8"/>
    <w:rsid w:val="00CB0876"/>
    <w:rsid w:val="00CB2076"/>
    <w:rsid w:val="00CB213D"/>
    <w:rsid w:val="00CB37D1"/>
    <w:rsid w:val="00CB51E6"/>
    <w:rsid w:val="00CC0BB5"/>
    <w:rsid w:val="00CC0F75"/>
    <w:rsid w:val="00CC12A4"/>
    <w:rsid w:val="00CC152F"/>
    <w:rsid w:val="00CC15DA"/>
    <w:rsid w:val="00CC1EF0"/>
    <w:rsid w:val="00CC2F2E"/>
    <w:rsid w:val="00CC47CD"/>
    <w:rsid w:val="00CC4EA3"/>
    <w:rsid w:val="00CC5261"/>
    <w:rsid w:val="00CC7EC0"/>
    <w:rsid w:val="00CD062E"/>
    <w:rsid w:val="00CD193C"/>
    <w:rsid w:val="00CD248B"/>
    <w:rsid w:val="00CD3148"/>
    <w:rsid w:val="00CD3685"/>
    <w:rsid w:val="00CD41E6"/>
    <w:rsid w:val="00CD47FB"/>
    <w:rsid w:val="00CD5615"/>
    <w:rsid w:val="00CD5631"/>
    <w:rsid w:val="00CD6691"/>
    <w:rsid w:val="00CD74E4"/>
    <w:rsid w:val="00CE023C"/>
    <w:rsid w:val="00CE096D"/>
    <w:rsid w:val="00CE0B5B"/>
    <w:rsid w:val="00CE175B"/>
    <w:rsid w:val="00CE1A75"/>
    <w:rsid w:val="00CE27E0"/>
    <w:rsid w:val="00CE3685"/>
    <w:rsid w:val="00CE36B6"/>
    <w:rsid w:val="00CE3A9C"/>
    <w:rsid w:val="00CE3C99"/>
    <w:rsid w:val="00CE6863"/>
    <w:rsid w:val="00CE6AC6"/>
    <w:rsid w:val="00CE6BB5"/>
    <w:rsid w:val="00CE6C55"/>
    <w:rsid w:val="00CF3504"/>
    <w:rsid w:val="00CF3FCF"/>
    <w:rsid w:val="00CF4810"/>
    <w:rsid w:val="00CF4D7F"/>
    <w:rsid w:val="00CF55BF"/>
    <w:rsid w:val="00CF5C21"/>
    <w:rsid w:val="00CF7837"/>
    <w:rsid w:val="00D000CF"/>
    <w:rsid w:val="00D003CB"/>
    <w:rsid w:val="00D005D1"/>
    <w:rsid w:val="00D0066A"/>
    <w:rsid w:val="00D0095E"/>
    <w:rsid w:val="00D01A3A"/>
    <w:rsid w:val="00D01F92"/>
    <w:rsid w:val="00D0330D"/>
    <w:rsid w:val="00D04E77"/>
    <w:rsid w:val="00D053CF"/>
    <w:rsid w:val="00D0612E"/>
    <w:rsid w:val="00D065AF"/>
    <w:rsid w:val="00D07A7C"/>
    <w:rsid w:val="00D07B30"/>
    <w:rsid w:val="00D107B8"/>
    <w:rsid w:val="00D10D4C"/>
    <w:rsid w:val="00D11AE6"/>
    <w:rsid w:val="00D11CB6"/>
    <w:rsid w:val="00D11F74"/>
    <w:rsid w:val="00D12402"/>
    <w:rsid w:val="00D1251C"/>
    <w:rsid w:val="00D1391E"/>
    <w:rsid w:val="00D14FE6"/>
    <w:rsid w:val="00D15FD5"/>
    <w:rsid w:val="00D1615A"/>
    <w:rsid w:val="00D17508"/>
    <w:rsid w:val="00D20370"/>
    <w:rsid w:val="00D20501"/>
    <w:rsid w:val="00D21ECA"/>
    <w:rsid w:val="00D24566"/>
    <w:rsid w:val="00D24F34"/>
    <w:rsid w:val="00D2508F"/>
    <w:rsid w:val="00D255E5"/>
    <w:rsid w:val="00D26037"/>
    <w:rsid w:val="00D27E29"/>
    <w:rsid w:val="00D30935"/>
    <w:rsid w:val="00D3139E"/>
    <w:rsid w:val="00D31989"/>
    <w:rsid w:val="00D320C1"/>
    <w:rsid w:val="00D3405F"/>
    <w:rsid w:val="00D34F97"/>
    <w:rsid w:val="00D3542A"/>
    <w:rsid w:val="00D36747"/>
    <w:rsid w:val="00D36BC2"/>
    <w:rsid w:val="00D37B66"/>
    <w:rsid w:val="00D40B31"/>
    <w:rsid w:val="00D42613"/>
    <w:rsid w:val="00D427EF"/>
    <w:rsid w:val="00D4383A"/>
    <w:rsid w:val="00D44317"/>
    <w:rsid w:val="00D443E3"/>
    <w:rsid w:val="00D444AC"/>
    <w:rsid w:val="00D447AC"/>
    <w:rsid w:val="00D44C19"/>
    <w:rsid w:val="00D46BBE"/>
    <w:rsid w:val="00D47D8D"/>
    <w:rsid w:val="00D50427"/>
    <w:rsid w:val="00D51549"/>
    <w:rsid w:val="00D522F7"/>
    <w:rsid w:val="00D5260F"/>
    <w:rsid w:val="00D55AF4"/>
    <w:rsid w:val="00D56400"/>
    <w:rsid w:val="00D565C2"/>
    <w:rsid w:val="00D616B7"/>
    <w:rsid w:val="00D61ADB"/>
    <w:rsid w:val="00D6237B"/>
    <w:rsid w:val="00D62E5E"/>
    <w:rsid w:val="00D6530D"/>
    <w:rsid w:val="00D66A04"/>
    <w:rsid w:val="00D66DBD"/>
    <w:rsid w:val="00D6784D"/>
    <w:rsid w:val="00D70F68"/>
    <w:rsid w:val="00D7143D"/>
    <w:rsid w:val="00D724CB"/>
    <w:rsid w:val="00D725BA"/>
    <w:rsid w:val="00D742A4"/>
    <w:rsid w:val="00D743F2"/>
    <w:rsid w:val="00D7536A"/>
    <w:rsid w:val="00D759B5"/>
    <w:rsid w:val="00D76A9B"/>
    <w:rsid w:val="00D77136"/>
    <w:rsid w:val="00D77816"/>
    <w:rsid w:val="00D778A0"/>
    <w:rsid w:val="00D77DD1"/>
    <w:rsid w:val="00D80B87"/>
    <w:rsid w:val="00D80BAD"/>
    <w:rsid w:val="00D8259C"/>
    <w:rsid w:val="00D82A3A"/>
    <w:rsid w:val="00D837E3"/>
    <w:rsid w:val="00D83BC3"/>
    <w:rsid w:val="00D83F5E"/>
    <w:rsid w:val="00D8452B"/>
    <w:rsid w:val="00D84931"/>
    <w:rsid w:val="00D860D3"/>
    <w:rsid w:val="00D86F58"/>
    <w:rsid w:val="00D913BC"/>
    <w:rsid w:val="00D926BF"/>
    <w:rsid w:val="00D92AC3"/>
    <w:rsid w:val="00D92C9B"/>
    <w:rsid w:val="00D93A19"/>
    <w:rsid w:val="00D94E71"/>
    <w:rsid w:val="00D964B4"/>
    <w:rsid w:val="00D96957"/>
    <w:rsid w:val="00D96965"/>
    <w:rsid w:val="00D96D46"/>
    <w:rsid w:val="00DA0516"/>
    <w:rsid w:val="00DA1720"/>
    <w:rsid w:val="00DA1DA0"/>
    <w:rsid w:val="00DA206E"/>
    <w:rsid w:val="00DA22F0"/>
    <w:rsid w:val="00DA26CA"/>
    <w:rsid w:val="00DA270D"/>
    <w:rsid w:val="00DA289D"/>
    <w:rsid w:val="00DA3891"/>
    <w:rsid w:val="00DA4A2A"/>
    <w:rsid w:val="00DA4D9F"/>
    <w:rsid w:val="00DA5926"/>
    <w:rsid w:val="00DA5AC4"/>
    <w:rsid w:val="00DA753B"/>
    <w:rsid w:val="00DB0B80"/>
    <w:rsid w:val="00DB1538"/>
    <w:rsid w:val="00DB1834"/>
    <w:rsid w:val="00DB31D4"/>
    <w:rsid w:val="00DB4B58"/>
    <w:rsid w:val="00DB63BE"/>
    <w:rsid w:val="00DC0ACC"/>
    <w:rsid w:val="00DC6286"/>
    <w:rsid w:val="00DC6B1E"/>
    <w:rsid w:val="00DC7436"/>
    <w:rsid w:val="00DC7CAF"/>
    <w:rsid w:val="00DD125D"/>
    <w:rsid w:val="00DD2480"/>
    <w:rsid w:val="00DD2A9D"/>
    <w:rsid w:val="00DD416D"/>
    <w:rsid w:val="00DD478B"/>
    <w:rsid w:val="00DD5120"/>
    <w:rsid w:val="00DD51C8"/>
    <w:rsid w:val="00DD5D32"/>
    <w:rsid w:val="00DD68B0"/>
    <w:rsid w:val="00DD7675"/>
    <w:rsid w:val="00DE049B"/>
    <w:rsid w:val="00DE0743"/>
    <w:rsid w:val="00DE10E9"/>
    <w:rsid w:val="00DE120F"/>
    <w:rsid w:val="00DE163A"/>
    <w:rsid w:val="00DE17BD"/>
    <w:rsid w:val="00DE1B65"/>
    <w:rsid w:val="00DE1D03"/>
    <w:rsid w:val="00DE27F1"/>
    <w:rsid w:val="00DE2928"/>
    <w:rsid w:val="00DE33BA"/>
    <w:rsid w:val="00DE376F"/>
    <w:rsid w:val="00DE392C"/>
    <w:rsid w:val="00DE3AE6"/>
    <w:rsid w:val="00DE52ED"/>
    <w:rsid w:val="00DE56A2"/>
    <w:rsid w:val="00DE5E11"/>
    <w:rsid w:val="00DE67A8"/>
    <w:rsid w:val="00DE740E"/>
    <w:rsid w:val="00DE7B8D"/>
    <w:rsid w:val="00DF0304"/>
    <w:rsid w:val="00DF0638"/>
    <w:rsid w:val="00DF1594"/>
    <w:rsid w:val="00DF2997"/>
    <w:rsid w:val="00DF3386"/>
    <w:rsid w:val="00DF348E"/>
    <w:rsid w:val="00DF4D0B"/>
    <w:rsid w:val="00DF51EF"/>
    <w:rsid w:val="00DF7115"/>
    <w:rsid w:val="00E01B36"/>
    <w:rsid w:val="00E02754"/>
    <w:rsid w:val="00E0295B"/>
    <w:rsid w:val="00E03D02"/>
    <w:rsid w:val="00E04617"/>
    <w:rsid w:val="00E04E45"/>
    <w:rsid w:val="00E06430"/>
    <w:rsid w:val="00E07DAE"/>
    <w:rsid w:val="00E10737"/>
    <w:rsid w:val="00E10992"/>
    <w:rsid w:val="00E11F80"/>
    <w:rsid w:val="00E12907"/>
    <w:rsid w:val="00E14BA5"/>
    <w:rsid w:val="00E15F3D"/>
    <w:rsid w:val="00E16115"/>
    <w:rsid w:val="00E16621"/>
    <w:rsid w:val="00E178DC"/>
    <w:rsid w:val="00E20B92"/>
    <w:rsid w:val="00E21664"/>
    <w:rsid w:val="00E24DCF"/>
    <w:rsid w:val="00E26267"/>
    <w:rsid w:val="00E265D3"/>
    <w:rsid w:val="00E268AB"/>
    <w:rsid w:val="00E26C66"/>
    <w:rsid w:val="00E26D33"/>
    <w:rsid w:val="00E27CCD"/>
    <w:rsid w:val="00E307AB"/>
    <w:rsid w:val="00E318E7"/>
    <w:rsid w:val="00E31FDC"/>
    <w:rsid w:val="00E33271"/>
    <w:rsid w:val="00E33A59"/>
    <w:rsid w:val="00E33FBE"/>
    <w:rsid w:val="00E35B87"/>
    <w:rsid w:val="00E36E6E"/>
    <w:rsid w:val="00E417DA"/>
    <w:rsid w:val="00E41947"/>
    <w:rsid w:val="00E422A6"/>
    <w:rsid w:val="00E42460"/>
    <w:rsid w:val="00E42816"/>
    <w:rsid w:val="00E431D0"/>
    <w:rsid w:val="00E43F7A"/>
    <w:rsid w:val="00E4662E"/>
    <w:rsid w:val="00E46781"/>
    <w:rsid w:val="00E4791B"/>
    <w:rsid w:val="00E50484"/>
    <w:rsid w:val="00E50884"/>
    <w:rsid w:val="00E526DF"/>
    <w:rsid w:val="00E5306A"/>
    <w:rsid w:val="00E53A85"/>
    <w:rsid w:val="00E5622C"/>
    <w:rsid w:val="00E570E0"/>
    <w:rsid w:val="00E5768D"/>
    <w:rsid w:val="00E60415"/>
    <w:rsid w:val="00E6109C"/>
    <w:rsid w:val="00E62419"/>
    <w:rsid w:val="00E62B5A"/>
    <w:rsid w:val="00E631D0"/>
    <w:rsid w:val="00E63469"/>
    <w:rsid w:val="00E64638"/>
    <w:rsid w:val="00E6494E"/>
    <w:rsid w:val="00E64F75"/>
    <w:rsid w:val="00E65B19"/>
    <w:rsid w:val="00E6743E"/>
    <w:rsid w:val="00E67572"/>
    <w:rsid w:val="00E700D2"/>
    <w:rsid w:val="00E71FEF"/>
    <w:rsid w:val="00E72220"/>
    <w:rsid w:val="00E72FB5"/>
    <w:rsid w:val="00E74646"/>
    <w:rsid w:val="00E75B06"/>
    <w:rsid w:val="00E7635C"/>
    <w:rsid w:val="00E804E0"/>
    <w:rsid w:val="00E80CB8"/>
    <w:rsid w:val="00E810D4"/>
    <w:rsid w:val="00E814F5"/>
    <w:rsid w:val="00E81CCC"/>
    <w:rsid w:val="00E822F3"/>
    <w:rsid w:val="00E84146"/>
    <w:rsid w:val="00E84D3F"/>
    <w:rsid w:val="00E85B93"/>
    <w:rsid w:val="00E8652F"/>
    <w:rsid w:val="00E86F35"/>
    <w:rsid w:val="00E905C1"/>
    <w:rsid w:val="00E91514"/>
    <w:rsid w:val="00E94A27"/>
    <w:rsid w:val="00E94B8B"/>
    <w:rsid w:val="00E95A47"/>
    <w:rsid w:val="00E95FD2"/>
    <w:rsid w:val="00E97ACB"/>
    <w:rsid w:val="00EA116C"/>
    <w:rsid w:val="00EA1A54"/>
    <w:rsid w:val="00EA212B"/>
    <w:rsid w:val="00EA33E8"/>
    <w:rsid w:val="00EA5948"/>
    <w:rsid w:val="00EA5C4B"/>
    <w:rsid w:val="00EA6106"/>
    <w:rsid w:val="00EA6681"/>
    <w:rsid w:val="00EA735E"/>
    <w:rsid w:val="00EA7B2C"/>
    <w:rsid w:val="00EA7F84"/>
    <w:rsid w:val="00EB0319"/>
    <w:rsid w:val="00EB0E03"/>
    <w:rsid w:val="00EB10B7"/>
    <w:rsid w:val="00EB2165"/>
    <w:rsid w:val="00EB2855"/>
    <w:rsid w:val="00EB2F66"/>
    <w:rsid w:val="00EB5557"/>
    <w:rsid w:val="00EB6756"/>
    <w:rsid w:val="00EB6994"/>
    <w:rsid w:val="00EC0167"/>
    <w:rsid w:val="00EC026F"/>
    <w:rsid w:val="00EC094B"/>
    <w:rsid w:val="00EC12C5"/>
    <w:rsid w:val="00EC1616"/>
    <w:rsid w:val="00EC2EE8"/>
    <w:rsid w:val="00EC4D2B"/>
    <w:rsid w:val="00EC587E"/>
    <w:rsid w:val="00EC76E9"/>
    <w:rsid w:val="00EC7B45"/>
    <w:rsid w:val="00ED08F3"/>
    <w:rsid w:val="00ED1402"/>
    <w:rsid w:val="00ED1A52"/>
    <w:rsid w:val="00ED213A"/>
    <w:rsid w:val="00ED2A3A"/>
    <w:rsid w:val="00ED36BD"/>
    <w:rsid w:val="00ED38D8"/>
    <w:rsid w:val="00ED39CB"/>
    <w:rsid w:val="00ED3B09"/>
    <w:rsid w:val="00ED3EAC"/>
    <w:rsid w:val="00ED42A9"/>
    <w:rsid w:val="00ED4CC4"/>
    <w:rsid w:val="00ED4E6D"/>
    <w:rsid w:val="00ED59D5"/>
    <w:rsid w:val="00ED6437"/>
    <w:rsid w:val="00ED7100"/>
    <w:rsid w:val="00EE01B7"/>
    <w:rsid w:val="00EE0788"/>
    <w:rsid w:val="00EE0B20"/>
    <w:rsid w:val="00EE118A"/>
    <w:rsid w:val="00EE2974"/>
    <w:rsid w:val="00EE2E03"/>
    <w:rsid w:val="00EE424C"/>
    <w:rsid w:val="00EE4AB3"/>
    <w:rsid w:val="00EE6023"/>
    <w:rsid w:val="00EE7066"/>
    <w:rsid w:val="00EE7A83"/>
    <w:rsid w:val="00EF164E"/>
    <w:rsid w:val="00EF1F60"/>
    <w:rsid w:val="00EF3292"/>
    <w:rsid w:val="00EF347E"/>
    <w:rsid w:val="00EF37B0"/>
    <w:rsid w:val="00EF418A"/>
    <w:rsid w:val="00EF4EDE"/>
    <w:rsid w:val="00EF6D86"/>
    <w:rsid w:val="00EF7F1F"/>
    <w:rsid w:val="00F00410"/>
    <w:rsid w:val="00F00C2B"/>
    <w:rsid w:val="00F01253"/>
    <w:rsid w:val="00F03DDC"/>
    <w:rsid w:val="00F04C0D"/>
    <w:rsid w:val="00F053C3"/>
    <w:rsid w:val="00F0684C"/>
    <w:rsid w:val="00F0778A"/>
    <w:rsid w:val="00F10C90"/>
    <w:rsid w:val="00F11697"/>
    <w:rsid w:val="00F11978"/>
    <w:rsid w:val="00F12BC3"/>
    <w:rsid w:val="00F15A41"/>
    <w:rsid w:val="00F162C2"/>
    <w:rsid w:val="00F165C1"/>
    <w:rsid w:val="00F170D2"/>
    <w:rsid w:val="00F2185A"/>
    <w:rsid w:val="00F22DBD"/>
    <w:rsid w:val="00F23929"/>
    <w:rsid w:val="00F256A3"/>
    <w:rsid w:val="00F268D8"/>
    <w:rsid w:val="00F27689"/>
    <w:rsid w:val="00F30445"/>
    <w:rsid w:val="00F306CA"/>
    <w:rsid w:val="00F30B22"/>
    <w:rsid w:val="00F3164B"/>
    <w:rsid w:val="00F32C82"/>
    <w:rsid w:val="00F33662"/>
    <w:rsid w:val="00F33BA6"/>
    <w:rsid w:val="00F34578"/>
    <w:rsid w:val="00F34F97"/>
    <w:rsid w:val="00F35571"/>
    <w:rsid w:val="00F369BD"/>
    <w:rsid w:val="00F36C23"/>
    <w:rsid w:val="00F37813"/>
    <w:rsid w:val="00F37FD8"/>
    <w:rsid w:val="00F40431"/>
    <w:rsid w:val="00F406C6"/>
    <w:rsid w:val="00F42E5D"/>
    <w:rsid w:val="00F43C2E"/>
    <w:rsid w:val="00F44D26"/>
    <w:rsid w:val="00F452E2"/>
    <w:rsid w:val="00F4579D"/>
    <w:rsid w:val="00F47E7B"/>
    <w:rsid w:val="00F50593"/>
    <w:rsid w:val="00F5091F"/>
    <w:rsid w:val="00F50F61"/>
    <w:rsid w:val="00F510A9"/>
    <w:rsid w:val="00F51BDD"/>
    <w:rsid w:val="00F5431E"/>
    <w:rsid w:val="00F56969"/>
    <w:rsid w:val="00F56B36"/>
    <w:rsid w:val="00F56B6D"/>
    <w:rsid w:val="00F5785A"/>
    <w:rsid w:val="00F57ABC"/>
    <w:rsid w:val="00F62904"/>
    <w:rsid w:val="00F6405A"/>
    <w:rsid w:val="00F65958"/>
    <w:rsid w:val="00F66E3F"/>
    <w:rsid w:val="00F67700"/>
    <w:rsid w:val="00F67A0C"/>
    <w:rsid w:val="00F70270"/>
    <w:rsid w:val="00F70433"/>
    <w:rsid w:val="00F7238B"/>
    <w:rsid w:val="00F72E28"/>
    <w:rsid w:val="00F742D7"/>
    <w:rsid w:val="00F7517A"/>
    <w:rsid w:val="00F754B8"/>
    <w:rsid w:val="00F760A6"/>
    <w:rsid w:val="00F76E1B"/>
    <w:rsid w:val="00F771B9"/>
    <w:rsid w:val="00F77359"/>
    <w:rsid w:val="00F81CBB"/>
    <w:rsid w:val="00F81D07"/>
    <w:rsid w:val="00F83E52"/>
    <w:rsid w:val="00F844A4"/>
    <w:rsid w:val="00F84821"/>
    <w:rsid w:val="00F84AA0"/>
    <w:rsid w:val="00F851C2"/>
    <w:rsid w:val="00F86D50"/>
    <w:rsid w:val="00F86F57"/>
    <w:rsid w:val="00F87484"/>
    <w:rsid w:val="00F9020E"/>
    <w:rsid w:val="00F91C28"/>
    <w:rsid w:val="00F91CB6"/>
    <w:rsid w:val="00F93CCB"/>
    <w:rsid w:val="00F94111"/>
    <w:rsid w:val="00F949C7"/>
    <w:rsid w:val="00F94E1C"/>
    <w:rsid w:val="00F953D6"/>
    <w:rsid w:val="00F96AC4"/>
    <w:rsid w:val="00F9700B"/>
    <w:rsid w:val="00F9704F"/>
    <w:rsid w:val="00F9771C"/>
    <w:rsid w:val="00F97EF8"/>
    <w:rsid w:val="00FA07EB"/>
    <w:rsid w:val="00FA38CB"/>
    <w:rsid w:val="00FA5B51"/>
    <w:rsid w:val="00FA5C9B"/>
    <w:rsid w:val="00FA6403"/>
    <w:rsid w:val="00FA7243"/>
    <w:rsid w:val="00FA778A"/>
    <w:rsid w:val="00FA7CCB"/>
    <w:rsid w:val="00FA7E72"/>
    <w:rsid w:val="00FB01C5"/>
    <w:rsid w:val="00FB35BD"/>
    <w:rsid w:val="00FB364B"/>
    <w:rsid w:val="00FB3AE3"/>
    <w:rsid w:val="00FB4488"/>
    <w:rsid w:val="00FB62DF"/>
    <w:rsid w:val="00FB752C"/>
    <w:rsid w:val="00FC083A"/>
    <w:rsid w:val="00FC141B"/>
    <w:rsid w:val="00FC1425"/>
    <w:rsid w:val="00FC22DB"/>
    <w:rsid w:val="00FC2C07"/>
    <w:rsid w:val="00FC354A"/>
    <w:rsid w:val="00FC3835"/>
    <w:rsid w:val="00FC3C31"/>
    <w:rsid w:val="00FC5610"/>
    <w:rsid w:val="00FC605C"/>
    <w:rsid w:val="00FC6EDB"/>
    <w:rsid w:val="00FC75A6"/>
    <w:rsid w:val="00FD0BB1"/>
    <w:rsid w:val="00FD122E"/>
    <w:rsid w:val="00FD1BF8"/>
    <w:rsid w:val="00FD1ECD"/>
    <w:rsid w:val="00FD2194"/>
    <w:rsid w:val="00FD36A5"/>
    <w:rsid w:val="00FD4CED"/>
    <w:rsid w:val="00FD6C4F"/>
    <w:rsid w:val="00FE093F"/>
    <w:rsid w:val="00FE1A75"/>
    <w:rsid w:val="00FE33CF"/>
    <w:rsid w:val="00FE5278"/>
    <w:rsid w:val="00FE58B6"/>
    <w:rsid w:val="00FE5B13"/>
    <w:rsid w:val="00FE6D3F"/>
    <w:rsid w:val="00FE7569"/>
    <w:rsid w:val="00FF35E6"/>
    <w:rsid w:val="00FF36FE"/>
    <w:rsid w:val="00FF4F00"/>
    <w:rsid w:val="00FF51DE"/>
    <w:rsid w:val="00FF5745"/>
    <w:rsid w:val="00FF5970"/>
    <w:rsid w:val="00FF5D68"/>
    <w:rsid w:val="00FF72D2"/>
    <w:rsid w:val="00FF78BE"/>
    <w:rsid w:val="016CD91E"/>
    <w:rsid w:val="01EAE7BE"/>
    <w:rsid w:val="02A4C021"/>
    <w:rsid w:val="04831526"/>
    <w:rsid w:val="05DC8367"/>
    <w:rsid w:val="06952C08"/>
    <w:rsid w:val="072AB463"/>
    <w:rsid w:val="078DD18A"/>
    <w:rsid w:val="0A8A2524"/>
    <w:rsid w:val="0AD31AA6"/>
    <w:rsid w:val="0B067EB4"/>
    <w:rsid w:val="0B55A9CD"/>
    <w:rsid w:val="0C10025A"/>
    <w:rsid w:val="0D1791F4"/>
    <w:rsid w:val="0D2A8D3C"/>
    <w:rsid w:val="0F168882"/>
    <w:rsid w:val="0F267551"/>
    <w:rsid w:val="0F4306FF"/>
    <w:rsid w:val="0F56C95D"/>
    <w:rsid w:val="0F8DA3D5"/>
    <w:rsid w:val="11E8624C"/>
    <w:rsid w:val="12CC185D"/>
    <w:rsid w:val="138B0482"/>
    <w:rsid w:val="14C14CD0"/>
    <w:rsid w:val="1D555990"/>
    <w:rsid w:val="1DBA16AA"/>
    <w:rsid w:val="1FB74564"/>
    <w:rsid w:val="20E851D8"/>
    <w:rsid w:val="23D743C0"/>
    <w:rsid w:val="240ABBB4"/>
    <w:rsid w:val="2486C15A"/>
    <w:rsid w:val="25AB5374"/>
    <w:rsid w:val="26285C99"/>
    <w:rsid w:val="26ED54C8"/>
    <w:rsid w:val="27AF1B7F"/>
    <w:rsid w:val="27D5707A"/>
    <w:rsid w:val="29AE2928"/>
    <w:rsid w:val="2A06D574"/>
    <w:rsid w:val="2C927751"/>
    <w:rsid w:val="2D92F0A2"/>
    <w:rsid w:val="2E41CA3E"/>
    <w:rsid w:val="2E466A08"/>
    <w:rsid w:val="3034FDF6"/>
    <w:rsid w:val="3059A0B5"/>
    <w:rsid w:val="31904390"/>
    <w:rsid w:val="31C7E2E1"/>
    <w:rsid w:val="36385390"/>
    <w:rsid w:val="37A43335"/>
    <w:rsid w:val="37A7B949"/>
    <w:rsid w:val="37CC12F3"/>
    <w:rsid w:val="3A1378A7"/>
    <w:rsid w:val="3AB4E49A"/>
    <w:rsid w:val="3B80D187"/>
    <w:rsid w:val="3C8CF28E"/>
    <w:rsid w:val="3DB32458"/>
    <w:rsid w:val="3F2573B5"/>
    <w:rsid w:val="3F4AE0BD"/>
    <w:rsid w:val="3F5C7993"/>
    <w:rsid w:val="3FDDB745"/>
    <w:rsid w:val="41E2BE88"/>
    <w:rsid w:val="41FB7CE0"/>
    <w:rsid w:val="425C4888"/>
    <w:rsid w:val="42EE6DF0"/>
    <w:rsid w:val="44A9B911"/>
    <w:rsid w:val="44DE7B40"/>
    <w:rsid w:val="44EE2C11"/>
    <w:rsid w:val="45987AF3"/>
    <w:rsid w:val="460506C2"/>
    <w:rsid w:val="47C9E7E7"/>
    <w:rsid w:val="4A0C30A0"/>
    <w:rsid w:val="4A21BF56"/>
    <w:rsid w:val="4BDD75AF"/>
    <w:rsid w:val="4C327885"/>
    <w:rsid w:val="4CEE8044"/>
    <w:rsid w:val="4EB273EA"/>
    <w:rsid w:val="4F669A22"/>
    <w:rsid w:val="50E30879"/>
    <w:rsid w:val="53299B65"/>
    <w:rsid w:val="54A807C4"/>
    <w:rsid w:val="54AB65B6"/>
    <w:rsid w:val="56ACD237"/>
    <w:rsid w:val="56E47FB3"/>
    <w:rsid w:val="57B276B7"/>
    <w:rsid w:val="5B581645"/>
    <w:rsid w:val="5BBD06EF"/>
    <w:rsid w:val="5CB4B133"/>
    <w:rsid w:val="5D021C1E"/>
    <w:rsid w:val="5ED92BC2"/>
    <w:rsid w:val="60798714"/>
    <w:rsid w:val="61131B37"/>
    <w:rsid w:val="61411E69"/>
    <w:rsid w:val="622B9228"/>
    <w:rsid w:val="627DAE39"/>
    <w:rsid w:val="6445D417"/>
    <w:rsid w:val="657DB81D"/>
    <w:rsid w:val="667B4A23"/>
    <w:rsid w:val="66FF964D"/>
    <w:rsid w:val="67AA08FB"/>
    <w:rsid w:val="69AAC901"/>
    <w:rsid w:val="6ADB0332"/>
    <w:rsid w:val="6B5DFB57"/>
    <w:rsid w:val="6BBE9F36"/>
    <w:rsid w:val="6D2D090B"/>
    <w:rsid w:val="70B2F8DB"/>
    <w:rsid w:val="72F74E24"/>
    <w:rsid w:val="74FEF03C"/>
    <w:rsid w:val="754CAB1B"/>
    <w:rsid w:val="7550E410"/>
    <w:rsid w:val="7659E805"/>
    <w:rsid w:val="771DD26D"/>
    <w:rsid w:val="777589A0"/>
    <w:rsid w:val="778970BD"/>
    <w:rsid w:val="790C88FB"/>
    <w:rsid w:val="7A450E1D"/>
    <w:rsid w:val="7A95C86D"/>
    <w:rsid w:val="7C1DAD68"/>
    <w:rsid w:val="7CF3AEC2"/>
    <w:rsid w:val="7D5D9235"/>
    <w:rsid w:val="7D5E9125"/>
    <w:rsid w:val="7FFC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EEE78F1"/>
  <w15:docId w15:val="{E136C114-EE68-416D-A483-41F1E739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84"/>
  </w:style>
  <w:style w:type="paragraph" w:styleId="Heading1">
    <w:name w:val="heading 1"/>
    <w:basedOn w:val="Normal"/>
    <w:next w:val="Normal"/>
    <w:link w:val="Heading1Char"/>
    <w:uiPriority w:val="9"/>
    <w:qFormat/>
    <w:rsid w:val="0088101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88101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88101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88101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unhideWhenUsed/>
    <w:qFormat/>
    <w:rsid w:val="0088101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88101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qFormat/>
    <w:rsid w:val="00881011"/>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unhideWhenUsed/>
    <w:qFormat/>
    <w:rsid w:val="0088101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unhideWhenUsed/>
    <w:qFormat/>
    <w:rsid w:val="0088101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011"/>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881011"/>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881011"/>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881011"/>
    <w:rPr>
      <w:rFonts w:asciiTheme="majorHAnsi" w:eastAsiaTheme="majorEastAsia" w:hAnsiTheme="majorHAnsi" w:cstheme="majorBidi"/>
      <w:i/>
      <w:iCs/>
      <w:color w:val="2F5496" w:themeColor="accent5" w:themeShade="BF"/>
      <w:sz w:val="25"/>
      <w:szCs w:val="25"/>
    </w:rPr>
  </w:style>
  <w:style w:type="paragraph" w:customStyle="1" w:styleId="Text1">
    <w:name w:val="Text 1"/>
    <w:basedOn w:val="Normal"/>
    <w:link w:val="Text1Char"/>
    <w:rsid w:val="009F32E3"/>
    <w:pPr>
      <w:spacing w:after="240" w:line="240" w:lineRule="auto"/>
      <w:ind w:left="482"/>
      <w:jc w:val="both"/>
    </w:pPr>
    <w:rPr>
      <w:rFonts w:ascii="Times New Roman" w:eastAsia="Times New Roman" w:hAnsi="Times New Roman"/>
      <w:sz w:val="24"/>
      <w:szCs w:val="20"/>
      <w:lang w:val="x-none"/>
    </w:rPr>
  </w:style>
  <w:style w:type="character" w:customStyle="1" w:styleId="Text1Char">
    <w:name w:val="Text 1 Char"/>
    <w:link w:val="Text1"/>
    <w:rsid w:val="009F32E3"/>
    <w:rPr>
      <w:rFonts w:ascii="Times New Roman" w:eastAsia="Times New Roman" w:hAnsi="Times New Roman"/>
      <w:sz w:val="24"/>
      <w:lang w:eastAsia="en-US"/>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n,Footnote text,Plonk,o,FußnotentextE"/>
    <w:basedOn w:val="Normal"/>
    <w:link w:val="FootnoteTextChar"/>
    <w:rsid w:val="009F32E3"/>
    <w:pPr>
      <w:spacing w:after="240" w:line="240" w:lineRule="auto"/>
      <w:ind w:left="357" w:hanging="357"/>
      <w:jc w:val="both"/>
    </w:pPr>
    <w:rPr>
      <w:rFonts w:ascii="Times New Roman" w:eastAsia="Times New Roman" w:hAnsi="Times New Roman"/>
      <w:sz w:val="20"/>
      <w:szCs w:val="20"/>
      <w:lang w:val="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1 Char Char1,Footnote Text Char Char Char1 Char Char"/>
    <w:link w:val="FootnoteText"/>
    <w:rsid w:val="009F32E3"/>
    <w:rPr>
      <w:rFonts w:ascii="Times New Roman" w:eastAsia="Times New Roman" w:hAnsi="Times New Roman"/>
      <w:lang w:eastAsia="en-US"/>
    </w:rPr>
  </w:style>
  <w:style w:type="character" w:styleId="FootnoteReference">
    <w:name w:val="footnote reference"/>
    <w:aliases w:val="EN Footnote Reference,-E Fußnotenzeichen,BVI fnr,Footnote,Footnote symbol,Footnote number,Footnote Reference Number,Footnote reference number,Times 10 Point,Exposant 3 Point,Footnote Reference Superscript,note TESI, BVI fnr"/>
    <w:link w:val="FootnotesymbolCharChar"/>
    <w:rsid w:val="009F32E3"/>
    <w:rPr>
      <w:vertAlign w:val="superscript"/>
    </w:rPr>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basedOn w:val="Normal"/>
    <w:link w:val="FootnoteReference"/>
    <w:rsid w:val="009F32E3"/>
    <w:pPr>
      <w:spacing w:before="120" w:line="240" w:lineRule="exact"/>
    </w:pPr>
    <w:rPr>
      <w:sz w:val="20"/>
      <w:szCs w:val="20"/>
      <w:vertAlign w:val="superscript"/>
      <w:lang w:val="x-none" w:eastAsia="x-none"/>
    </w:rPr>
  </w:style>
  <w:style w:type="paragraph" w:customStyle="1" w:styleId="ListDash1">
    <w:name w:val="List Dash 1"/>
    <w:basedOn w:val="Normal"/>
    <w:rsid w:val="00EB10B7"/>
    <w:pPr>
      <w:spacing w:after="240" w:line="240" w:lineRule="auto"/>
      <w:jc w:val="both"/>
    </w:pPr>
    <w:rPr>
      <w:rFonts w:ascii="Times New Roman" w:eastAsia="Times New Roman" w:hAnsi="Times New Roman"/>
      <w:sz w:val="24"/>
      <w:szCs w:val="20"/>
    </w:rPr>
  </w:style>
  <w:style w:type="paragraph" w:styleId="Caption">
    <w:name w:val="caption"/>
    <w:basedOn w:val="Normal"/>
    <w:next w:val="Normal"/>
    <w:uiPriority w:val="35"/>
    <w:unhideWhenUsed/>
    <w:qFormat/>
    <w:rsid w:val="00881011"/>
    <w:pPr>
      <w:spacing w:line="240" w:lineRule="auto"/>
    </w:pPr>
    <w:rPr>
      <w:b/>
      <w:bCs/>
      <w:smallCaps/>
      <w:color w:val="5B9BD5" w:themeColor="accent1"/>
      <w:spacing w:val="6"/>
    </w:rPr>
  </w:style>
  <w:style w:type="paragraph" w:customStyle="1" w:styleId="Default">
    <w:name w:val="Default"/>
    <w:rsid w:val="00EB10B7"/>
    <w:pPr>
      <w:autoSpaceDE w:val="0"/>
      <w:autoSpaceDN w:val="0"/>
      <w:adjustRightInd w:val="0"/>
    </w:pPr>
    <w:rPr>
      <w:rFonts w:ascii="Times New Roman" w:hAnsi="Times New Roman"/>
      <w:color w:val="000000"/>
      <w:sz w:val="24"/>
      <w:szCs w:val="24"/>
    </w:rPr>
  </w:style>
  <w:style w:type="paragraph" w:customStyle="1" w:styleId="CM4">
    <w:name w:val="CM4"/>
    <w:basedOn w:val="Normal"/>
    <w:next w:val="Normal"/>
    <w:uiPriority w:val="99"/>
    <w:rsid w:val="00EB10B7"/>
    <w:pPr>
      <w:autoSpaceDE w:val="0"/>
      <w:autoSpaceDN w:val="0"/>
      <w:adjustRightInd w:val="0"/>
      <w:spacing w:after="0" w:line="240" w:lineRule="auto"/>
    </w:pPr>
    <w:rPr>
      <w:rFonts w:ascii="EUAlbertina" w:hAnsi="EUAlbertina"/>
      <w:sz w:val="24"/>
      <w:szCs w:val="24"/>
    </w:rPr>
  </w:style>
  <w:style w:type="character" w:styleId="Hyperlink">
    <w:name w:val="Hyperlink"/>
    <w:uiPriority w:val="99"/>
    <w:unhideWhenUsed/>
    <w:rsid w:val="00EB10B7"/>
    <w:rPr>
      <w:color w:val="0000FF"/>
      <w:u w:val="single"/>
    </w:rPr>
  </w:style>
  <w:style w:type="character" w:styleId="Strong">
    <w:name w:val="Strong"/>
    <w:basedOn w:val="DefaultParagraphFont"/>
    <w:uiPriority w:val="22"/>
    <w:qFormat/>
    <w:rsid w:val="00881011"/>
    <w:rPr>
      <w:b/>
      <w:bCs/>
    </w:rPr>
  </w:style>
  <w:style w:type="paragraph" w:customStyle="1" w:styleId="GDLText">
    <w:name w:val="GDL Text"/>
    <w:basedOn w:val="Normal"/>
    <w:next w:val="Normal"/>
    <w:uiPriority w:val="99"/>
    <w:rsid w:val="000C67FE"/>
    <w:pPr>
      <w:autoSpaceDE w:val="0"/>
      <w:autoSpaceDN w:val="0"/>
      <w:adjustRightInd w:val="0"/>
      <w:spacing w:after="0" w:line="240" w:lineRule="auto"/>
    </w:pPr>
    <w:rPr>
      <w:rFonts w:ascii="Arial" w:hAnsi="Arial" w:cs="Arial"/>
      <w:sz w:val="24"/>
      <w:szCs w:val="24"/>
    </w:rPr>
  </w:style>
  <w:style w:type="character" w:customStyle="1" w:styleId="StylePara3TimesNewRoman11ptBoldItalicChar">
    <w:name w:val="Style Para_3 + Times New Roman 11 pt Bold Italic Char"/>
    <w:uiPriority w:val="99"/>
    <w:rsid w:val="000C67FE"/>
    <w:rPr>
      <w:color w:val="000000"/>
      <w:sz w:val="20"/>
      <w:szCs w:val="20"/>
    </w:rPr>
  </w:style>
  <w:style w:type="character" w:customStyle="1" w:styleId="Corpsdutexte">
    <w:name w:val="Corps du texte_"/>
    <w:link w:val="Corpsdutexte1"/>
    <w:uiPriority w:val="99"/>
    <w:rsid w:val="000C67FE"/>
    <w:rPr>
      <w:sz w:val="23"/>
      <w:szCs w:val="23"/>
      <w:shd w:val="clear" w:color="auto" w:fill="FFFFFF"/>
    </w:rPr>
  </w:style>
  <w:style w:type="paragraph" w:customStyle="1" w:styleId="Corpsdutexte1">
    <w:name w:val="Corps du texte1"/>
    <w:basedOn w:val="Normal"/>
    <w:link w:val="Corpsdutexte"/>
    <w:uiPriority w:val="99"/>
    <w:rsid w:val="000C67FE"/>
    <w:pPr>
      <w:widowControl w:val="0"/>
      <w:shd w:val="clear" w:color="auto" w:fill="FFFFFF"/>
      <w:spacing w:before="600" w:after="780" w:line="278" w:lineRule="exact"/>
      <w:jc w:val="both"/>
    </w:pPr>
    <w:rPr>
      <w:sz w:val="23"/>
      <w:szCs w:val="23"/>
      <w:lang w:val="x-none" w:eastAsia="x-none"/>
    </w:rPr>
  </w:style>
  <w:style w:type="character" w:customStyle="1" w:styleId="Corpsdutexte4">
    <w:name w:val="Corps du texte (4)_"/>
    <w:link w:val="Corpsdutexte40"/>
    <w:uiPriority w:val="99"/>
    <w:rsid w:val="000C67FE"/>
    <w:rPr>
      <w:i/>
      <w:iCs/>
      <w:sz w:val="23"/>
      <w:szCs w:val="23"/>
      <w:shd w:val="clear" w:color="auto" w:fill="FFFFFF"/>
    </w:rPr>
  </w:style>
  <w:style w:type="paragraph" w:customStyle="1" w:styleId="Corpsdutexte40">
    <w:name w:val="Corps du texte (4)"/>
    <w:basedOn w:val="Normal"/>
    <w:link w:val="Corpsdutexte4"/>
    <w:uiPriority w:val="99"/>
    <w:rsid w:val="000C67FE"/>
    <w:pPr>
      <w:widowControl w:val="0"/>
      <w:shd w:val="clear" w:color="auto" w:fill="FFFFFF"/>
      <w:spacing w:before="60" w:after="0" w:line="394" w:lineRule="exact"/>
      <w:ind w:hanging="420"/>
      <w:jc w:val="both"/>
    </w:pPr>
    <w:rPr>
      <w:i/>
      <w:iCs/>
      <w:sz w:val="23"/>
      <w:szCs w:val="23"/>
      <w:lang w:val="x-none" w:eastAsia="x-none"/>
    </w:rPr>
  </w:style>
  <w:style w:type="paragraph" w:styleId="TOCHeading">
    <w:name w:val="TOC Heading"/>
    <w:basedOn w:val="Heading1"/>
    <w:next w:val="Normal"/>
    <w:uiPriority w:val="39"/>
    <w:unhideWhenUsed/>
    <w:qFormat/>
    <w:rsid w:val="00881011"/>
    <w:pPr>
      <w:outlineLvl w:val="9"/>
    </w:pPr>
  </w:style>
  <w:style w:type="paragraph" w:styleId="TOC1">
    <w:name w:val="toc 1"/>
    <w:basedOn w:val="Normal"/>
    <w:next w:val="Normal"/>
    <w:autoRedefine/>
    <w:uiPriority w:val="39"/>
    <w:unhideWhenUsed/>
    <w:rsid w:val="00D778A0"/>
    <w:pPr>
      <w:tabs>
        <w:tab w:val="left" w:pos="284"/>
        <w:tab w:val="right" w:leader="dot" w:pos="9356"/>
      </w:tabs>
      <w:spacing w:after="0"/>
    </w:pPr>
  </w:style>
  <w:style w:type="paragraph" w:styleId="TOC2">
    <w:name w:val="toc 2"/>
    <w:basedOn w:val="Normal"/>
    <w:next w:val="Normal"/>
    <w:autoRedefine/>
    <w:uiPriority w:val="39"/>
    <w:unhideWhenUsed/>
    <w:rsid w:val="000E2D6E"/>
    <w:pPr>
      <w:tabs>
        <w:tab w:val="right" w:leader="dot" w:pos="9356"/>
      </w:tabs>
      <w:spacing w:after="0"/>
      <w:ind w:right="1008"/>
    </w:pPr>
  </w:style>
  <w:style w:type="paragraph" w:styleId="TableofFigures">
    <w:name w:val="table of figures"/>
    <w:basedOn w:val="Normal"/>
    <w:next w:val="Normal"/>
    <w:uiPriority w:val="99"/>
    <w:unhideWhenUsed/>
    <w:rsid w:val="000C67FE"/>
  </w:style>
  <w:style w:type="paragraph" w:styleId="BalloonText">
    <w:name w:val="Balloon Text"/>
    <w:basedOn w:val="Normal"/>
    <w:link w:val="BalloonTextChar"/>
    <w:uiPriority w:val="99"/>
    <w:unhideWhenUsed/>
    <w:rsid w:val="00FC083A"/>
    <w:pPr>
      <w:spacing w:after="0" w:line="240" w:lineRule="auto"/>
    </w:pPr>
    <w:rPr>
      <w:rFonts w:ascii="Tahoma" w:hAnsi="Tahoma"/>
      <w:sz w:val="16"/>
      <w:szCs w:val="16"/>
      <w:lang w:val="x-none"/>
    </w:rPr>
  </w:style>
  <w:style w:type="character" w:customStyle="1" w:styleId="BalloonTextChar">
    <w:name w:val="Balloon Text Char"/>
    <w:link w:val="BalloonText"/>
    <w:uiPriority w:val="99"/>
    <w:rsid w:val="00FC083A"/>
    <w:rPr>
      <w:rFonts w:ascii="Tahoma" w:hAnsi="Tahoma" w:cs="Tahoma"/>
      <w:sz w:val="16"/>
      <w:szCs w:val="16"/>
      <w:lang w:eastAsia="en-US"/>
    </w:rPr>
  </w:style>
  <w:style w:type="paragraph" w:styleId="Header">
    <w:name w:val="header"/>
    <w:basedOn w:val="Normal"/>
    <w:link w:val="HeaderChar"/>
    <w:uiPriority w:val="99"/>
    <w:unhideWhenUsed/>
    <w:rsid w:val="00600A2B"/>
    <w:pPr>
      <w:tabs>
        <w:tab w:val="center" w:pos="4536"/>
        <w:tab w:val="right" w:pos="9072"/>
      </w:tabs>
    </w:pPr>
    <w:rPr>
      <w:lang w:val="x-none"/>
    </w:rPr>
  </w:style>
  <w:style w:type="character" w:customStyle="1" w:styleId="HeaderChar">
    <w:name w:val="Header Char"/>
    <w:link w:val="Header"/>
    <w:uiPriority w:val="99"/>
    <w:rsid w:val="00600A2B"/>
    <w:rPr>
      <w:sz w:val="22"/>
      <w:szCs w:val="22"/>
      <w:lang w:eastAsia="en-US"/>
    </w:rPr>
  </w:style>
  <w:style w:type="paragraph" w:styleId="Footer">
    <w:name w:val="footer"/>
    <w:basedOn w:val="Normal"/>
    <w:link w:val="FooterChar"/>
    <w:uiPriority w:val="99"/>
    <w:unhideWhenUsed/>
    <w:rsid w:val="00600A2B"/>
    <w:pPr>
      <w:tabs>
        <w:tab w:val="center" w:pos="4536"/>
        <w:tab w:val="right" w:pos="9072"/>
      </w:tabs>
    </w:pPr>
    <w:rPr>
      <w:lang w:val="x-none"/>
    </w:rPr>
  </w:style>
  <w:style w:type="character" w:customStyle="1" w:styleId="FooterChar">
    <w:name w:val="Footer Char"/>
    <w:link w:val="Footer"/>
    <w:uiPriority w:val="99"/>
    <w:rsid w:val="00600A2B"/>
    <w:rPr>
      <w:sz w:val="22"/>
      <w:szCs w:val="22"/>
      <w:lang w:eastAsia="en-US"/>
    </w:rPr>
  </w:style>
  <w:style w:type="paragraph" w:customStyle="1" w:styleId="Normaltext">
    <w:name w:val="Normal text"/>
    <w:basedOn w:val="Normal"/>
    <w:rsid w:val="003A4DC0"/>
    <w:pPr>
      <w:spacing w:after="0" w:line="220" w:lineRule="atLeast"/>
      <w:jc w:val="both"/>
    </w:pPr>
    <w:rPr>
      <w:rFonts w:ascii="Verdana" w:eastAsia="Times New Roman" w:hAnsi="Verdana"/>
      <w:sz w:val="16"/>
      <w:szCs w:val="24"/>
      <w:lang w:eastAsia="da-DK"/>
    </w:rPr>
  </w:style>
  <w:style w:type="paragraph" w:customStyle="1" w:styleId="condessed">
    <w:name w:val="condessed"/>
    <w:basedOn w:val="Normal"/>
    <w:rsid w:val="00E6743E"/>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rsid w:val="00A303FF"/>
    <w:pPr>
      <w:numPr>
        <w:numId w:val="3"/>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A303FF"/>
    <w:pPr>
      <w:numPr>
        <w:numId w:val="4"/>
      </w:numPr>
    </w:pPr>
  </w:style>
  <w:style w:type="paragraph" w:styleId="Title">
    <w:name w:val="Title"/>
    <w:basedOn w:val="Normal"/>
    <w:next w:val="Normal"/>
    <w:link w:val="TitleChar"/>
    <w:uiPriority w:val="10"/>
    <w:qFormat/>
    <w:rsid w:val="0088101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881011"/>
    <w:rPr>
      <w:rFonts w:asciiTheme="majorHAnsi" w:eastAsiaTheme="majorEastAsia" w:hAnsiTheme="majorHAnsi" w:cstheme="majorBidi"/>
      <w:color w:val="2E74B5" w:themeColor="accent1" w:themeShade="BF"/>
      <w:spacing w:val="-10"/>
      <w:sz w:val="52"/>
      <w:szCs w:val="52"/>
    </w:rPr>
  </w:style>
  <w:style w:type="paragraph" w:styleId="BodyText">
    <w:name w:val="Body Text"/>
    <w:basedOn w:val="Normal"/>
    <w:link w:val="BodyTextChar"/>
    <w:uiPriority w:val="99"/>
    <w:unhideWhenUsed/>
    <w:rsid w:val="00A303FF"/>
    <w:rPr>
      <w:b/>
      <w:lang w:val="x-none"/>
    </w:rPr>
  </w:style>
  <w:style w:type="character" w:customStyle="1" w:styleId="BodyTextChar">
    <w:name w:val="Body Text Char"/>
    <w:link w:val="BodyText"/>
    <w:uiPriority w:val="99"/>
    <w:rsid w:val="00A303FF"/>
    <w:rPr>
      <w:b/>
      <w:sz w:val="22"/>
      <w:szCs w:val="22"/>
      <w:lang w:eastAsia="en-US"/>
    </w:rPr>
  </w:style>
  <w:style w:type="paragraph" w:styleId="BodyText2">
    <w:name w:val="Body Text 2"/>
    <w:basedOn w:val="Normal"/>
    <w:link w:val="BodyText2Char"/>
    <w:uiPriority w:val="99"/>
    <w:unhideWhenUsed/>
    <w:rsid w:val="00A303FF"/>
    <w:pPr>
      <w:framePr w:hSpace="180" w:wrap="around" w:vAnchor="text" w:hAnchor="text" w:x="84" w:y="1"/>
      <w:spacing w:after="0"/>
      <w:suppressOverlap/>
    </w:pPr>
    <w:rPr>
      <w:lang w:val="x-none"/>
    </w:rPr>
  </w:style>
  <w:style w:type="character" w:customStyle="1" w:styleId="BodyText2Char">
    <w:name w:val="Body Text 2 Char"/>
    <w:link w:val="BodyText2"/>
    <w:uiPriority w:val="99"/>
    <w:rsid w:val="00A303FF"/>
    <w:rPr>
      <w:sz w:val="22"/>
      <w:szCs w:val="22"/>
      <w:lang w:eastAsia="en-US"/>
    </w:rPr>
  </w:style>
  <w:style w:type="paragraph" w:styleId="BodyText3">
    <w:name w:val="Body Text 3"/>
    <w:basedOn w:val="Normal"/>
    <w:link w:val="BodyText3Char"/>
    <w:uiPriority w:val="99"/>
    <w:unhideWhenUsed/>
    <w:rsid w:val="00A303FF"/>
    <w:pPr>
      <w:framePr w:hSpace="180" w:wrap="around" w:vAnchor="text" w:hAnchor="text" w:x="84" w:y="1"/>
      <w:spacing w:after="480"/>
      <w:suppressOverlap/>
      <w:jc w:val="center"/>
    </w:pPr>
    <w:rPr>
      <w:lang w:val="x-none"/>
    </w:rPr>
  </w:style>
  <w:style w:type="character" w:customStyle="1" w:styleId="BodyText3Char">
    <w:name w:val="Body Text 3 Char"/>
    <w:link w:val="BodyText3"/>
    <w:uiPriority w:val="99"/>
    <w:rsid w:val="00A303FF"/>
    <w:rPr>
      <w:sz w:val="22"/>
      <w:szCs w:val="22"/>
      <w:lang w:eastAsia="en-US"/>
    </w:rPr>
  </w:style>
  <w:style w:type="character" w:styleId="FollowedHyperlink">
    <w:name w:val="FollowedHyperlink"/>
    <w:uiPriority w:val="99"/>
    <w:unhideWhenUsed/>
    <w:rsid w:val="00A303FF"/>
    <w:rPr>
      <w:color w:val="800080"/>
      <w:u w:val="single"/>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1 Char Char,fn Char,Plonk Char,o Char"/>
    <w:rsid w:val="00A303FF"/>
    <w:rPr>
      <w:rFonts w:ascii="Calibri" w:hAnsi="Calibri" w:cs="Calibri"/>
      <w:sz w:val="18"/>
      <w:szCs w:val="18"/>
    </w:rPr>
  </w:style>
  <w:style w:type="paragraph" w:styleId="EndnoteText">
    <w:name w:val="endnote text"/>
    <w:basedOn w:val="Normal"/>
    <w:link w:val="EndnoteTextChar"/>
    <w:uiPriority w:val="99"/>
    <w:semiHidden/>
    <w:unhideWhenUsed/>
    <w:rsid w:val="00A303FF"/>
    <w:rPr>
      <w:sz w:val="20"/>
      <w:szCs w:val="20"/>
      <w:lang w:val="x-none"/>
    </w:rPr>
  </w:style>
  <w:style w:type="character" w:customStyle="1" w:styleId="EndnoteTextChar">
    <w:name w:val="Endnote Text Char"/>
    <w:link w:val="EndnoteText"/>
    <w:uiPriority w:val="99"/>
    <w:semiHidden/>
    <w:rsid w:val="00A303FF"/>
    <w:rPr>
      <w:lang w:eastAsia="en-US"/>
    </w:rPr>
  </w:style>
  <w:style w:type="character" w:styleId="EndnoteReference">
    <w:name w:val="endnote reference"/>
    <w:unhideWhenUsed/>
    <w:rsid w:val="00A303FF"/>
    <w:rPr>
      <w:vertAlign w:val="superscript"/>
    </w:rPr>
  </w:style>
  <w:style w:type="table" w:styleId="TableGrid">
    <w:name w:val="Table Grid"/>
    <w:basedOn w:val="TableNormal"/>
    <w:uiPriority w:val="59"/>
    <w:rsid w:val="00A303FF"/>
    <w:pPr>
      <w:keepNext/>
      <w:jc w:val="center"/>
    </w:pPr>
    <w:rPr>
      <w:rFonts w:ascii="Times New Roman" w:eastAsia="Times New Roman" w:hAnsi="Times New Roman"/>
    </w:rPr>
    <w:tblPr>
      <w:tblBorders>
        <w:top w:val="single" w:sz="4" w:space="0" w:color="auto"/>
        <w:bottom w:val="single" w:sz="4" w:space="0" w:color="auto"/>
      </w:tblBorders>
    </w:tblPr>
    <w:trPr>
      <w:cantSplit/>
    </w:trPr>
    <w:tblStylePr w:type="firstRow">
      <w:tblPr/>
      <w:trPr>
        <w:cantSplit w:val="0"/>
      </w:trPr>
      <w:tcPr>
        <w:tcBorders>
          <w:bottom w:val="single" w:sz="4" w:space="0" w:color="auto"/>
        </w:tcBorders>
        <w:vAlign w:val="center"/>
      </w:tcPr>
    </w:tblStylePr>
    <w:tblStylePr w:type="lastRow">
      <w:pPr>
        <w:keepNext w:val="0"/>
        <w:pageBreakBefore w:val="0"/>
        <w:wordWrap/>
      </w:pPr>
    </w:tblStylePr>
    <w:tblStylePr w:type="firstCol">
      <w:pPr>
        <w:wordWrap/>
        <w:jc w:val="left"/>
      </w:pPr>
    </w:tblStylePr>
  </w:style>
  <w:style w:type="character" w:styleId="PageNumber">
    <w:name w:val="page number"/>
    <w:rsid w:val="00A303FF"/>
  </w:style>
  <w:style w:type="paragraph" w:styleId="NormalWeb">
    <w:name w:val="Normal (Web)"/>
    <w:basedOn w:val="Normal"/>
    <w:uiPriority w:val="99"/>
    <w:rsid w:val="00A303FF"/>
    <w:pPr>
      <w:spacing w:before="100" w:beforeAutospacing="1" w:after="100" w:afterAutospacing="1" w:line="240" w:lineRule="auto"/>
    </w:pPr>
    <w:rPr>
      <w:rFonts w:ascii="Times New Roman" w:eastAsia="Times New Roman" w:hAnsi="Times New Roman"/>
      <w:sz w:val="24"/>
      <w:szCs w:val="24"/>
    </w:rPr>
  </w:style>
  <w:style w:type="character" w:customStyle="1" w:styleId="leaf">
    <w:name w:val="leaf"/>
    <w:rsid w:val="00A303FF"/>
  </w:style>
  <w:style w:type="paragraph" w:styleId="ListNumber">
    <w:name w:val="List Number"/>
    <w:basedOn w:val="Normal"/>
    <w:rsid w:val="00A303FF"/>
    <w:pPr>
      <w:numPr>
        <w:numId w:val="5"/>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A303FF"/>
    <w:pPr>
      <w:numPr>
        <w:ilvl w:val="1"/>
        <w:numId w:val="5"/>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A303FF"/>
    <w:pPr>
      <w:numPr>
        <w:ilvl w:val="2"/>
        <w:numId w:val="5"/>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A303FF"/>
    <w:pPr>
      <w:numPr>
        <w:ilvl w:val="3"/>
        <w:numId w:val="5"/>
      </w:numPr>
      <w:spacing w:after="240" w:line="240" w:lineRule="auto"/>
      <w:jc w:val="both"/>
    </w:pPr>
    <w:rPr>
      <w:rFonts w:ascii="Times New Roman" w:eastAsia="Times New Roman" w:hAnsi="Times New Roman"/>
      <w:sz w:val="24"/>
      <w:szCs w:val="20"/>
    </w:rPr>
  </w:style>
  <w:style w:type="character" w:styleId="CommentReference">
    <w:name w:val="annotation reference"/>
    <w:rsid w:val="00A303FF"/>
    <w:rPr>
      <w:sz w:val="16"/>
      <w:szCs w:val="16"/>
    </w:rPr>
  </w:style>
  <w:style w:type="paragraph" w:styleId="CommentText">
    <w:name w:val="annotation text"/>
    <w:basedOn w:val="Normal"/>
    <w:link w:val="CommentTextChar"/>
    <w:rsid w:val="00A303F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A303FF"/>
    <w:rPr>
      <w:rFonts w:ascii="Times New Roman" w:eastAsia="Times New Roman" w:hAnsi="Times New Roman"/>
    </w:rPr>
  </w:style>
  <w:style w:type="character" w:customStyle="1" w:styleId="c37">
    <w:name w:val="c37"/>
    <w:rsid w:val="00A303FF"/>
  </w:style>
  <w:style w:type="paragraph" w:customStyle="1" w:styleId="instructions">
    <w:name w:val="instructions"/>
    <w:basedOn w:val="Normal"/>
    <w:rsid w:val="00A303FF"/>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i/>
      <w:sz w:val="20"/>
      <w:szCs w:val="24"/>
    </w:rPr>
  </w:style>
  <w:style w:type="paragraph" w:customStyle="1" w:styleId="condessed3">
    <w:name w:val="condessed3"/>
    <w:basedOn w:val="Normal"/>
    <w:rsid w:val="00A303FF"/>
    <w:pPr>
      <w:spacing w:before="240" w:after="0" w:line="288" w:lineRule="atLeast"/>
    </w:pPr>
    <w:rPr>
      <w:rFonts w:ascii="Verdana" w:eastAsia="Times New Roman" w:hAnsi="Verdana"/>
      <w:sz w:val="18"/>
      <w:szCs w:val="18"/>
    </w:rPr>
  </w:style>
  <w:style w:type="paragraph" w:customStyle="1" w:styleId="Tablesbullets2">
    <w:name w:val="Tables bullets 2"/>
    <w:basedOn w:val="Normal"/>
    <w:rsid w:val="00A303FF"/>
    <w:pPr>
      <w:numPr>
        <w:numId w:val="6"/>
      </w:numPr>
      <w:spacing w:after="0"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A303FF"/>
    <w:rPr>
      <w:b/>
      <w:bCs/>
    </w:rPr>
  </w:style>
  <w:style w:type="character" w:customStyle="1" w:styleId="CommentSubjectChar">
    <w:name w:val="Comment Subject Char"/>
    <w:link w:val="CommentSubject"/>
    <w:rsid w:val="00A303FF"/>
    <w:rPr>
      <w:rFonts w:ascii="Times New Roman" w:eastAsia="Times New Roman" w:hAnsi="Times New Roman"/>
      <w:b/>
      <w:bCs/>
    </w:rPr>
  </w:style>
  <w:style w:type="character" w:customStyle="1" w:styleId="Notedebasdepage">
    <w:name w:val="Note de bas de page_"/>
    <w:link w:val="Notedebasdepage1"/>
    <w:uiPriority w:val="99"/>
    <w:rsid w:val="00A303FF"/>
    <w:rPr>
      <w:sz w:val="21"/>
      <w:szCs w:val="21"/>
      <w:shd w:val="clear" w:color="auto" w:fill="FFFFFF"/>
    </w:rPr>
  </w:style>
  <w:style w:type="paragraph" w:customStyle="1" w:styleId="Notedebasdepage1">
    <w:name w:val="Note de bas de page1"/>
    <w:basedOn w:val="Normal"/>
    <w:link w:val="Notedebasdepage"/>
    <w:uiPriority w:val="99"/>
    <w:rsid w:val="00A303FF"/>
    <w:pPr>
      <w:widowControl w:val="0"/>
      <w:shd w:val="clear" w:color="auto" w:fill="FFFFFF"/>
      <w:spacing w:after="0" w:line="226" w:lineRule="exact"/>
    </w:pPr>
    <w:rPr>
      <w:sz w:val="21"/>
      <w:szCs w:val="21"/>
      <w:lang w:val="x-none" w:eastAsia="x-none"/>
    </w:rPr>
  </w:style>
  <w:style w:type="character" w:customStyle="1" w:styleId="En-tte1">
    <w:name w:val="En-tête #1_"/>
    <w:link w:val="En-tte10"/>
    <w:uiPriority w:val="99"/>
    <w:rsid w:val="00A303FF"/>
    <w:rPr>
      <w:b/>
      <w:bCs/>
      <w:sz w:val="27"/>
      <w:szCs w:val="27"/>
      <w:shd w:val="clear" w:color="auto" w:fill="FFFFFF"/>
    </w:rPr>
  </w:style>
  <w:style w:type="paragraph" w:customStyle="1" w:styleId="En-tte10">
    <w:name w:val="En-tête #1"/>
    <w:basedOn w:val="Normal"/>
    <w:link w:val="En-tte1"/>
    <w:uiPriority w:val="99"/>
    <w:rsid w:val="00A303FF"/>
    <w:pPr>
      <w:widowControl w:val="0"/>
      <w:shd w:val="clear" w:color="auto" w:fill="FFFFFF"/>
      <w:spacing w:after="420" w:line="240" w:lineRule="atLeast"/>
      <w:outlineLvl w:val="0"/>
    </w:pPr>
    <w:rPr>
      <w:b/>
      <w:bCs/>
      <w:sz w:val="27"/>
      <w:szCs w:val="27"/>
      <w:lang w:val="x-none" w:eastAsia="x-none"/>
    </w:rPr>
  </w:style>
  <w:style w:type="character" w:customStyle="1" w:styleId="Corpsdutexte2">
    <w:name w:val="Corps du texte (2)_"/>
    <w:link w:val="Corpsdutexte20"/>
    <w:uiPriority w:val="99"/>
    <w:rsid w:val="00A303FF"/>
    <w:rPr>
      <w:b/>
      <w:bCs/>
      <w:shd w:val="clear" w:color="auto" w:fill="FFFFFF"/>
    </w:rPr>
  </w:style>
  <w:style w:type="paragraph" w:customStyle="1" w:styleId="Corpsdutexte20">
    <w:name w:val="Corps du texte (2)"/>
    <w:basedOn w:val="Normal"/>
    <w:link w:val="Corpsdutexte2"/>
    <w:uiPriority w:val="99"/>
    <w:rsid w:val="00A303FF"/>
    <w:pPr>
      <w:widowControl w:val="0"/>
      <w:shd w:val="clear" w:color="auto" w:fill="FFFFFF"/>
      <w:spacing w:after="0" w:line="240" w:lineRule="atLeast"/>
    </w:pPr>
    <w:rPr>
      <w:b/>
      <w:bCs/>
      <w:sz w:val="20"/>
      <w:szCs w:val="20"/>
      <w:lang w:val="x-none" w:eastAsia="x-none"/>
    </w:rPr>
  </w:style>
  <w:style w:type="character" w:customStyle="1" w:styleId="Corpsdutexte3">
    <w:name w:val="Corps du texte (3)_"/>
    <w:link w:val="Corpsdutexte30"/>
    <w:uiPriority w:val="99"/>
    <w:rsid w:val="00A303FF"/>
    <w:rPr>
      <w:i/>
      <w:iCs/>
      <w:shd w:val="clear" w:color="auto" w:fill="FFFFFF"/>
    </w:rPr>
  </w:style>
  <w:style w:type="paragraph" w:customStyle="1" w:styleId="Corpsdutexte30">
    <w:name w:val="Corps du texte (3)"/>
    <w:basedOn w:val="Normal"/>
    <w:link w:val="Corpsdutexte3"/>
    <w:uiPriority w:val="99"/>
    <w:rsid w:val="00A303FF"/>
    <w:pPr>
      <w:widowControl w:val="0"/>
      <w:shd w:val="clear" w:color="auto" w:fill="FFFFFF"/>
      <w:spacing w:after="0" w:line="254" w:lineRule="exact"/>
      <w:jc w:val="both"/>
    </w:pPr>
    <w:rPr>
      <w:i/>
      <w:iCs/>
      <w:sz w:val="20"/>
      <w:szCs w:val="20"/>
      <w:lang w:val="x-none" w:eastAsia="x-none"/>
    </w:rPr>
  </w:style>
  <w:style w:type="character" w:customStyle="1" w:styleId="Corpsdutexte3Gras">
    <w:name w:val="Corps du texte (3) + Gras"/>
    <w:aliases w:val="Non Italique"/>
    <w:uiPriority w:val="99"/>
    <w:rsid w:val="00A303FF"/>
    <w:rPr>
      <w:b/>
      <w:bCs/>
      <w:i w:val="0"/>
      <w:iCs w:val="0"/>
      <w:shd w:val="clear" w:color="auto" w:fill="FFFFFF"/>
    </w:rPr>
  </w:style>
  <w:style w:type="paragraph" w:customStyle="1" w:styleId="Corpsdutexte0">
    <w:name w:val="Corps du texte"/>
    <w:basedOn w:val="Normal"/>
    <w:uiPriority w:val="99"/>
    <w:rsid w:val="00A303FF"/>
    <w:pPr>
      <w:widowControl w:val="0"/>
      <w:shd w:val="clear" w:color="auto" w:fill="FFFFFF"/>
      <w:spacing w:after="0" w:line="240" w:lineRule="atLeast"/>
    </w:pPr>
    <w:rPr>
      <w:sz w:val="21"/>
      <w:szCs w:val="21"/>
    </w:rPr>
  </w:style>
  <w:style w:type="paragraph" w:styleId="Subtitle">
    <w:name w:val="Subtitle"/>
    <w:basedOn w:val="Normal"/>
    <w:next w:val="Normal"/>
    <w:link w:val="SubtitleChar"/>
    <w:uiPriority w:val="11"/>
    <w:qFormat/>
    <w:rsid w:val="0088101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81011"/>
    <w:rPr>
      <w:rFonts w:asciiTheme="majorHAnsi" w:eastAsiaTheme="majorEastAsia" w:hAnsiTheme="majorHAnsi" w:cstheme="majorBidi"/>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974576"/>
    <w:pPr>
      <w:ind w:left="720"/>
      <w:contextualSpacing/>
    </w:pPr>
  </w:style>
  <w:style w:type="table" w:customStyle="1" w:styleId="LightShading-Accent11">
    <w:name w:val="Light Shading - Accent 11"/>
    <w:basedOn w:val="TableNormal"/>
    <w:uiPriority w:val="60"/>
    <w:rsid w:val="00EB2F6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EB2F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EB2F6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B2F6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667A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DE56A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Quote">
    <w:name w:val="Quote"/>
    <w:basedOn w:val="Normal"/>
    <w:next w:val="Normal"/>
    <w:link w:val="QuoteChar"/>
    <w:uiPriority w:val="29"/>
    <w:qFormat/>
    <w:rsid w:val="00881011"/>
    <w:pPr>
      <w:spacing w:before="120"/>
      <w:ind w:left="720" w:right="720"/>
      <w:jc w:val="center"/>
    </w:pPr>
    <w:rPr>
      <w:i/>
      <w:iCs/>
    </w:rPr>
  </w:style>
  <w:style w:type="character" w:customStyle="1" w:styleId="QuoteChar">
    <w:name w:val="Quote Char"/>
    <w:basedOn w:val="DefaultParagraphFont"/>
    <w:link w:val="Quote"/>
    <w:uiPriority w:val="29"/>
    <w:rsid w:val="00881011"/>
    <w:rPr>
      <w:i/>
      <w:iCs/>
    </w:rPr>
  </w:style>
  <w:style w:type="table" w:customStyle="1" w:styleId="LightList1">
    <w:name w:val="Light List1"/>
    <w:basedOn w:val="TableNormal"/>
    <w:uiPriority w:val="61"/>
    <w:rsid w:val="00770E8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5Char">
    <w:name w:val="Heading 5 Char"/>
    <w:basedOn w:val="DefaultParagraphFont"/>
    <w:link w:val="Heading5"/>
    <w:uiPriority w:val="9"/>
    <w:rsid w:val="00881011"/>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881011"/>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881011"/>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rsid w:val="00881011"/>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rsid w:val="00881011"/>
    <w:rPr>
      <w:rFonts w:asciiTheme="majorHAnsi" w:eastAsiaTheme="majorEastAsia" w:hAnsiTheme="majorHAnsi" w:cstheme="majorBidi"/>
      <w:color w:val="385623" w:themeColor="accent6" w:themeShade="80"/>
    </w:rPr>
  </w:style>
  <w:style w:type="paragraph" w:customStyle="1" w:styleId="Text2">
    <w:name w:val="Text 2"/>
    <w:basedOn w:val="Normal"/>
    <w:rsid w:val="006F56B0"/>
    <w:pPr>
      <w:tabs>
        <w:tab w:val="left" w:pos="2160"/>
      </w:tabs>
      <w:spacing w:after="240" w:line="240" w:lineRule="auto"/>
      <w:ind w:left="1077"/>
      <w:jc w:val="both"/>
    </w:pPr>
    <w:rPr>
      <w:rFonts w:ascii="Times New Roman" w:eastAsia="Times New Roman" w:hAnsi="Times New Roman"/>
      <w:sz w:val="24"/>
      <w:szCs w:val="20"/>
    </w:rPr>
  </w:style>
  <w:style w:type="paragraph" w:customStyle="1" w:styleId="Text3">
    <w:name w:val="Text 3"/>
    <w:basedOn w:val="Normal"/>
    <w:rsid w:val="006F56B0"/>
    <w:pPr>
      <w:tabs>
        <w:tab w:val="left" w:pos="2302"/>
      </w:tabs>
      <w:spacing w:after="240" w:line="240" w:lineRule="auto"/>
      <w:ind w:left="1916"/>
      <w:jc w:val="both"/>
    </w:pPr>
    <w:rPr>
      <w:rFonts w:ascii="Times New Roman" w:eastAsia="Times New Roman" w:hAnsi="Times New Roman"/>
      <w:sz w:val="24"/>
      <w:szCs w:val="20"/>
    </w:rPr>
  </w:style>
  <w:style w:type="paragraph" w:customStyle="1" w:styleId="Text4">
    <w:name w:val="Text 4"/>
    <w:basedOn w:val="Normal"/>
    <w:rsid w:val="006F56B0"/>
    <w:pPr>
      <w:spacing w:after="240" w:line="240" w:lineRule="auto"/>
      <w:ind w:left="2880"/>
      <w:jc w:val="both"/>
    </w:pPr>
    <w:rPr>
      <w:rFonts w:ascii="Times New Roman" w:eastAsia="Times New Roman" w:hAnsi="Times New Roman"/>
      <w:sz w:val="24"/>
      <w:szCs w:val="20"/>
    </w:rPr>
  </w:style>
  <w:style w:type="paragraph" w:customStyle="1" w:styleId="Address">
    <w:name w:val="Address"/>
    <w:basedOn w:val="Normal"/>
    <w:rsid w:val="006F56B0"/>
    <w:pPr>
      <w:spacing w:after="0" w:line="240" w:lineRule="auto"/>
    </w:pPr>
    <w:rPr>
      <w:rFonts w:ascii="Times New Roman" w:eastAsia="Times New Roman" w:hAnsi="Times New Roman"/>
      <w:sz w:val="24"/>
      <w:szCs w:val="20"/>
    </w:rPr>
  </w:style>
  <w:style w:type="paragraph" w:customStyle="1" w:styleId="AddressTL">
    <w:name w:val="AddressTL"/>
    <w:basedOn w:val="Normal"/>
    <w:next w:val="Normal"/>
    <w:rsid w:val="006F56B0"/>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rsid w:val="006F56B0"/>
    <w:pPr>
      <w:spacing w:after="720" w:line="240" w:lineRule="auto"/>
      <w:ind w:left="5103"/>
    </w:pPr>
    <w:rPr>
      <w:rFonts w:ascii="Times New Roman" w:eastAsia="Times New Roman" w:hAnsi="Times New Roman"/>
      <w:sz w:val="24"/>
      <w:szCs w:val="20"/>
    </w:rPr>
  </w:style>
  <w:style w:type="paragraph" w:styleId="BlockText">
    <w:name w:val="Block Text"/>
    <w:basedOn w:val="Normal"/>
    <w:rsid w:val="006F56B0"/>
    <w:pPr>
      <w:spacing w:after="120" w:line="240" w:lineRule="auto"/>
      <w:ind w:left="1440" w:right="1440"/>
      <w:jc w:val="both"/>
    </w:pPr>
    <w:rPr>
      <w:rFonts w:ascii="Times New Roman" w:eastAsia="Times New Roman" w:hAnsi="Times New Roman"/>
      <w:sz w:val="24"/>
      <w:szCs w:val="20"/>
    </w:rPr>
  </w:style>
  <w:style w:type="paragraph" w:styleId="BodyTextFirstIndent">
    <w:name w:val="Body Text First Indent"/>
    <w:basedOn w:val="BodyText"/>
    <w:link w:val="BodyTextFirstIndentChar"/>
    <w:rsid w:val="006F56B0"/>
    <w:pPr>
      <w:spacing w:after="120" w:line="240" w:lineRule="auto"/>
      <w:ind w:firstLine="210"/>
      <w:jc w:val="both"/>
    </w:pPr>
    <w:rPr>
      <w:rFonts w:ascii="Times New Roman" w:eastAsia="Times New Roman" w:hAnsi="Times New Roman"/>
      <w:b w:val="0"/>
      <w:sz w:val="24"/>
    </w:rPr>
  </w:style>
  <w:style w:type="character" w:customStyle="1" w:styleId="BodyTextFirstIndentChar">
    <w:name w:val="Body Text First Indent Char"/>
    <w:link w:val="BodyTextFirstIndent"/>
    <w:rsid w:val="006F56B0"/>
    <w:rPr>
      <w:rFonts w:ascii="Times New Roman" w:eastAsia="Times New Roman" w:hAnsi="Times New Roman"/>
      <w:b w:val="0"/>
      <w:sz w:val="24"/>
      <w:szCs w:val="22"/>
      <w:lang w:eastAsia="en-US"/>
    </w:rPr>
  </w:style>
  <w:style w:type="paragraph" w:styleId="BodyTextIndent">
    <w:name w:val="Body Text Indent"/>
    <w:basedOn w:val="Normal"/>
    <w:link w:val="BodyTextIndentChar"/>
    <w:rsid w:val="006F56B0"/>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link w:val="BodyTextIndent"/>
    <w:rsid w:val="006F56B0"/>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6F56B0"/>
    <w:pPr>
      <w:ind w:firstLine="210"/>
    </w:pPr>
  </w:style>
  <w:style w:type="character" w:customStyle="1" w:styleId="BodyTextFirstIndent2Char">
    <w:name w:val="Body Text First Indent 2 Char"/>
    <w:basedOn w:val="BodyTextIndentChar"/>
    <w:link w:val="BodyTextFirstIndent2"/>
    <w:rsid w:val="006F56B0"/>
    <w:rPr>
      <w:rFonts w:ascii="Times New Roman" w:eastAsia="Times New Roman" w:hAnsi="Times New Roman"/>
      <w:sz w:val="24"/>
      <w:lang w:eastAsia="en-US"/>
    </w:rPr>
  </w:style>
  <w:style w:type="paragraph" w:styleId="BodyTextIndent2">
    <w:name w:val="Body Text Indent 2"/>
    <w:basedOn w:val="Normal"/>
    <w:link w:val="BodyTextIndent2Char"/>
    <w:rsid w:val="006F56B0"/>
    <w:pPr>
      <w:spacing w:after="120" w:line="480" w:lineRule="auto"/>
      <w:ind w:left="283"/>
      <w:jc w:val="both"/>
    </w:pPr>
    <w:rPr>
      <w:rFonts w:ascii="Times New Roman" w:eastAsia="Times New Roman" w:hAnsi="Times New Roman"/>
      <w:sz w:val="24"/>
      <w:szCs w:val="20"/>
      <w:lang w:val="x-none"/>
    </w:rPr>
  </w:style>
  <w:style w:type="character" w:customStyle="1" w:styleId="BodyTextIndent2Char">
    <w:name w:val="Body Text Indent 2 Char"/>
    <w:link w:val="BodyTextIndent2"/>
    <w:rsid w:val="006F56B0"/>
    <w:rPr>
      <w:rFonts w:ascii="Times New Roman" w:eastAsia="Times New Roman" w:hAnsi="Times New Roman"/>
      <w:sz w:val="24"/>
      <w:lang w:eastAsia="en-US"/>
    </w:rPr>
  </w:style>
  <w:style w:type="paragraph" w:styleId="BodyTextIndent3">
    <w:name w:val="Body Text Indent 3"/>
    <w:basedOn w:val="Normal"/>
    <w:link w:val="BodyTextIndent3Char"/>
    <w:rsid w:val="006F56B0"/>
    <w:pPr>
      <w:spacing w:after="120" w:line="240" w:lineRule="auto"/>
      <w:ind w:left="283"/>
      <w:jc w:val="both"/>
    </w:pPr>
    <w:rPr>
      <w:rFonts w:ascii="Times New Roman" w:eastAsia="Times New Roman" w:hAnsi="Times New Roman"/>
      <w:sz w:val="16"/>
      <w:szCs w:val="20"/>
      <w:lang w:val="x-none"/>
    </w:rPr>
  </w:style>
  <w:style w:type="character" w:customStyle="1" w:styleId="BodyTextIndent3Char">
    <w:name w:val="Body Text Indent 3 Char"/>
    <w:link w:val="BodyTextIndent3"/>
    <w:rsid w:val="006F56B0"/>
    <w:rPr>
      <w:rFonts w:ascii="Times New Roman" w:eastAsia="Times New Roman" w:hAnsi="Times New Roman"/>
      <w:sz w:val="16"/>
      <w:lang w:eastAsia="en-US"/>
    </w:rPr>
  </w:style>
  <w:style w:type="paragraph" w:styleId="Closing">
    <w:name w:val="Closing"/>
    <w:basedOn w:val="Normal"/>
    <w:next w:val="Signature"/>
    <w:link w:val="ClosingChar"/>
    <w:rsid w:val="006F56B0"/>
    <w:pPr>
      <w:tabs>
        <w:tab w:val="left" w:pos="5103"/>
      </w:tabs>
      <w:spacing w:before="240" w:after="240" w:line="240" w:lineRule="auto"/>
      <w:ind w:left="5103"/>
    </w:pPr>
    <w:rPr>
      <w:rFonts w:ascii="Times New Roman" w:eastAsia="Times New Roman" w:hAnsi="Times New Roman"/>
      <w:sz w:val="24"/>
      <w:szCs w:val="20"/>
      <w:lang w:val="x-none"/>
    </w:rPr>
  </w:style>
  <w:style w:type="character" w:customStyle="1" w:styleId="ClosingChar">
    <w:name w:val="Closing Char"/>
    <w:link w:val="Closing"/>
    <w:rsid w:val="006F56B0"/>
    <w:rPr>
      <w:rFonts w:ascii="Times New Roman" w:eastAsia="Times New Roman" w:hAnsi="Times New Roman"/>
      <w:sz w:val="24"/>
      <w:lang w:eastAsia="en-US"/>
    </w:rPr>
  </w:style>
  <w:style w:type="paragraph" w:styleId="Signature">
    <w:name w:val="Signature"/>
    <w:basedOn w:val="Normal"/>
    <w:next w:val="Contact"/>
    <w:link w:val="SignatureChar"/>
    <w:rsid w:val="006F56B0"/>
    <w:pPr>
      <w:tabs>
        <w:tab w:val="left" w:pos="5103"/>
      </w:tabs>
      <w:spacing w:before="1200" w:after="0" w:line="240" w:lineRule="auto"/>
      <w:ind w:left="5103"/>
      <w:jc w:val="center"/>
    </w:pPr>
    <w:rPr>
      <w:rFonts w:ascii="Times New Roman" w:eastAsia="Times New Roman" w:hAnsi="Times New Roman"/>
      <w:sz w:val="24"/>
      <w:szCs w:val="20"/>
      <w:lang w:val="x-none"/>
    </w:rPr>
  </w:style>
  <w:style w:type="character" w:customStyle="1" w:styleId="SignatureChar">
    <w:name w:val="Signature Char"/>
    <w:link w:val="Signature"/>
    <w:rsid w:val="006F56B0"/>
    <w:rPr>
      <w:rFonts w:ascii="Times New Roman" w:eastAsia="Times New Roman" w:hAnsi="Times New Roman"/>
      <w:sz w:val="24"/>
      <w:lang w:eastAsia="en-US"/>
    </w:rPr>
  </w:style>
  <w:style w:type="paragraph" w:customStyle="1" w:styleId="Enclosures">
    <w:name w:val="Enclosures"/>
    <w:basedOn w:val="Normal"/>
    <w:next w:val="Participants"/>
    <w:rsid w:val="006F56B0"/>
    <w:pPr>
      <w:keepNext/>
      <w:keepLines/>
      <w:tabs>
        <w:tab w:val="left" w:pos="5670"/>
      </w:tabs>
      <w:spacing w:before="480" w:after="0" w:line="240" w:lineRule="auto"/>
      <w:ind w:left="1985" w:hanging="1985"/>
    </w:pPr>
    <w:rPr>
      <w:rFonts w:ascii="Times New Roman" w:eastAsia="Times New Roman" w:hAnsi="Times New Roman"/>
      <w:sz w:val="24"/>
      <w:szCs w:val="20"/>
    </w:rPr>
  </w:style>
  <w:style w:type="paragraph" w:customStyle="1" w:styleId="Participants">
    <w:name w:val="Participants"/>
    <w:basedOn w:val="Normal"/>
    <w:next w:val="Copies"/>
    <w:rsid w:val="006F56B0"/>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rPr>
  </w:style>
  <w:style w:type="paragraph" w:customStyle="1" w:styleId="Copies">
    <w:name w:val="Copies"/>
    <w:basedOn w:val="Normal"/>
    <w:next w:val="Normal"/>
    <w:rsid w:val="006F56B0"/>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rPr>
  </w:style>
  <w:style w:type="paragraph" w:styleId="Date">
    <w:name w:val="Date"/>
    <w:basedOn w:val="Normal"/>
    <w:next w:val="References"/>
    <w:link w:val="DateChar"/>
    <w:rsid w:val="006F56B0"/>
    <w:pPr>
      <w:spacing w:after="0" w:line="240" w:lineRule="auto"/>
      <w:ind w:left="5103" w:right="-567"/>
    </w:pPr>
    <w:rPr>
      <w:rFonts w:ascii="Times New Roman" w:eastAsia="Times New Roman" w:hAnsi="Times New Roman"/>
      <w:sz w:val="24"/>
      <w:szCs w:val="20"/>
      <w:lang w:val="x-none"/>
    </w:rPr>
  </w:style>
  <w:style w:type="character" w:customStyle="1" w:styleId="DateChar">
    <w:name w:val="Date Char"/>
    <w:link w:val="Date"/>
    <w:rsid w:val="006F56B0"/>
    <w:rPr>
      <w:rFonts w:ascii="Times New Roman" w:eastAsia="Times New Roman" w:hAnsi="Times New Roman"/>
      <w:sz w:val="24"/>
      <w:lang w:eastAsia="en-US"/>
    </w:rPr>
  </w:style>
  <w:style w:type="paragraph" w:customStyle="1" w:styleId="References">
    <w:name w:val="References"/>
    <w:basedOn w:val="Normal"/>
    <w:next w:val="AddressTR"/>
    <w:rsid w:val="006F56B0"/>
    <w:pPr>
      <w:spacing w:after="240" w:line="240" w:lineRule="auto"/>
      <w:ind w:left="5103"/>
    </w:pPr>
    <w:rPr>
      <w:rFonts w:ascii="Times New Roman" w:eastAsia="Times New Roman" w:hAnsi="Times New Roman"/>
      <w:sz w:val="20"/>
      <w:szCs w:val="20"/>
    </w:rPr>
  </w:style>
  <w:style w:type="paragraph" w:styleId="DocumentMap">
    <w:name w:val="Document Map"/>
    <w:basedOn w:val="Normal"/>
    <w:link w:val="DocumentMapChar"/>
    <w:semiHidden/>
    <w:rsid w:val="006F56B0"/>
    <w:pPr>
      <w:shd w:val="clear" w:color="auto" w:fill="000080"/>
      <w:spacing w:after="240" w:line="240" w:lineRule="auto"/>
      <w:jc w:val="both"/>
    </w:pPr>
    <w:rPr>
      <w:rFonts w:ascii="Tahoma" w:eastAsia="Times New Roman" w:hAnsi="Tahoma"/>
      <w:sz w:val="24"/>
      <w:szCs w:val="20"/>
      <w:lang w:val="x-none"/>
    </w:rPr>
  </w:style>
  <w:style w:type="character" w:customStyle="1" w:styleId="DocumentMapChar">
    <w:name w:val="Document Map Char"/>
    <w:link w:val="DocumentMap"/>
    <w:semiHidden/>
    <w:rsid w:val="006F56B0"/>
    <w:rPr>
      <w:rFonts w:ascii="Tahoma" w:eastAsia="Times New Roman" w:hAnsi="Tahoma"/>
      <w:sz w:val="24"/>
      <w:shd w:val="clear" w:color="auto" w:fill="000080"/>
      <w:lang w:eastAsia="en-US"/>
    </w:rPr>
  </w:style>
  <w:style w:type="paragraph" w:customStyle="1" w:styleId="DoubSign">
    <w:name w:val="DoubSign"/>
    <w:basedOn w:val="Normal"/>
    <w:next w:val="Contact"/>
    <w:rsid w:val="006F56B0"/>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rsid w:val="006F56B0"/>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rsid w:val="006F56B0"/>
    <w:pPr>
      <w:spacing w:after="0" w:line="240" w:lineRule="auto"/>
      <w:jc w:val="both"/>
    </w:pPr>
    <w:rPr>
      <w:rFonts w:ascii="Times New Roman" w:eastAsia="Times New Roman" w:hAnsi="Times New Roman"/>
      <w:sz w:val="20"/>
      <w:szCs w:val="20"/>
    </w:rPr>
  </w:style>
  <w:style w:type="paragraph" w:styleId="Index1">
    <w:name w:val="index 1"/>
    <w:basedOn w:val="Normal"/>
    <w:next w:val="Normal"/>
    <w:autoRedefine/>
    <w:semiHidden/>
    <w:rsid w:val="006F56B0"/>
    <w:pPr>
      <w:spacing w:after="240" w:line="240" w:lineRule="auto"/>
      <w:ind w:left="240" w:hanging="240"/>
      <w:jc w:val="both"/>
    </w:pPr>
    <w:rPr>
      <w:rFonts w:ascii="Times New Roman" w:eastAsia="Times New Roman" w:hAnsi="Times New Roman"/>
      <w:sz w:val="24"/>
      <w:szCs w:val="20"/>
    </w:rPr>
  </w:style>
  <w:style w:type="paragraph" w:styleId="Index2">
    <w:name w:val="index 2"/>
    <w:basedOn w:val="Normal"/>
    <w:next w:val="Normal"/>
    <w:autoRedefine/>
    <w:semiHidden/>
    <w:rsid w:val="006F56B0"/>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rsid w:val="006F56B0"/>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rsid w:val="006F56B0"/>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rsid w:val="006F56B0"/>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rsid w:val="006F56B0"/>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rsid w:val="006F56B0"/>
    <w:pPr>
      <w:spacing w:after="240" w:line="240" w:lineRule="auto"/>
      <w:ind w:left="1680" w:hanging="240"/>
      <w:jc w:val="both"/>
    </w:pPr>
    <w:rPr>
      <w:rFonts w:ascii="Times New Roman" w:eastAsia="Times New Roman" w:hAnsi="Times New Roman"/>
      <w:sz w:val="24"/>
      <w:szCs w:val="20"/>
    </w:rPr>
  </w:style>
  <w:style w:type="paragraph" w:styleId="Index8">
    <w:name w:val="index 8"/>
    <w:basedOn w:val="Normal"/>
    <w:next w:val="Normal"/>
    <w:autoRedefine/>
    <w:semiHidden/>
    <w:rsid w:val="006F56B0"/>
    <w:pPr>
      <w:spacing w:after="240" w:line="240" w:lineRule="auto"/>
      <w:ind w:left="1920" w:hanging="240"/>
      <w:jc w:val="both"/>
    </w:pPr>
    <w:rPr>
      <w:rFonts w:ascii="Times New Roman" w:eastAsia="Times New Roman" w:hAnsi="Times New Roman"/>
      <w:sz w:val="24"/>
      <w:szCs w:val="20"/>
    </w:rPr>
  </w:style>
  <w:style w:type="paragraph" w:styleId="Index9">
    <w:name w:val="index 9"/>
    <w:basedOn w:val="Normal"/>
    <w:next w:val="Normal"/>
    <w:autoRedefine/>
    <w:semiHidden/>
    <w:rsid w:val="006F56B0"/>
    <w:pPr>
      <w:spacing w:after="240" w:line="240" w:lineRule="auto"/>
      <w:ind w:left="2160" w:hanging="240"/>
      <w:jc w:val="both"/>
    </w:pPr>
    <w:rPr>
      <w:rFonts w:ascii="Times New Roman" w:eastAsia="Times New Roman" w:hAnsi="Times New Roman"/>
      <w:sz w:val="24"/>
      <w:szCs w:val="20"/>
    </w:rPr>
  </w:style>
  <w:style w:type="paragraph" w:styleId="IndexHeading">
    <w:name w:val="index heading"/>
    <w:basedOn w:val="Normal"/>
    <w:next w:val="Index1"/>
    <w:semiHidden/>
    <w:rsid w:val="006F56B0"/>
    <w:pPr>
      <w:spacing w:after="240" w:line="240" w:lineRule="auto"/>
      <w:jc w:val="both"/>
    </w:pPr>
    <w:rPr>
      <w:rFonts w:ascii="Arial" w:eastAsia="Times New Roman" w:hAnsi="Arial"/>
      <w:b/>
      <w:sz w:val="24"/>
      <w:szCs w:val="20"/>
    </w:rPr>
  </w:style>
  <w:style w:type="paragraph" w:styleId="List">
    <w:name w:val="List"/>
    <w:basedOn w:val="Normal"/>
    <w:rsid w:val="006F56B0"/>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rsid w:val="006F56B0"/>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rsid w:val="006F56B0"/>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rsid w:val="006F56B0"/>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rsid w:val="006F56B0"/>
    <w:pPr>
      <w:spacing w:after="240" w:line="240" w:lineRule="auto"/>
      <w:ind w:left="1415" w:hanging="283"/>
      <w:jc w:val="both"/>
    </w:pPr>
    <w:rPr>
      <w:rFonts w:ascii="Times New Roman" w:eastAsia="Times New Roman" w:hAnsi="Times New Roman"/>
      <w:sz w:val="24"/>
      <w:szCs w:val="20"/>
    </w:rPr>
  </w:style>
  <w:style w:type="paragraph" w:styleId="ListBullet2">
    <w:name w:val="List Bullet 2"/>
    <w:basedOn w:val="Text2"/>
    <w:rsid w:val="006F56B0"/>
    <w:pPr>
      <w:numPr>
        <w:numId w:val="9"/>
      </w:numPr>
      <w:tabs>
        <w:tab w:val="clear" w:pos="2160"/>
      </w:tabs>
    </w:pPr>
  </w:style>
  <w:style w:type="paragraph" w:styleId="ListBullet3">
    <w:name w:val="List Bullet 3"/>
    <w:basedOn w:val="Text3"/>
    <w:rsid w:val="006F56B0"/>
    <w:pPr>
      <w:numPr>
        <w:numId w:val="10"/>
      </w:numPr>
      <w:tabs>
        <w:tab w:val="clear" w:pos="2302"/>
      </w:tabs>
    </w:pPr>
  </w:style>
  <w:style w:type="paragraph" w:styleId="ListBullet4">
    <w:name w:val="List Bullet 4"/>
    <w:basedOn w:val="Text4"/>
    <w:rsid w:val="006F56B0"/>
    <w:pPr>
      <w:numPr>
        <w:numId w:val="11"/>
      </w:numPr>
    </w:pPr>
  </w:style>
  <w:style w:type="paragraph" w:styleId="ListBullet5">
    <w:name w:val="List Bullet 5"/>
    <w:basedOn w:val="Normal"/>
    <w:autoRedefine/>
    <w:rsid w:val="006F56B0"/>
    <w:pPr>
      <w:numPr>
        <w:numId w:val="7"/>
      </w:numPr>
      <w:spacing w:after="240" w:line="240" w:lineRule="auto"/>
      <w:jc w:val="both"/>
    </w:pPr>
    <w:rPr>
      <w:rFonts w:ascii="Times New Roman" w:eastAsia="Times New Roman" w:hAnsi="Times New Roman"/>
      <w:sz w:val="24"/>
      <w:szCs w:val="20"/>
    </w:rPr>
  </w:style>
  <w:style w:type="paragraph" w:styleId="ListContinue">
    <w:name w:val="List Continue"/>
    <w:basedOn w:val="Normal"/>
    <w:rsid w:val="006F56B0"/>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rsid w:val="006F56B0"/>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rsid w:val="006F56B0"/>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rsid w:val="006F56B0"/>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rsid w:val="006F56B0"/>
    <w:pPr>
      <w:spacing w:after="120" w:line="240" w:lineRule="auto"/>
      <w:ind w:left="1415"/>
      <w:jc w:val="both"/>
    </w:pPr>
    <w:rPr>
      <w:rFonts w:ascii="Times New Roman" w:eastAsia="Times New Roman" w:hAnsi="Times New Roman"/>
      <w:sz w:val="24"/>
      <w:szCs w:val="20"/>
    </w:rPr>
  </w:style>
  <w:style w:type="paragraph" w:styleId="ListNumber2">
    <w:name w:val="List Number 2"/>
    <w:basedOn w:val="Text2"/>
    <w:rsid w:val="006F56B0"/>
    <w:pPr>
      <w:numPr>
        <w:numId w:val="17"/>
      </w:numPr>
      <w:tabs>
        <w:tab w:val="clear" w:pos="2160"/>
      </w:tabs>
    </w:pPr>
  </w:style>
  <w:style w:type="paragraph" w:styleId="ListNumber3">
    <w:name w:val="List Number 3"/>
    <w:basedOn w:val="Text3"/>
    <w:rsid w:val="006F56B0"/>
    <w:pPr>
      <w:numPr>
        <w:numId w:val="18"/>
      </w:numPr>
      <w:tabs>
        <w:tab w:val="clear" w:pos="2302"/>
      </w:tabs>
    </w:pPr>
  </w:style>
  <w:style w:type="paragraph" w:styleId="ListNumber4">
    <w:name w:val="List Number 4"/>
    <w:basedOn w:val="Text4"/>
    <w:rsid w:val="006F56B0"/>
    <w:pPr>
      <w:numPr>
        <w:numId w:val="19"/>
      </w:numPr>
    </w:pPr>
  </w:style>
  <w:style w:type="paragraph" w:styleId="ListNumber5">
    <w:name w:val="List Number 5"/>
    <w:basedOn w:val="Normal"/>
    <w:rsid w:val="006F56B0"/>
    <w:pPr>
      <w:numPr>
        <w:numId w:val="8"/>
      </w:numPr>
      <w:spacing w:after="240" w:line="240" w:lineRule="auto"/>
      <w:jc w:val="both"/>
    </w:pPr>
    <w:rPr>
      <w:rFonts w:ascii="Times New Roman" w:eastAsia="Times New Roman" w:hAnsi="Times New Roman"/>
      <w:sz w:val="24"/>
      <w:szCs w:val="20"/>
    </w:rPr>
  </w:style>
  <w:style w:type="paragraph" w:styleId="MacroText">
    <w:name w:val="macro"/>
    <w:link w:val="MacroTextChar"/>
    <w:semiHidden/>
    <w:rsid w:val="006F56B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semiHidden/>
    <w:rsid w:val="006F56B0"/>
    <w:rPr>
      <w:rFonts w:ascii="Courier New" w:eastAsia="Times New Roman" w:hAnsi="Courier New"/>
      <w:lang w:eastAsia="en-US" w:bidi="ar-SA"/>
    </w:rPr>
  </w:style>
  <w:style w:type="paragraph" w:styleId="MessageHeader">
    <w:name w:val="Message Header"/>
    <w:basedOn w:val="Normal"/>
    <w:link w:val="MessageHeaderChar"/>
    <w:rsid w:val="006F56B0"/>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x-none"/>
    </w:rPr>
  </w:style>
  <w:style w:type="character" w:customStyle="1" w:styleId="MessageHeaderChar">
    <w:name w:val="Message Header Char"/>
    <w:link w:val="MessageHeader"/>
    <w:rsid w:val="006F56B0"/>
    <w:rPr>
      <w:rFonts w:ascii="Arial" w:eastAsia="Times New Roman" w:hAnsi="Arial"/>
      <w:sz w:val="24"/>
      <w:shd w:val="pct20" w:color="auto" w:fill="auto"/>
      <w:lang w:eastAsia="en-US"/>
    </w:rPr>
  </w:style>
  <w:style w:type="paragraph" w:styleId="NormalIndent">
    <w:name w:val="Normal Indent"/>
    <w:basedOn w:val="Normal"/>
    <w:rsid w:val="006F56B0"/>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rsid w:val="006F56B0"/>
    <w:pPr>
      <w:spacing w:after="240" w:line="240" w:lineRule="auto"/>
      <w:jc w:val="both"/>
    </w:pPr>
    <w:rPr>
      <w:rFonts w:ascii="Times New Roman" w:eastAsia="Times New Roman" w:hAnsi="Times New Roman"/>
      <w:sz w:val="24"/>
      <w:szCs w:val="20"/>
      <w:lang w:val="x-none"/>
    </w:rPr>
  </w:style>
  <w:style w:type="character" w:customStyle="1" w:styleId="NoteHeadingChar">
    <w:name w:val="Note Heading Char"/>
    <w:link w:val="NoteHeading"/>
    <w:rsid w:val="006F56B0"/>
    <w:rPr>
      <w:rFonts w:ascii="Times New Roman" w:eastAsia="Times New Roman" w:hAnsi="Times New Roman"/>
      <w:sz w:val="24"/>
      <w:lang w:eastAsia="en-US"/>
    </w:rPr>
  </w:style>
  <w:style w:type="paragraph" w:customStyle="1" w:styleId="NoteHead">
    <w:name w:val="NoteHead"/>
    <w:basedOn w:val="Normal"/>
    <w:next w:val="Subject"/>
    <w:rsid w:val="006F56B0"/>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rsid w:val="006F56B0"/>
    <w:pPr>
      <w:spacing w:after="480" w:line="240" w:lineRule="auto"/>
      <w:ind w:left="1531" w:hanging="1531"/>
    </w:pPr>
    <w:rPr>
      <w:rFonts w:ascii="Times New Roman" w:eastAsia="Times New Roman" w:hAnsi="Times New Roman"/>
      <w:b/>
      <w:sz w:val="24"/>
      <w:szCs w:val="20"/>
    </w:rPr>
  </w:style>
  <w:style w:type="paragraph" w:customStyle="1" w:styleId="NoteList">
    <w:name w:val="NoteList"/>
    <w:basedOn w:val="Normal"/>
    <w:next w:val="Subject"/>
    <w:rsid w:val="006F56B0"/>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customStyle="1" w:styleId="NumPar1">
    <w:name w:val="NumPar 1"/>
    <w:basedOn w:val="Heading1"/>
    <w:next w:val="Text1"/>
    <w:rsid w:val="006F56B0"/>
    <w:pPr>
      <w:keepNext w:val="0"/>
      <w:spacing w:before="0" w:after="240"/>
      <w:jc w:val="both"/>
      <w:outlineLvl w:val="9"/>
    </w:pPr>
    <w:rPr>
      <w:rFonts w:ascii="Times New Roman" w:hAnsi="Times New Roman"/>
      <w:b/>
      <w:bCs/>
      <w:sz w:val="24"/>
      <w:szCs w:val="20"/>
    </w:rPr>
  </w:style>
  <w:style w:type="paragraph" w:customStyle="1" w:styleId="NumPar2">
    <w:name w:val="NumPar 2"/>
    <w:basedOn w:val="Heading2"/>
    <w:next w:val="Text2"/>
    <w:rsid w:val="006F56B0"/>
    <w:pPr>
      <w:keepNext w:val="0"/>
      <w:spacing w:after="240"/>
      <w:outlineLvl w:val="9"/>
    </w:pPr>
    <w:rPr>
      <w:rFonts w:ascii="Times New Roman" w:hAnsi="Times New Roman"/>
      <w:b/>
      <w:bCs/>
      <w:i/>
      <w:iCs/>
      <w:sz w:val="24"/>
      <w:szCs w:val="20"/>
    </w:rPr>
  </w:style>
  <w:style w:type="paragraph" w:customStyle="1" w:styleId="NumPar3">
    <w:name w:val="NumPar 3"/>
    <w:basedOn w:val="Heading3"/>
    <w:next w:val="Text3"/>
    <w:rsid w:val="006F56B0"/>
    <w:pPr>
      <w:keepNext w:val="0"/>
      <w:numPr>
        <w:ilvl w:val="2"/>
      </w:numPr>
      <w:tabs>
        <w:tab w:val="num" w:pos="1920"/>
      </w:tabs>
      <w:spacing w:before="0" w:after="240"/>
      <w:ind w:left="1920" w:hanging="840"/>
      <w:jc w:val="both"/>
      <w:outlineLvl w:val="9"/>
    </w:pPr>
    <w:rPr>
      <w:rFonts w:ascii="Times New Roman" w:hAnsi="Times New Roman"/>
      <w:b/>
      <w:bCs/>
      <w:sz w:val="24"/>
      <w:szCs w:val="20"/>
    </w:rPr>
  </w:style>
  <w:style w:type="paragraph" w:customStyle="1" w:styleId="NumPar4">
    <w:name w:val="NumPar 4"/>
    <w:basedOn w:val="Heading4"/>
    <w:next w:val="Text4"/>
    <w:rsid w:val="006F56B0"/>
    <w:pPr>
      <w:keepNext w:val="0"/>
      <w:numPr>
        <w:ilvl w:val="3"/>
      </w:numPr>
      <w:tabs>
        <w:tab w:val="num" w:pos="2880"/>
      </w:tabs>
      <w:spacing w:before="0" w:after="240" w:line="240" w:lineRule="auto"/>
      <w:ind w:left="2880" w:hanging="960"/>
      <w:jc w:val="both"/>
      <w:outlineLvl w:val="9"/>
    </w:pPr>
    <w:rPr>
      <w:rFonts w:ascii="Times New Roman" w:hAnsi="Times New Roman"/>
      <w:b/>
      <w:bCs/>
      <w:sz w:val="24"/>
      <w:szCs w:val="20"/>
    </w:rPr>
  </w:style>
  <w:style w:type="paragraph" w:styleId="PlainText">
    <w:name w:val="Plain Text"/>
    <w:basedOn w:val="Normal"/>
    <w:link w:val="PlainTextChar"/>
    <w:uiPriority w:val="99"/>
    <w:rsid w:val="006F56B0"/>
    <w:pPr>
      <w:spacing w:after="240" w:line="240" w:lineRule="auto"/>
      <w:jc w:val="both"/>
    </w:pPr>
    <w:rPr>
      <w:rFonts w:ascii="Courier New" w:eastAsia="Times New Roman" w:hAnsi="Courier New"/>
      <w:sz w:val="20"/>
      <w:szCs w:val="20"/>
      <w:lang w:val="x-none"/>
    </w:rPr>
  </w:style>
  <w:style w:type="character" w:customStyle="1" w:styleId="PlainTextChar">
    <w:name w:val="Plain Text Char"/>
    <w:link w:val="PlainText"/>
    <w:uiPriority w:val="99"/>
    <w:rsid w:val="006F56B0"/>
    <w:rPr>
      <w:rFonts w:ascii="Courier New" w:eastAsia="Times New Roman" w:hAnsi="Courier New"/>
      <w:lang w:eastAsia="en-US"/>
    </w:rPr>
  </w:style>
  <w:style w:type="paragraph" w:styleId="Salutation">
    <w:name w:val="Salutation"/>
    <w:basedOn w:val="Normal"/>
    <w:next w:val="Normal"/>
    <w:link w:val="SalutationChar"/>
    <w:rsid w:val="006F56B0"/>
    <w:pPr>
      <w:spacing w:after="240" w:line="240" w:lineRule="auto"/>
      <w:jc w:val="both"/>
    </w:pPr>
    <w:rPr>
      <w:rFonts w:ascii="Times New Roman" w:eastAsia="Times New Roman" w:hAnsi="Times New Roman"/>
      <w:sz w:val="24"/>
      <w:szCs w:val="20"/>
      <w:lang w:val="x-none"/>
    </w:rPr>
  </w:style>
  <w:style w:type="character" w:customStyle="1" w:styleId="SalutationChar">
    <w:name w:val="Salutation Char"/>
    <w:link w:val="Salutation"/>
    <w:rsid w:val="006F56B0"/>
    <w:rPr>
      <w:rFonts w:ascii="Times New Roman" w:eastAsia="Times New Roman" w:hAnsi="Times New Roman"/>
      <w:sz w:val="24"/>
      <w:lang w:eastAsia="en-US"/>
    </w:rPr>
  </w:style>
  <w:style w:type="paragraph" w:styleId="TableofAuthorities">
    <w:name w:val="table of authorities"/>
    <w:basedOn w:val="Normal"/>
    <w:next w:val="Normal"/>
    <w:semiHidden/>
    <w:rsid w:val="006F56B0"/>
    <w:pPr>
      <w:spacing w:after="240" w:line="240" w:lineRule="auto"/>
      <w:ind w:left="240" w:hanging="240"/>
      <w:jc w:val="both"/>
    </w:pPr>
    <w:rPr>
      <w:rFonts w:ascii="Times New Roman" w:eastAsia="Times New Roman" w:hAnsi="Times New Roman"/>
      <w:sz w:val="24"/>
      <w:szCs w:val="20"/>
    </w:rPr>
  </w:style>
  <w:style w:type="paragraph" w:styleId="TOAHeading">
    <w:name w:val="toa heading"/>
    <w:basedOn w:val="Normal"/>
    <w:next w:val="Normal"/>
    <w:semiHidden/>
    <w:rsid w:val="006F56B0"/>
    <w:pPr>
      <w:spacing w:before="120" w:after="240" w:line="240" w:lineRule="auto"/>
      <w:jc w:val="both"/>
    </w:pPr>
    <w:rPr>
      <w:rFonts w:ascii="Arial" w:eastAsia="Times New Roman" w:hAnsi="Arial"/>
      <w:b/>
      <w:sz w:val="24"/>
      <w:szCs w:val="20"/>
    </w:rPr>
  </w:style>
  <w:style w:type="paragraph" w:styleId="TOC3">
    <w:name w:val="toc 3"/>
    <w:basedOn w:val="Normal"/>
    <w:next w:val="Normal"/>
    <w:uiPriority w:val="39"/>
    <w:rsid w:val="006F56B0"/>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semiHidden/>
    <w:rsid w:val="006F56B0"/>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styleId="TOC5">
    <w:name w:val="toc 5"/>
    <w:basedOn w:val="Normal"/>
    <w:next w:val="Normal"/>
    <w:semiHidden/>
    <w:rsid w:val="006F56B0"/>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6">
    <w:name w:val="toc 6"/>
    <w:basedOn w:val="Normal"/>
    <w:next w:val="Normal"/>
    <w:autoRedefine/>
    <w:semiHidden/>
    <w:rsid w:val="006F56B0"/>
    <w:pPr>
      <w:spacing w:after="240" w:line="240" w:lineRule="auto"/>
      <w:ind w:left="1200"/>
      <w:jc w:val="both"/>
    </w:pPr>
    <w:rPr>
      <w:rFonts w:ascii="Times New Roman" w:eastAsia="Times New Roman" w:hAnsi="Times New Roman"/>
      <w:sz w:val="24"/>
      <w:szCs w:val="20"/>
    </w:rPr>
  </w:style>
  <w:style w:type="paragraph" w:styleId="TOC7">
    <w:name w:val="toc 7"/>
    <w:basedOn w:val="Normal"/>
    <w:next w:val="Normal"/>
    <w:autoRedefine/>
    <w:semiHidden/>
    <w:rsid w:val="006F56B0"/>
    <w:pPr>
      <w:spacing w:after="240" w:line="240" w:lineRule="auto"/>
      <w:ind w:left="1440"/>
      <w:jc w:val="both"/>
    </w:pPr>
    <w:rPr>
      <w:rFonts w:ascii="Times New Roman" w:eastAsia="Times New Roman" w:hAnsi="Times New Roman"/>
      <w:sz w:val="24"/>
      <w:szCs w:val="20"/>
    </w:rPr>
  </w:style>
  <w:style w:type="paragraph" w:styleId="TOC8">
    <w:name w:val="toc 8"/>
    <w:basedOn w:val="Normal"/>
    <w:next w:val="Normal"/>
    <w:autoRedefine/>
    <w:semiHidden/>
    <w:rsid w:val="006F56B0"/>
    <w:pPr>
      <w:spacing w:after="240" w:line="240" w:lineRule="auto"/>
      <w:ind w:left="1680"/>
      <w:jc w:val="both"/>
    </w:pPr>
    <w:rPr>
      <w:rFonts w:ascii="Times New Roman" w:eastAsia="Times New Roman" w:hAnsi="Times New Roman"/>
      <w:sz w:val="24"/>
      <w:szCs w:val="20"/>
    </w:rPr>
  </w:style>
  <w:style w:type="paragraph" w:styleId="TOC9">
    <w:name w:val="toc 9"/>
    <w:basedOn w:val="Normal"/>
    <w:next w:val="Normal"/>
    <w:autoRedefine/>
    <w:semiHidden/>
    <w:rsid w:val="006F56B0"/>
    <w:pPr>
      <w:spacing w:after="240" w:line="240" w:lineRule="auto"/>
      <w:ind w:left="1920"/>
      <w:jc w:val="both"/>
    </w:pPr>
    <w:rPr>
      <w:rFonts w:ascii="Times New Roman" w:eastAsia="Times New Roman" w:hAnsi="Times New Roman"/>
      <w:sz w:val="24"/>
      <w:szCs w:val="20"/>
    </w:rPr>
  </w:style>
  <w:style w:type="paragraph" w:customStyle="1" w:styleId="YReferences">
    <w:name w:val="YReferences"/>
    <w:basedOn w:val="Normal"/>
    <w:next w:val="Normal"/>
    <w:rsid w:val="006F56B0"/>
    <w:pPr>
      <w:spacing w:after="480" w:line="240" w:lineRule="auto"/>
      <w:ind w:left="1531" w:hanging="1531"/>
      <w:jc w:val="both"/>
    </w:pPr>
    <w:rPr>
      <w:rFonts w:ascii="Times New Roman" w:eastAsia="Times New Roman" w:hAnsi="Times New Roman"/>
      <w:sz w:val="24"/>
      <w:szCs w:val="20"/>
    </w:rPr>
  </w:style>
  <w:style w:type="paragraph" w:customStyle="1" w:styleId="ListDash">
    <w:name w:val="List Dash"/>
    <w:basedOn w:val="Normal"/>
    <w:rsid w:val="006F56B0"/>
    <w:pPr>
      <w:numPr>
        <w:numId w:val="12"/>
      </w:numPr>
      <w:spacing w:after="240" w:line="240" w:lineRule="auto"/>
      <w:jc w:val="both"/>
    </w:pPr>
    <w:rPr>
      <w:rFonts w:ascii="Times New Roman" w:eastAsia="Times New Roman" w:hAnsi="Times New Roman"/>
      <w:sz w:val="24"/>
      <w:szCs w:val="20"/>
    </w:rPr>
  </w:style>
  <w:style w:type="paragraph" w:customStyle="1" w:styleId="ListDash2">
    <w:name w:val="List Dash 2"/>
    <w:basedOn w:val="Text2"/>
    <w:rsid w:val="006F56B0"/>
    <w:pPr>
      <w:numPr>
        <w:numId w:val="13"/>
      </w:numPr>
      <w:tabs>
        <w:tab w:val="clear" w:pos="2160"/>
      </w:tabs>
    </w:pPr>
  </w:style>
  <w:style w:type="paragraph" w:customStyle="1" w:styleId="ListDash3">
    <w:name w:val="List Dash 3"/>
    <w:basedOn w:val="Text3"/>
    <w:rsid w:val="006F56B0"/>
    <w:pPr>
      <w:numPr>
        <w:numId w:val="14"/>
      </w:numPr>
      <w:tabs>
        <w:tab w:val="clear" w:pos="2302"/>
      </w:tabs>
    </w:pPr>
  </w:style>
  <w:style w:type="paragraph" w:customStyle="1" w:styleId="ListDash4">
    <w:name w:val="List Dash 4"/>
    <w:basedOn w:val="Text4"/>
    <w:rsid w:val="006F56B0"/>
    <w:pPr>
      <w:numPr>
        <w:numId w:val="15"/>
      </w:numPr>
    </w:pPr>
  </w:style>
  <w:style w:type="paragraph" w:customStyle="1" w:styleId="ListNumber1">
    <w:name w:val="List Number 1"/>
    <w:basedOn w:val="Text1"/>
    <w:rsid w:val="006F56B0"/>
    <w:pPr>
      <w:numPr>
        <w:numId w:val="16"/>
      </w:numPr>
    </w:pPr>
  </w:style>
  <w:style w:type="paragraph" w:customStyle="1" w:styleId="ListNumber1Level2">
    <w:name w:val="List Number 1 (Level 2)"/>
    <w:basedOn w:val="Text1"/>
    <w:rsid w:val="006F56B0"/>
    <w:pPr>
      <w:numPr>
        <w:ilvl w:val="1"/>
        <w:numId w:val="16"/>
      </w:numPr>
    </w:pPr>
  </w:style>
  <w:style w:type="paragraph" w:customStyle="1" w:styleId="ListNumber1Level3">
    <w:name w:val="List Number 1 (Level 3)"/>
    <w:basedOn w:val="Text1"/>
    <w:rsid w:val="006F56B0"/>
    <w:pPr>
      <w:numPr>
        <w:ilvl w:val="2"/>
        <w:numId w:val="16"/>
      </w:numPr>
    </w:pPr>
  </w:style>
  <w:style w:type="paragraph" w:customStyle="1" w:styleId="ListNumber1Level4">
    <w:name w:val="List Number 1 (Level 4)"/>
    <w:basedOn w:val="Text1"/>
    <w:rsid w:val="006F56B0"/>
    <w:pPr>
      <w:numPr>
        <w:ilvl w:val="3"/>
        <w:numId w:val="16"/>
      </w:numPr>
    </w:pPr>
  </w:style>
  <w:style w:type="paragraph" w:customStyle="1" w:styleId="ListNumber2Level2">
    <w:name w:val="List Number 2 (Level 2)"/>
    <w:basedOn w:val="Text2"/>
    <w:rsid w:val="006F56B0"/>
    <w:pPr>
      <w:numPr>
        <w:ilvl w:val="1"/>
        <w:numId w:val="17"/>
      </w:numPr>
      <w:tabs>
        <w:tab w:val="clear" w:pos="2160"/>
      </w:tabs>
    </w:pPr>
  </w:style>
  <w:style w:type="paragraph" w:customStyle="1" w:styleId="ListNumber2Level3">
    <w:name w:val="List Number 2 (Level 3)"/>
    <w:basedOn w:val="Text2"/>
    <w:rsid w:val="006F56B0"/>
    <w:pPr>
      <w:numPr>
        <w:ilvl w:val="2"/>
        <w:numId w:val="17"/>
      </w:numPr>
      <w:tabs>
        <w:tab w:val="clear" w:pos="2160"/>
      </w:tabs>
    </w:pPr>
  </w:style>
  <w:style w:type="paragraph" w:customStyle="1" w:styleId="ListNumber2Level4">
    <w:name w:val="List Number 2 (Level 4)"/>
    <w:basedOn w:val="Text2"/>
    <w:rsid w:val="006F56B0"/>
    <w:pPr>
      <w:numPr>
        <w:ilvl w:val="3"/>
        <w:numId w:val="17"/>
      </w:numPr>
      <w:tabs>
        <w:tab w:val="clear" w:pos="2160"/>
      </w:tabs>
      <w:ind w:left="3901" w:hanging="703"/>
    </w:pPr>
  </w:style>
  <w:style w:type="paragraph" w:customStyle="1" w:styleId="ListNumber3Level2">
    <w:name w:val="List Number 3 (Level 2)"/>
    <w:basedOn w:val="Text3"/>
    <w:rsid w:val="006F56B0"/>
    <w:pPr>
      <w:numPr>
        <w:ilvl w:val="1"/>
        <w:numId w:val="18"/>
      </w:numPr>
      <w:tabs>
        <w:tab w:val="clear" w:pos="2302"/>
      </w:tabs>
    </w:pPr>
  </w:style>
  <w:style w:type="paragraph" w:customStyle="1" w:styleId="ListNumber3Level3">
    <w:name w:val="List Number 3 (Level 3)"/>
    <w:basedOn w:val="Text3"/>
    <w:rsid w:val="006F56B0"/>
    <w:pPr>
      <w:numPr>
        <w:ilvl w:val="2"/>
        <w:numId w:val="18"/>
      </w:numPr>
      <w:tabs>
        <w:tab w:val="clear" w:pos="2302"/>
      </w:tabs>
    </w:pPr>
  </w:style>
  <w:style w:type="paragraph" w:customStyle="1" w:styleId="ListNumber3Level4">
    <w:name w:val="List Number 3 (Level 4)"/>
    <w:basedOn w:val="Text3"/>
    <w:rsid w:val="006F56B0"/>
    <w:pPr>
      <w:numPr>
        <w:ilvl w:val="3"/>
        <w:numId w:val="18"/>
      </w:numPr>
      <w:tabs>
        <w:tab w:val="clear" w:pos="2302"/>
      </w:tabs>
    </w:pPr>
  </w:style>
  <w:style w:type="paragraph" w:customStyle="1" w:styleId="ListNumber4Level2">
    <w:name w:val="List Number 4 (Level 2)"/>
    <w:basedOn w:val="Text4"/>
    <w:rsid w:val="006F56B0"/>
    <w:pPr>
      <w:numPr>
        <w:ilvl w:val="1"/>
        <w:numId w:val="19"/>
      </w:numPr>
    </w:pPr>
  </w:style>
  <w:style w:type="paragraph" w:customStyle="1" w:styleId="ListNumber4Level3">
    <w:name w:val="List Number 4 (Level 3)"/>
    <w:basedOn w:val="Text4"/>
    <w:rsid w:val="006F56B0"/>
    <w:pPr>
      <w:numPr>
        <w:ilvl w:val="2"/>
        <w:numId w:val="19"/>
      </w:numPr>
    </w:pPr>
  </w:style>
  <w:style w:type="paragraph" w:customStyle="1" w:styleId="ListNumber4Level4">
    <w:name w:val="List Number 4 (Level 4)"/>
    <w:basedOn w:val="Text4"/>
    <w:rsid w:val="006F56B0"/>
    <w:pPr>
      <w:numPr>
        <w:ilvl w:val="3"/>
        <w:numId w:val="19"/>
      </w:numPr>
    </w:pPr>
  </w:style>
  <w:style w:type="paragraph" w:customStyle="1" w:styleId="Contact">
    <w:name w:val="Contact"/>
    <w:basedOn w:val="Normal"/>
    <w:next w:val="Enclosures"/>
    <w:rsid w:val="006F56B0"/>
    <w:pPr>
      <w:spacing w:before="480" w:after="0" w:line="240" w:lineRule="auto"/>
      <w:ind w:left="567" w:hanging="567"/>
    </w:pPr>
    <w:rPr>
      <w:rFonts w:ascii="Times New Roman" w:eastAsia="Times New Roman" w:hAnsi="Times New Roman"/>
      <w:sz w:val="24"/>
      <w:szCs w:val="20"/>
    </w:rPr>
  </w:style>
  <w:style w:type="paragraph" w:customStyle="1" w:styleId="DisclaimerNotice">
    <w:name w:val="Disclaimer Notice"/>
    <w:basedOn w:val="Normal"/>
    <w:next w:val="AddressTR"/>
    <w:rsid w:val="006F56B0"/>
    <w:pPr>
      <w:spacing w:after="240" w:line="240" w:lineRule="auto"/>
      <w:ind w:left="5103"/>
    </w:pPr>
    <w:rPr>
      <w:rFonts w:ascii="Times New Roman" w:eastAsia="Times New Roman" w:hAnsi="Times New Roman"/>
      <w:i/>
      <w:sz w:val="20"/>
      <w:szCs w:val="20"/>
    </w:rPr>
  </w:style>
  <w:style w:type="paragraph" w:customStyle="1" w:styleId="Disclaimer">
    <w:name w:val="Disclaimer"/>
    <w:basedOn w:val="Normal"/>
    <w:rsid w:val="006F56B0"/>
    <w:pPr>
      <w:keepLines/>
      <w:pBdr>
        <w:top w:val="single" w:sz="4" w:space="1" w:color="auto"/>
      </w:pBdr>
      <w:spacing w:before="480" w:after="0" w:line="240" w:lineRule="auto"/>
      <w:jc w:val="both"/>
    </w:pPr>
    <w:rPr>
      <w:rFonts w:ascii="Times New Roman" w:eastAsia="Times New Roman" w:hAnsi="Times New Roman"/>
      <w:i/>
      <w:sz w:val="24"/>
      <w:szCs w:val="20"/>
    </w:rPr>
  </w:style>
  <w:style w:type="paragraph" w:customStyle="1" w:styleId="DisclaimerSJ">
    <w:name w:val="Disclaimer_SJ"/>
    <w:basedOn w:val="Normal"/>
    <w:next w:val="Normal"/>
    <w:rsid w:val="006F56B0"/>
    <w:pPr>
      <w:spacing w:after="0" w:line="240" w:lineRule="auto"/>
      <w:jc w:val="both"/>
    </w:pPr>
    <w:rPr>
      <w:rFonts w:ascii="Arial" w:eastAsia="Times New Roman" w:hAnsi="Arial"/>
      <w:b/>
      <w:sz w:val="16"/>
      <w:szCs w:val="20"/>
    </w:rPr>
  </w:style>
  <w:style w:type="paragraph" w:customStyle="1" w:styleId="ZCom">
    <w:name w:val="Z_Com"/>
    <w:basedOn w:val="Normal"/>
    <w:next w:val="ZDGName"/>
    <w:rsid w:val="006F56B0"/>
    <w:pPr>
      <w:widowControl w:val="0"/>
      <w:autoSpaceDE w:val="0"/>
      <w:autoSpaceDN w:val="0"/>
      <w:spacing w:after="0" w:line="240" w:lineRule="auto"/>
      <w:ind w:right="85"/>
      <w:jc w:val="both"/>
    </w:pPr>
    <w:rPr>
      <w:rFonts w:ascii="Arial" w:eastAsia="MS Mincho" w:hAnsi="Arial" w:cs="Arial"/>
      <w:sz w:val="24"/>
      <w:szCs w:val="24"/>
      <w:lang w:eastAsia="ja-JP"/>
    </w:rPr>
  </w:style>
  <w:style w:type="paragraph" w:customStyle="1" w:styleId="ZDGName">
    <w:name w:val="Z_DGName"/>
    <w:basedOn w:val="Normal"/>
    <w:rsid w:val="006F56B0"/>
    <w:pPr>
      <w:widowControl w:val="0"/>
      <w:autoSpaceDE w:val="0"/>
      <w:autoSpaceDN w:val="0"/>
      <w:spacing w:after="0" w:line="240" w:lineRule="auto"/>
      <w:ind w:right="85"/>
    </w:pPr>
    <w:rPr>
      <w:rFonts w:ascii="Arial" w:eastAsia="MS Mincho" w:hAnsi="Arial" w:cs="Arial"/>
      <w:sz w:val="16"/>
      <w:szCs w:val="16"/>
      <w:lang w:eastAsia="ja-JP"/>
    </w:rPr>
  </w:style>
  <w:style w:type="paragraph" w:customStyle="1" w:styleId="CharChar3">
    <w:name w:val="Char Char3"/>
    <w:basedOn w:val="Normal"/>
    <w:rsid w:val="006F56B0"/>
    <w:pPr>
      <w:spacing w:after="0" w:line="240" w:lineRule="auto"/>
    </w:pPr>
    <w:rPr>
      <w:rFonts w:ascii="Times New Roman" w:eastAsia="Times New Roman" w:hAnsi="Times New Roman"/>
      <w:sz w:val="24"/>
      <w:szCs w:val="24"/>
      <w:lang w:val="pl-PL" w:eastAsia="pl-PL"/>
    </w:rPr>
  </w:style>
  <w:style w:type="paragraph" w:customStyle="1" w:styleId="Heading">
    <w:name w:val="Heading"/>
    <w:basedOn w:val="Heading2"/>
    <w:rsid w:val="006F56B0"/>
    <w:pPr>
      <w:numPr>
        <w:ilvl w:val="1"/>
        <w:numId w:val="20"/>
      </w:numPr>
      <w:tabs>
        <w:tab w:val="num" w:pos="360"/>
      </w:tabs>
      <w:spacing w:after="240"/>
    </w:pPr>
    <w:rPr>
      <w:rFonts w:ascii="Times New Roman" w:eastAsia="Calibri" w:hAnsi="Times New Roman"/>
      <w:bCs/>
      <w:i/>
      <w:iCs/>
      <w:sz w:val="24"/>
      <w:szCs w:val="20"/>
      <w:lang w:eastAsia="ja-JP"/>
    </w:rPr>
  </w:style>
  <w:style w:type="paragraph" w:customStyle="1" w:styleId="heading30">
    <w:name w:val="heading 30"/>
    <w:basedOn w:val="Heading"/>
    <w:rsid w:val="006F56B0"/>
    <w:pPr>
      <w:numPr>
        <w:ilvl w:val="2"/>
      </w:numPr>
      <w:tabs>
        <w:tab w:val="num" w:pos="360"/>
      </w:tabs>
    </w:pPr>
  </w:style>
  <w:style w:type="paragraph" w:customStyle="1" w:styleId="heading10">
    <w:name w:val="heading 10"/>
    <w:basedOn w:val="Heading2"/>
    <w:rsid w:val="006F56B0"/>
    <w:pPr>
      <w:numPr>
        <w:numId w:val="20"/>
      </w:numPr>
      <w:tabs>
        <w:tab w:val="num" w:pos="360"/>
      </w:tabs>
      <w:spacing w:after="240"/>
    </w:pPr>
    <w:rPr>
      <w:rFonts w:ascii="Times New Roman" w:hAnsi="Times New Roman"/>
      <w:bCs/>
      <w:i/>
      <w:iCs/>
      <w:sz w:val="24"/>
      <w:szCs w:val="20"/>
    </w:rPr>
  </w:style>
  <w:style w:type="paragraph" w:customStyle="1" w:styleId="Typedudocument">
    <w:name w:val="Type du document"/>
    <w:basedOn w:val="Normal"/>
    <w:next w:val="Normal"/>
    <w:rsid w:val="00846098"/>
    <w:pPr>
      <w:spacing w:before="360" w:after="0" w:line="240" w:lineRule="auto"/>
      <w:jc w:val="center"/>
    </w:pPr>
    <w:rPr>
      <w:rFonts w:ascii="Times New Roman" w:eastAsia="Times New Roman" w:hAnsi="Times New Roman"/>
      <w:b/>
      <w:sz w:val="24"/>
      <w:szCs w:val="24"/>
    </w:rPr>
  </w:style>
  <w:style w:type="paragraph" w:styleId="Revision">
    <w:name w:val="Revision"/>
    <w:hidden/>
    <w:uiPriority w:val="99"/>
    <w:semiHidden/>
    <w:rsid w:val="00B962FB"/>
    <w:rPr>
      <w:lang w:eastAsia="en-US"/>
    </w:rPr>
  </w:style>
  <w:style w:type="table" w:styleId="TableColorful2">
    <w:name w:val="Table Colorful 2"/>
    <w:basedOn w:val="TableNormal"/>
    <w:rsid w:val="00515E6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link-zip">
    <w:name w:val="link-zip"/>
    <w:rsid w:val="00F51BDD"/>
  </w:style>
  <w:style w:type="character" w:customStyle="1" w:styleId="rightside">
    <w:name w:val="right_side"/>
    <w:rsid w:val="00F51BDD"/>
  </w:style>
  <w:style w:type="paragraph" w:customStyle="1" w:styleId="CM1">
    <w:name w:val="CM1"/>
    <w:basedOn w:val="Default"/>
    <w:next w:val="Default"/>
    <w:uiPriority w:val="99"/>
    <w:rsid w:val="00840D6A"/>
    <w:rPr>
      <w:rFonts w:ascii="EUAlbertina" w:hAnsi="EUAlbertina"/>
      <w:color w:val="auto"/>
    </w:rPr>
  </w:style>
  <w:style w:type="paragraph" w:customStyle="1" w:styleId="CM3">
    <w:name w:val="CM3"/>
    <w:basedOn w:val="Default"/>
    <w:next w:val="Default"/>
    <w:uiPriority w:val="99"/>
    <w:rsid w:val="00840D6A"/>
    <w:rPr>
      <w:rFonts w:ascii="EUAlbertina" w:hAnsi="EUAlbertina"/>
      <w:color w:val="auto"/>
    </w:rPr>
  </w:style>
  <w:style w:type="table" w:styleId="LightList-Accent4">
    <w:name w:val="Light List Accent 4"/>
    <w:basedOn w:val="TableNormal"/>
    <w:uiPriority w:val="61"/>
    <w:rsid w:val="009C645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881011"/>
    <w:pPr>
      <w:spacing w:after="0" w:line="240" w:lineRule="auto"/>
    </w:pPr>
  </w:style>
  <w:style w:type="character" w:styleId="IntenseEmphasis">
    <w:name w:val="Intense Emphasis"/>
    <w:basedOn w:val="DefaultParagraphFont"/>
    <w:uiPriority w:val="21"/>
    <w:qFormat/>
    <w:rsid w:val="00881011"/>
    <w:rPr>
      <w:b w:val="0"/>
      <w:bCs w:val="0"/>
      <w:i/>
      <w:iCs/>
      <w:color w:val="5B9BD5" w:themeColor="accent1"/>
    </w:rPr>
  </w:style>
  <w:style w:type="paragraph" w:customStyle="1" w:styleId="Pa23">
    <w:name w:val="Pa23"/>
    <w:basedOn w:val="Default"/>
    <w:next w:val="Default"/>
    <w:uiPriority w:val="99"/>
    <w:rsid w:val="00617F7C"/>
    <w:pPr>
      <w:spacing w:line="201" w:lineRule="atLeast"/>
    </w:pPr>
    <w:rPr>
      <w:rFonts w:ascii="Minion Pro" w:hAnsi="Minion Pro"/>
      <w:color w:val="auto"/>
    </w:rPr>
  </w:style>
  <w:style w:type="paragraph" w:customStyle="1" w:styleId="RD-Indicatortabletitle">
    <w:name w:val="RD - Indicator table title"/>
    <w:basedOn w:val="Normal"/>
    <w:rsid w:val="006F387C"/>
    <w:pPr>
      <w:spacing w:after="0" w:line="240" w:lineRule="auto"/>
    </w:pPr>
    <w:rPr>
      <w:rFonts w:ascii="Verdana" w:eastAsia="Times New Roman" w:hAnsi="Verdana" w:cs="Arial"/>
      <w:b/>
      <w:sz w:val="16"/>
      <w:szCs w:val="16"/>
    </w:rPr>
  </w:style>
  <w:style w:type="paragraph" w:customStyle="1" w:styleId="RD-Indicatortabletext">
    <w:name w:val="RD - Indicator table text"/>
    <w:basedOn w:val="RD-Indicatortabletitle"/>
    <w:rsid w:val="006F387C"/>
    <w:rPr>
      <w:b w:val="0"/>
    </w:rPr>
  </w:style>
  <w:style w:type="table" w:styleId="LightList-Accent1">
    <w:name w:val="Light List Accent 1"/>
    <w:basedOn w:val="TableNormal"/>
    <w:uiPriority w:val="61"/>
    <w:rsid w:val="002D6A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B">
    <w:name w:val="annex B"/>
    <w:basedOn w:val="Normal"/>
    <w:link w:val="annexBChar"/>
    <w:rsid w:val="002D6AF6"/>
    <w:pPr>
      <w:spacing w:after="0" w:line="240" w:lineRule="auto"/>
      <w:jc w:val="both"/>
    </w:pPr>
    <w:rPr>
      <w:rFonts w:ascii="Arial" w:eastAsia="Times New Roman" w:hAnsi="Arial"/>
      <w:sz w:val="18"/>
      <w:szCs w:val="24"/>
    </w:rPr>
  </w:style>
  <w:style w:type="character" w:customStyle="1" w:styleId="annexBChar">
    <w:name w:val="annex B Char"/>
    <w:link w:val="annexB"/>
    <w:rsid w:val="002D6AF6"/>
    <w:rPr>
      <w:rFonts w:ascii="Arial" w:eastAsia="Times New Roman" w:hAnsi="Arial"/>
      <w:sz w:val="18"/>
      <w:szCs w:val="24"/>
    </w:rPr>
  </w:style>
  <w:style w:type="character" w:styleId="Emphasis">
    <w:name w:val="Emphasis"/>
    <w:basedOn w:val="DefaultParagraphFont"/>
    <w:uiPriority w:val="20"/>
    <w:qFormat/>
    <w:rsid w:val="00881011"/>
    <w:rPr>
      <w:i/>
      <w:iCs/>
    </w:rPr>
  </w:style>
  <w:style w:type="character" w:customStyle="1" w:styleId="leftside">
    <w:name w:val="left_side"/>
    <w:rsid w:val="005D50BF"/>
  </w:style>
  <w:style w:type="character" w:customStyle="1" w:styleId="Bodytext20">
    <w:name w:val="Body text (2)_"/>
    <w:rsid w:val="005B5547"/>
    <w:rPr>
      <w:rFonts w:ascii="Arial" w:eastAsia="Arial" w:hAnsi="Arial" w:cs="Arial"/>
      <w:b w:val="0"/>
      <w:bCs w:val="0"/>
      <w:i w:val="0"/>
      <w:iCs w:val="0"/>
      <w:smallCaps w:val="0"/>
      <w:strike w:val="0"/>
      <w:sz w:val="18"/>
      <w:szCs w:val="18"/>
      <w:u w:val="none"/>
    </w:rPr>
  </w:style>
  <w:style w:type="character" w:customStyle="1" w:styleId="Bodytext2Bold">
    <w:name w:val="Body text (2) + Bold"/>
    <w:rsid w:val="005B5547"/>
    <w:rPr>
      <w:rFonts w:ascii="Arial" w:eastAsia="Arial" w:hAnsi="Arial" w:cs="Arial"/>
      <w:b/>
      <w:bCs/>
      <w:i w:val="0"/>
      <w:iCs w:val="0"/>
      <w:smallCaps w:val="0"/>
      <w:strike w:val="0"/>
      <w:color w:val="0000FF"/>
      <w:spacing w:val="0"/>
      <w:w w:val="100"/>
      <w:position w:val="0"/>
      <w:sz w:val="18"/>
      <w:szCs w:val="18"/>
      <w:u w:val="none"/>
      <w:lang w:val="en-US" w:eastAsia="en-US" w:bidi="en-US"/>
    </w:rPr>
  </w:style>
  <w:style w:type="character" w:customStyle="1" w:styleId="Bodytext21">
    <w:name w:val="Body text (2)"/>
    <w:rsid w:val="005B5547"/>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Italic">
    <w:name w:val="Body text (2) + Italic"/>
    <w:rsid w:val="005B5547"/>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27ptBoldSmallCaps">
    <w:name w:val="Body text (2) + 7 pt.Bold.Small Caps"/>
    <w:rsid w:val="005B5547"/>
    <w:rPr>
      <w:rFonts w:ascii="Arial" w:eastAsia="Arial" w:hAnsi="Arial" w:cs="Arial"/>
      <w:b/>
      <w:bCs/>
      <w:i w:val="0"/>
      <w:iCs w:val="0"/>
      <w:smallCaps/>
      <w:strike w:val="0"/>
      <w:color w:val="0000FF"/>
      <w:spacing w:val="0"/>
      <w:w w:val="100"/>
      <w:position w:val="0"/>
      <w:sz w:val="14"/>
      <w:szCs w:val="14"/>
      <w:u w:val="none"/>
      <w:lang w:val="en-US" w:eastAsia="en-US" w:bidi="en-US"/>
    </w:rPr>
  </w:style>
  <w:style w:type="paragraph" w:customStyle="1" w:styleId="LegalNumPar">
    <w:name w:val="LegalNumPar"/>
    <w:basedOn w:val="Normal"/>
    <w:rsid w:val="002F6287"/>
    <w:pPr>
      <w:numPr>
        <w:numId w:val="59"/>
      </w:numPr>
      <w:spacing w:line="360" w:lineRule="auto"/>
    </w:pPr>
    <w:rPr>
      <w:sz w:val="24"/>
    </w:rPr>
  </w:style>
  <w:style w:type="paragraph" w:customStyle="1" w:styleId="LegalNumPar2">
    <w:name w:val="LegalNumPar2"/>
    <w:basedOn w:val="Normal"/>
    <w:rsid w:val="002F6287"/>
    <w:pPr>
      <w:numPr>
        <w:ilvl w:val="1"/>
        <w:numId w:val="59"/>
      </w:numPr>
      <w:spacing w:line="360" w:lineRule="auto"/>
    </w:pPr>
    <w:rPr>
      <w:sz w:val="24"/>
    </w:rPr>
  </w:style>
  <w:style w:type="paragraph" w:customStyle="1" w:styleId="LegalNumPar3">
    <w:name w:val="LegalNumPar3"/>
    <w:basedOn w:val="Normal"/>
    <w:rsid w:val="002F6287"/>
    <w:pPr>
      <w:numPr>
        <w:ilvl w:val="2"/>
        <w:numId w:val="59"/>
      </w:numPr>
      <w:spacing w:line="360" w:lineRule="auto"/>
    </w:pPr>
    <w:rPr>
      <w:sz w:val="24"/>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locked/>
    <w:rsid w:val="00263438"/>
  </w:style>
  <w:style w:type="paragraph" w:styleId="IntenseQuote">
    <w:name w:val="Intense Quote"/>
    <w:basedOn w:val="Normal"/>
    <w:next w:val="Normal"/>
    <w:link w:val="IntenseQuoteChar"/>
    <w:uiPriority w:val="30"/>
    <w:qFormat/>
    <w:rsid w:val="0088101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881011"/>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881011"/>
    <w:rPr>
      <w:i/>
      <w:iCs/>
      <w:color w:val="404040" w:themeColor="text1" w:themeTint="BF"/>
    </w:rPr>
  </w:style>
  <w:style w:type="character" w:styleId="SubtleReference">
    <w:name w:val="Subtle Reference"/>
    <w:basedOn w:val="DefaultParagraphFont"/>
    <w:uiPriority w:val="31"/>
    <w:qFormat/>
    <w:rsid w:val="008810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1011"/>
    <w:rPr>
      <w:b/>
      <w:bCs/>
      <w:smallCaps/>
      <w:color w:val="5B9BD5" w:themeColor="accent1"/>
      <w:spacing w:val="5"/>
      <w:u w:val="single"/>
    </w:rPr>
  </w:style>
  <w:style w:type="character" w:styleId="BookTitle">
    <w:name w:val="Book Title"/>
    <w:basedOn w:val="DefaultParagraphFont"/>
    <w:uiPriority w:val="33"/>
    <w:qFormat/>
    <w:rsid w:val="00881011"/>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300">
      <w:bodyDiv w:val="1"/>
      <w:marLeft w:val="0"/>
      <w:marRight w:val="0"/>
      <w:marTop w:val="0"/>
      <w:marBottom w:val="0"/>
      <w:divBdr>
        <w:top w:val="none" w:sz="0" w:space="0" w:color="auto"/>
        <w:left w:val="none" w:sz="0" w:space="0" w:color="auto"/>
        <w:bottom w:val="none" w:sz="0" w:space="0" w:color="auto"/>
        <w:right w:val="none" w:sz="0" w:space="0" w:color="auto"/>
      </w:divBdr>
    </w:div>
    <w:div w:id="32118979">
      <w:bodyDiv w:val="1"/>
      <w:marLeft w:val="0"/>
      <w:marRight w:val="0"/>
      <w:marTop w:val="0"/>
      <w:marBottom w:val="0"/>
      <w:divBdr>
        <w:top w:val="none" w:sz="0" w:space="0" w:color="auto"/>
        <w:left w:val="none" w:sz="0" w:space="0" w:color="auto"/>
        <w:bottom w:val="none" w:sz="0" w:space="0" w:color="auto"/>
        <w:right w:val="none" w:sz="0" w:space="0" w:color="auto"/>
      </w:divBdr>
    </w:div>
    <w:div w:id="34738210">
      <w:bodyDiv w:val="1"/>
      <w:marLeft w:val="0"/>
      <w:marRight w:val="0"/>
      <w:marTop w:val="0"/>
      <w:marBottom w:val="0"/>
      <w:divBdr>
        <w:top w:val="none" w:sz="0" w:space="0" w:color="auto"/>
        <w:left w:val="none" w:sz="0" w:space="0" w:color="auto"/>
        <w:bottom w:val="none" w:sz="0" w:space="0" w:color="auto"/>
        <w:right w:val="none" w:sz="0" w:space="0" w:color="auto"/>
      </w:divBdr>
    </w:div>
    <w:div w:id="51391209">
      <w:bodyDiv w:val="1"/>
      <w:marLeft w:val="0"/>
      <w:marRight w:val="0"/>
      <w:marTop w:val="0"/>
      <w:marBottom w:val="0"/>
      <w:divBdr>
        <w:top w:val="none" w:sz="0" w:space="0" w:color="auto"/>
        <w:left w:val="none" w:sz="0" w:space="0" w:color="auto"/>
        <w:bottom w:val="none" w:sz="0" w:space="0" w:color="auto"/>
        <w:right w:val="none" w:sz="0" w:space="0" w:color="auto"/>
      </w:divBdr>
    </w:div>
    <w:div w:id="54743772">
      <w:bodyDiv w:val="1"/>
      <w:marLeft w:val="0"/>
      <w:marRight w:val="0"/>
      <w:marTop w:val="0"/>
      <w:marBottom w:val="0"/>
      <w:divBdr>
        <w:top w:val="none" w:sz="0" w:space="0" w:color="auto"/>
        <w:left w:val="none" w:sz="0" w:space="0" w:color="auto"/>
        <w:bottom w:val="none" w:sz="0" w:space="0" w:color="auto"/>
        <w:right w:val="none" w:sz="0" w:space="0" w:color="auto"/>
      </w:divBdr>
    </w:div>
    <w:div w:id="55592228">
      <w:bodyDiv w:val="1"/>
      <w:marLeft w:val="0"/>
      <w:marRight w:val="0"/>
      <w:marTop w:val="0"/>
      <w:marBottom w:val="0"/>
      <w:divBdr>
        <w:top w:val="none" w:sz="0" w:space="0" w:color="auto"/>
        <w:left w:val="none" w:sz="0" w:space="0" w:color="auto"/>
        <w:bottom w:val="none" w:sz="0" w:space="0" w:color="auto"/>
        <w:right w:val="none" w:sz="0" w:space="0" w:color="auto"/>
      </w:divBdr>
      <w:divsChild>
        <w:div w:id="361789915">
          <w:marLeft w:val="0"/>
          <w:marRight w:val="0"/>
          <w:marTop w:val="0"/>
          <w:marBottom w:val="0"/>
          <w:divBdr>
            <w:top w:val="none" w:sz="0" w:space="0" w:color="auto"/>
            <w:left w:val="none" w:sz="0" w:space="0" w:color="auto"/>
            <w:bottom w:val="none" w:sz="0" w:space="0" w:color="auto"/>
            <w:right w:val="none" w:sz="0" w:space="0" w:color="auto"/>
          </w:divBdr>
          <w:divsChild>
            <w:div w:id="878779064">
              <w:marLeft w:val="0"/>
              <w:marRight w:val="0"/>
              <w:marTop w:val="0"/>
              <w:marBottom w:val="0"/>
              <w:divBdr>
                <w:top w:val="none" w:sz="0" w:space="0" w:color="auto"/>
                <w:left w:val="none" w:sz="0" w:space="0" w:color="auto"/>
                <w:bottom w:val="none" w:sz="0" w:space="0" w:color="auto"/>
                <w:right w:val="none" w:sz="0" w:space="0" w:color="auto"/>
              </w:divBdr>
              <w:divsChild>
                <w:div w:id="1405879841">
                  <w:marLeft w:val="0"/>
                  <w:marRight w:val="0"/>
                  <w:marTop w:val="0"/>
                  <w:marBottom w:val="0"/>
                  <w:divBdr>
                    <w:top w:val="none" w:sz="0" w:space="0" w:color="auto"/>
                    <w:left w:val="none" w:sz="0" w:space="0" w:color="auto"/>
                    <w:bottom w:val="none" w:sz="0" w:space="0" w:color="auto"/>
                    <w:right w:val="none" w:sz="0" w:space="0" w:color="auto"/>
                  </w:divBdr>
                  <w:divsChild>
                    <w:div w:id="1641963482">
                      <w:marLeft w:val="0"/>
                      <w:marRight w:val="0"/>
                      <w:marTop w:val="0"/>
                      <w:marBottom w:val="0"/>
                      <w:divBdr>
                        <w:top w:val="none" w:sz="0" w:space="0" w:color="auto"/>
                        <w:left w:val="none" w:sz="0" w:space="0" w:color="auto"/>
                        <w:bottom w:val="none" w:sz="0" w:space="0" w:color="auto"/>
                        <w:right w:val="none" w:sz="0" w:space="0" w:color="auto"/>
                      </w:divBdr>
                      <w:divsChild>
                        <w:div w:id="1280378069">
                          <w:marLeft w:val="0"/>
                          <w:marRight w:val="0"/>
                          <w:marTop w:val="0"/>
                          <w:marBottom w:val="0"/>
                          <w:divBdr>
                            <w:top w:val="none" w:sz="0" w:space="0" w:color="auto"/>
                            <w:left w:val="none" w:sz="0" w:space="0" w:color="auto"/>
                            <w:bottom w:val="none" w:sz="0" w:space="0" w:color="auto"/>
                            <w:right w:val="none" w:sz="0" w:space="0" w:color="auto"/>
                          </w:divBdr>
                          <w:divsChild>
                            <w:div w:id="15585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8809">
      <w:bodyDiv w:val="1"/>
      <w:marLeft w:val="0"/>
      <w:marRight w:val="0"/>
      <w:marTop w:val="0"/>
      <w:marBottom w:val="0"/>
      <w:divBdr>
        <w:top w:val="none" w:sz="0" w:space="0" w:color="auto"/>
        <w:left w:val="none" w:sz="0" w:space="0" w:color="auto"/>
        <w:bottom w:val="none" w:sz="0" w:space="0" w:color="auto"/>
        <w:right w:val="none" w:sz="0" w:space="0" w:color="auto"/>
      </w:divBdr>
    </w:div>
    <w:div w:id="146631180">
      <w:bodyDiv w:val="1"/>
      <w:marLeft w:val="0"/>
      <w:marRight w:val="0"/>
      <w:marTop w:val="0"/>
      <w:marBottom w:val="0"/>
      <w:divBdr>
        <w:top w:val="none" w:sz="0" w:space="0" w:color="auto"/>
        <w:left w:val="none" w:sz="0" w:space="0" w:color="auto"/>
        <w:bottom w:val="none" w:sz="0" w:space="0" w:color="auto"/>
        <w:right w:val="none" w:sz="0" w:space="0" w:color="auto"/>
      </w:divBdr>
    </w:div>
    <w:div w:id="163715184">
      <w:bodyDiv w:val="1"/>
      <w:marLeft w:val="0"/>
      <w:marRight w:val="0"/>
      <w:marTop w:val="0"/>
      <w:marBottom w:val="0"/>
      <w:divBdr>
        <w:top w:val="none" w:sz="0" w:space="0" w:color="auto"/>
        <w:left w:val="none" w:sz="0" w:space="0" w:color="auto"/>
        <w:bottom w:val="none" w:sz="0" w:space="0" w:color="auto"/>
        <w:right w:val="none" w:sz="0" w:space="0" w:color="auto"/>
      </w:divBdr>
    </w:div>
    <w:div w:id="166288994">
      <w:bodyDiv w:val="1"/>
      <w:marLeft w:val="0"/>
      <w:marRight w:val="0"/>
      <w:marTop w:val="0"/>
      <w:marBottom w:val="0"/>
      <w:divBdr>
        <w:top w:val="none" w:sz="0" w:space="0" w:color="auto"/>
        <w:left w:val="none" w:sz="0" w:space="0" w:color="auto"/>
        <w:bottom w:val="none" w:sz="0" w:space="0" w:color="auto"/>
        <w:right w:val="none" w:sz="0" w:space="0" w:color="auto"/>
      </w:divBdr>
    </w:div>
    <w:div w:id="218631816">
      <w:bodyDiv w:val="1"/>
      <w:marLeft w:val="0"/>
      <w:marRight w:val="0"/>
      <w:marTop w:val="0"/>
      <w:marBottom w:val="0"/>
      <w:divBdr>
        <w:top w:val="none" w:sz="0" w:space="0" w:color="auto"/>
        <w:left w:val="none" w:sz="0" w:space="0" w:color="auto"/>
        <w:bottom w:val="none" w:sz="0" w:space="0" w:color="auto"/>
        <w:right w:val="none" w:sz="0" w:space="0" w:color="auto"/>
      </w:divBdr>
    </w:div>
    <w:div w:id="244606861">
      <w:bodyDiv w:val="1"/>
      <w:marLeft w:val="0"/>
      <w:marRight w:val="0"/>
      <w:marTop w:val="0"/>
      <w:marBottom w:val="0"/>
      <w:divBdr>
        <w:top w:val="none" w:sz="0" w:space="0" w:color="auto"/>
        <w:left w:val="none" w:sz="0" w:space="0" w:color="auto"/>
        <w:bottom w:val="none" w:sz="0" w:space="0" w:color="auto"/>
        <w:right w:val="none" w:sz="0" w:space="0" w:color="auto"/>
      </w:divBdr>
    </w:div>
    <w:div w:id="302734322">
      <w:bodyDiv w:val="1"/>
      <w:marLeft w:val="0"/>
      <w:marRight w:val="0"/>
      <w:marTop w:val="0"/>
      <w:marBottom w:val="0"/>
      <w:divBdr>
        <w:top w:val="none" w:sz="0" w:space="0" w:color="auto"/>
        <w:left w:val="none" w:sz="0" w:space="0" w:color="auto"/>
        <w:bottom w:val="none" w:sz="0" w:space="0" w:color="auto"/>
        <w:right w:val="none" w:sz="0" w:space="0" w:color="auto"/>
      </w:divBdr>
    </w:div>
    <w:div w:id="348600620">
      <w:bodyDiv w:val="1"/>
      <w:marLeft w:val="0"/>
      <w:marRight w:val="0"/>
      <w:marTop w:val="0"/>
      <w:marBottom w:val="0"/>
      <w:divBdr>
        <w:top w:val="none" w:sz="0" w:space="0" w:color="auto"/>
        <w:left w:val="none" w:sz="0" w:space="0" w:color="auto"/>
        <w:bottom w:val="none" w:sz="0" w:space="0" w:color="auto"/>
        <w:right w:val="none" w:sz="0" w:space="0" w:color="auto"/>
      </w:divBdr>
    </w:div>
    <w:div w:id="376978663">
      <w:bodyDiv w:val="1"/>
      <w:marLeft w:val="0"/>
      <w:marRight w:val="0"/>
      <w:marTop w:val="0"/>
      <w:marBottom w:val="0"/>
      <w:divBdr>
        <w:top w:val="none" w:sz="0" w:space="0" w:color="auto"/>
        <w:left w:val="none" w:sz="0" w:space="0" w:color="auto"/>
        <w:bottom w:val="none" w:sz="0" w:space="0" w:color="auto"/>
        <w:right w:val="none" w:sz="0" w:space="0" w:color="auto"/>
      </w:divBdr>
    </w:div>
    <w:div w:id="438306316">
      <w:bodyDiv w:val="1"/>
      <w:marLeft w:val="0"/>
      <w:marRight w:val="0"/>
      <w:marTop w:val="0"/>
      <w:marBottom w:val="0"/>
      <w:divBdr>
        <w:top w:val="none" w:sz="0" w:space="0" w:color="auto"/>
        <w:left w:val="none" w:sz="0" w:space="0" w:color="auto"/>
        <w:bottom w:val="none" w:sz="0" w:space="0" w:color="auto"/>
        <w:right w:val="none" w:sz="0" w:space="0" w:color="auto"/>
      </w:divBdr>
      <w:divsChild>
        <w:div w:id="437607050">
          <w:marLeft w:val="1166"/>
          <w:marRight w:val="0"/>
          <w:marTop w:val="130"/>
          <w:marBottom w:val="0"/>
          <w:divBdr>
            <w:top w:val="none" w:sz="0" w:space="0" w:color="auto"/>
            <w:left w:val="none" w:sz="0" w:space="0" w:color="auto"/>
            <w:bottom w:val="none" w:sz="0" w:space="0" w:color="auto"/>
            <w:right w:val="none" w:sz="0" w:space="0" w:color="auto"/>
          </w:divBdr>
        </w:div>
        <w:div w:id="586309049">
          <w:marLeft w:val="1166"/>
          <w:marRight w:val="0"/>
          <w:marTop w:val="130"/>
          <w:marBottom w:val="0"/>
          <w:divBdr>
            <w:top w:val="none" w:sz="0" w:space="0" w:color="auto"/>
            <w:left w:val="none" w:sz="0" w:space="0" w:color="auto"/>
            <w:bottom w:val="none" w:sz="0" w:space="0" w:color="auto"/>
            <w:right w:val="none" w:sz="0" w:space="0" w:color="auto"/>
          </w:divBdr>
        </w:div>
        <w:div w:id="822967280">
          <w:marLeft w:val="1166"/>
          <w:marRight w:val="0"/>
          <w:marTop w:val="130"/>
          <w:marBottom w:val="0"/>
          <w:divBdr>
            <w:top w:val="none" w:sz="0" w:space="0" w:color="auto"/>
            <w:left w:val="none" w:sz="0" w:space="0" w:color="auto"/>
            <w:bottom w:val="none" w:sz="0" w:space="0" w:color="auto"/>
            <w:right w:val="none" w:sz="0" w:space="0" w:color="auto"/>
          </w:divBdr>
        </w:div>
        <w:div w:id="1222446350">
          <w:marLeft w:val="547"/>
          <w:marRight w:val="0"/>
          <w:marTop w:val="370"/>
          <w:marBottom w:val="0"/>
          <w:divBdr>
            <w:top w:val="none" w:sz="0" w:space="0" w:color="auto"/>
            <w:left w:val="none" w:sz="0" w:space="0" w:color="auto"/>
            <w:bottom w:val="none" w:sz="0" w:space="0" w:color="auto"/>
            <w:right w:val="none" w:sz="0" w:space="0" w:color="auto"/>
          </w:divBdr>
        </w:div>
        <w:div w:id="1471751920">
          <w:marLeft w:val="547"/>
          <w:marRight w:val="0"/>
          <w:marTop w:val="370"/>
          <w:marBottom w:val="0"/>
          <w:divBdr>
            <w:top w:val="none" w:sz="0" w:space="0" w:color="auto"/>
            <w:left w:val="none" w:sz="0" w:space="0" w:color="auto"/>
            <w:bottom w:val="none" w:sz="0" w:space="0" w:color="auto"/>
            <w:right w:val="none" w:sz="0" w:space="0" w:color="auto"/>
          </w:divBdr>
        </w:div>
        <w:div w:id="1854488115">
          <w:marLeft w:val="1166"/>
          <w:marRight w:val="0"/>
          <w:marTop w:val="130"/>
          <w:marBottom w:val="0"/>
          <w:divBdr>
            <w:top w:val="none" w:sz="0" w:space="0" w:color="auto"/>
            <w:left w:val="none" w:sz="0" w:space="0" w:color="auto"/>
            <w:bottom w:val="none" w:sz="0" w:space="0" w:color="auto"/>
            <w:right w:val="none" w:sz="0" w:space="0" w:color="auto"/>
          </w:divBdr>
        </w:div>
      </w:divsChild>
    </w:div>
    <w:div w:id="480276417">
      <w:bodyDiv w:val="1"/>
      <w:marLeft w:val="0"/>
      <w:marRight w:val="0"/>
      <w:marTop w:val="0"/>
      <w:marBottom w:val="0"/>
      <w:divBdr>
        <w:top w:val="none" w:sz="0" w:space="0" w:color="auto"/>
        <w:left w:val="none" w:sz="0" w:space="0" w:color="auto"/>
        <w:bottom w:val="none" w:sz="0" w:space="0" w:color="auto"/>
        <w:right w:val="none" w:sz="0" w:space="0" w:color="auto"/>
      </w:divBdr>
    </w:div>
    <w:div w:id="491288615">
      <w:bodyDiv w:val="1"/>
      <w:marLeft w:val="0"/>
      <w:marRight w:val="0"/>
      <w:marTop w:val="0"/>
      <w:marBottom w:val="0"/>
      <w:divBdr>
        <w:top w:val="none" w:sz="0" w:space="0" w:color="auto"/>
        <w:left w:val="none" w:sz="0" w:space="0" w:color="auto"/>
        <w:bottom w:val="none" w:sz="0" w:space="0" w:color="auto"/>
        <w:right w:val="none" w:sz="0" w:space="0" w:color="auto"/>
      </w:divBdr>
    </w:div>
    <w:div w:id="502939324">
      <w:bodyDiv w:val="1"/>
      <w:marLeft w:val="0"/>
      <w:marRight w:val="0"/>
      <w:marTop w:val="0"/>
      <w:marBottom w:val="0"/>
      <w:divBdr>
        <w:top w:val="none" w:sz="0" w:space="0" w:color="auto"/>
        <w:left w:val="none" w:sz="0" w:space="0" w:color="auto"/>
        <w:bottom w:val="none" w:sz="0" w:space="0" w:color="auto"/>
        <w:right w:val="none" w:sz="0" w:space="0" w:color="auto"/>
      </w:divBdr>
    </w:div>
    <w:div w:id="555818614">
      <w:bodyDiv w:val="1"/>
      <w:marLeft w:val="0"/>
      <w:marRight w:val="0"/>
      <w:marTop w:val="0"/>
      <w:marBottom w:val="0"/>
      <w:divBdr>
        <w:top w:val="none" w:sz="0" w:space="0" w:color="auto"/>
        <w:left w:val="none" w:sz="0" w:space="0" w:color="auto"/>
        <w:bottom w:val="none" w:sz="0" w:space="0" w:color="auto"/>
        <w:right w:val="none" w:sz="0" w:space="0" w:color="auto"/>
      </w:divBdr>
    </w:div>
    <w:div w:id="568929035">
      <w:bodyDiv w:val="1"/>
      <w:marLeft w:val="0"/>
      <w:marRight w:val="0"/>
      <w:marTop w:val="0"/>
      <w:marBottom w:val="0"/>
      <w:divBdr>
        <w:top w:val="none" w:sz="0" w:space="0" w:color="auto"/>
        <w:left w:val="none" w:sz="0" w:space="0" w:color="auto"/>
        <w:bottom w:val="none" w:sz="0" w:space="0" w:color="auto"/>
        <w:right w:val="none" w:sz="0" w:space="0" w:color="auto"/>
      </w:divBdr>
    </w:div>
    <w:div w:id="588125033">
      <w:bodyDiv w:val="1"/>
      <w:marLeft w:val="0"/>
      <w:marRight w:val="0"/>
      <w:marTop w:val="0"/>
      <w:marBottom w:val="0"/>
      <w:divBdr>
        <w:top w:val="none" w:sz="0" w:space="0" w:color="auto"/>
        <w:left w:val="none" w:sz="0" w:space="0" w:color="auto"/>
        <w:bottom w:val="none" w:sz="0" w:space="0" w:color="auto"/>
        <w:right w:val="none" w:sz="0" w:space="0" w:color="auto"/>
      </w:divBdr>
    </w:div>
    <w:div w:id="617950176">
      <w:bodyDiv w:val="1"/>
      <w:marLeft w:val="0"/>
      <w:marRight w:val="0"/>
      <w:marTop w:val="0"/>
      <w:marBottom w:val="0"/>
      <w:divBdr>
        <w:top w:val="none" w:sz="0" w:space="0" w:color="auto"/>
        <w:left w:val="none" w:sz="0" w:space="0" w:color="auto"/>
        <w:bottom w:val="none" w:sz="0" w:space="0" w:color="auto"/>
        <w:right w:val="none" w:sz="0" w:space="0" w:color="auto"/>
      </w:divBdr>
    </w:div>
    <w:div w:id="632757529">
      <w:bodyDiv w:val="1"/>
      <w:marLeft w:val="0"/>
      <w:marRight w:val="0"/>
      <w:marTop w:val="0"/>
      <w:marBottom w:val="0"/>
      <w:divBdr>
        <w:top w:val="none" w:sz="0" w:space="0" w:color="auto"/>
        <w:left w:val="none" w:sz="0" w:space="0" w:color="auto"/>
        <w:bottom w:val="none" w:sz="0" w:space="0" w:color="auto"/>
        <w:right w:val="none" w:sz="0" w:space="0" w:color="auto"/>
      </w:divBdr>
    </w:div>
    <w:div w:id="639269326">
      <w:bodyDiv w:val="1"/>
      <w:marLeft w:val="0"/>
      <w:marRight w:val="0"/>
      <w:marTop w:val="0"/>
      <w:marBottom w:val="0"/>
      <w:divBdr>
        <w:top w:val="none" w:sz="0" w:space="0" w:color="auto"/>
        <w:left w:val="none" w:sz="0" w:space="0" w:color="auto"/>
        <w:bottom w:val="none" w:sz="0" w:space="0" w:color="auto"/>
        <w:right w:val="none" w:sz="0" w:space="0" w:color="auto"/>
      </w:divBdr>
      <w:divsChild>
        <w:div w:id="1359618647">
          <w:marLeft w:val="3125"/>
          <w:marRight w:val="0"/>
          <w:marTop w:val="0"/>
          <w:marBottom w:val="0"/>
          <w:divBdr>
            <w:top w:val="none" w:sz="0" w:space="0" w:color="auto"/>
            <w:left w:val="none" w:sz="0" w:space="0" w:color="auto"/>
            <w:bottom w:val="none" w:sz="0" w:space="0" w:color="auto"/>
            <w:right w:val="none" w:sz="0" w:space="0" w:color="auto"/>
          </w:divBdr>
        </w:div>
        <w:div w:id="1714698211">
          <w:marLeft w:val="3125"/>
          <w:marRight w:val="0"/>
          <w:marTop w:val="0"/>
          <w:marBottom w:val="0"/>
          <w:divBdr>
            <w:top w:val="none" w:sz="0" w:space="0" w:color="auto"/>
            <w:left w:val="none" w:sz="0" w:space="0" w:color="auto"/>
            <w:bottom w:val="none" w:sz="0" w:space="0" w:color="auto"/>
            <w:right w:val="none" w:sz="0" w:space="0" w:color="auto"/>
          </w:divBdr>
        </w:div>
      </w:divsChild>
    </w:div>
    <w:div w:id="654917153">
      <w:bodyDiv w:val="1"/>
      <w:marLeft w:val="0"/>
      <w:marRight w:val="0"/>
      <w:marTop w:val="0"/>
      <w:marBottom w:val="0"/>
      <w:divBdr>
        <w:top w:val="none" w:sz="0" w:space="0" w:color="auto"/>
        <w:left w:val="none" w:sz="0" w:space="0" w:color="auto"/>
        <w:bottom w:val="none" w:sz="0" w:space="0" w:color="auto"/>
        <w:right w:val="none" w:sz="0" w:space="0" w:color="auto"/>
      </w:divBdr>
    </w:div>
    <w:div w:id="726611974">
      <w:bodyDiv w:val="1"/>
      <w:marLeft w:val="0"/>
      <w:marRight w:val="0"/>
      <w:marTop w:val="0"/>
      <w:marBottom w:val="0"/>
      <w:divBdr>
        <w:top w:val="none" w:sz="0" w:space="0" w:color="auto"/>
        <w:left w:val="none" w:sz="0" w:space="0" w:color="auto"/>
        <w:bottom w:val="none" w:sz="0" w:space="0" w:color="auto"/>
        <w:right w:val="none" w:sz="0" w:space="0" w:color="auto"/>
      </w:divBdr>
      <w:divsChild>
        <w:div w:id="246891985">
          <w:marLeft w:val="3125"/>
          <w:marRight w:val="0"/>
          <w:marTop w:val="0"/>
          <w:marBottom w:val="0"/>
          <w:divBdr>
            <w:top w:val="none" w:sz="0" w:space="0" w:color="auto"/>
            <w:left w:val="none" w:sz="0" w:space="0" w:color="auto"/>
            <w:bottom w:val="none" w:sz="0" w:space="0" w:color="auto"/>
            <w:right w:val="none" w:sz="0" w:space="0" w:color="auto"/>
          </w:divBdr>
        </w:div>
        <w:div w:id="1163740022">
          <w:marLeft w:val="3125"/>
          <w:marRight w:val="0"/>
          <w:marTop w:val="0"/>
          <w:marBottom w:val="0"/>
          <w:divBdr>
            <w:top w:val="none" w:sz="0" w:space="0" w:color="auto"/>
            <w:left w:val="none" w:sz="0" w:space="0" w:color="auto"/>
            <w:bottom w:val="none" w:sz="0" w:space="0" w:color="auto"/>
            <w:right w:val="none" w:sz="0" w:space="0" w:color="auto"/>
          </w:divBdr>
        </w:div>
      </w:divsChild>
    </w:div>
    <w:div w:id="735012291">
      <w:bodyDiv w:val="1"/>
      <w:marLeft w:val="0"/>
      <w:marRight w:val="0"/>
      <w:marTop w:val="0"/>
      <w:marBottom w:val="0"/>
      <w:divBdr>
        <w:top w:val="none" w:sz="0" w:space="0" w:color="auto"/>
        <w:left w:val="none" w:sz="0" w:space="0" w:color="auto"/>
        <w:bottom w:val="none" w:sz="0" w:space="0" w:color="auto"/>
        <w:right w:val="none" w:sz="0" w:space="0" w:color="auto"/>
      </w:divBdr>
    </w:div>
    <w:div w:id="740978700">
      <w:bodyDiv w:val="1"/>
      <w:marLeft w:val="0"/>
      <w:marRight w:val="0"/>
      <w:marTop w:val="0"/>
      <w:marBottom w:val="0"/>
      <w:divBdr>
        <w:top w:val="none" w:sz="0" w:space="0" w:color="auto"/>
        <w:left w:val="none" w:sz="0" w:space="0" w:color="auto"/>
        <w:bottom w:val="none" w:sz="0" w:space="0" w:color="auto"/>
        <w:right w:val="none" w:sz="0" w:space="0" w:color="auto"/>
      </w:divBdr>
    </w:div>
    <w:div w:id="756557857">
      <w:bodyDiv w:val="1"/>
      <w:marLeft w:val="0"/>
      <w:marRight w:val="0"/>
      <w:marTop w:val="0"/>
      <w:marBottom w:val="0"/>
      <w:divBdr>
        <w:top w:val="none" w:sz="0" w:space="0" w:color="auto"/>
        <w:left w:val="none" w:sz="0" w:space="0" w:color="auto"/>
        <w:bottom w:val="none" w:sz="0" w:space="0" w:color="auto"/>
        <w:right w:val="none" w:sz="0" w:space="0" w:color="auto"/>
      </w:divBdr>
      <w:divsChild>
        <w:div w:id="760226099">
          <w:marLeft w:val="3125"/>
          <w:marRight w:val="0"/>
          <w:marTop w:val="0"/>
          <w:marBottom w:val="0"/>
          <w:divBdr>
            <w:top w:val="none" w:sz="0" w:space="0" w:color="auto"/>
            <w:left w:val="none" w:sz="0" w:space="0" w:color="auto"/>
            <w:bottom w:val="none" w:sz="0" w:space="0" w:color="auto"/>
            <w:right w:val="none" w:sz="0" w:space="0" w:color="auto"/>
          </w:divBdr>
        </w:div>
        <w:div w:id="2079357425">
          <w:marLeft w:val="3125"/>
          <w:marRight w:val="0"/>
          <w:marTop w:val="0"/>
          <w:marBottom w:val="0"/>
          <w:divBdr>
            <w:top w:val="none" w:sz="0" w:space="0" w:color="auto"/>
            <w:left w:val="none" w:sz="0" w:space="0" w:color="auto"/>
            <w:bottom w:val="none" w:sz="0" w:space="0" w:color="auto"/>
            <w:right w:val="none" w:sz="0" w:space="0" w:color="auto"/>
          </w:divBdr>
        </w:div>
      </w:divsChild>
    </w:div>
    <w:div w:id="772092526">
      <w:bodyDiv w:val="1"/>
      <w:marLeft w:val="0"/>
      <w:marRight w:val="0"/>
      <w:marTop w:val="0"/>
      <w:marBottom w:val="0"/>
      <w:divBdr>
        <w:top w:val="none" w:sz="0" w:space="0" w:color="auto"/>
        <w:left w:val="none" w:sz="0" w:space="0" w:color="auto"/>
        <w:bottom w:val="none" w:sz="0" w:space="0" w:color="auto"/>
        <w:right w:val="none" w:sz="0" w:space="0" w:color="auto"/>
      </w:divBdr>
    </w:div>
    <w:div w:id="802576527">
      <w:bodyDiv w:val="1"/>
      <w:marLeft w:val="0"/>
      <w:marRight w:val="0"/>
      <w:marTop w:val="0"/>
      <w:marBottom w:val="0"/>
      <w:divBdr>
        <w:top w:val="none" w:sz="0" w:space="0" w:color="auto"/>
        <w:left w:val="none" w:sz="0" w:space="0" w:color="auto"/>
        <w:bottom w:val="none" w:sz="0" w:space="0" w:color="auto"/>
        <w:right w:val="none" w:sz="0" w:space="0" w:color="auto"/>
      </w:divBdr>
    </w:div>
    <w:div w:id="807019293">
      <w:bodyDiv w:val="1"/>
      <w:marLeft w:val="0"/>
      <w:marRight w:val="0"/>
      <w:marTop w:val="0"/>
      <w:marBottom w:val="0"/>
      <w:divBdr>
        <w:top w:val="none" w:sz="0" w:space="0" w:color="auto"/>
        <w:left w:val="none" w:sz="0" w:space="0" w:color="auto"/>
        <w:bottom w:val="none" w:sz="0" w:space="0" w:color="auto"/>
        <w:right w:val="none" w:sz="0" w:space="0" w:color="auto"/>
      </w:divBdr>
    </w:div>
    <w:div w:id="872225861">
      <w:bodyDiv w:val="1"/>
      <w:marLeft w:val="0"/>
      <w:marRight w:val="0"/>
      <w:marTop w:val="0"/>
      <w:marBottom w:val="0"/>
      <w:divBdr>
        <w:top w:val="none" w:sz="0" w:space="0" w:color="auto"/>
        <w:left w:val="none" w:sz="0" w:space="0" w:color="auto"/>
        <w:bottom w:val="none" w:sz="0" w:space="0" w:color="auto"/>
        <w:right w:val="none" w:sz="0" w:space="0" w:color="auto"/>
      </w:divBdr>
    </w:div>
    <w:div w:id="996760548">
      <w:bodyDiv w:val="1"/>
      <w:marLeft w:val="0"/>
      <w:marRight w:val="0"/>
      <w:marTop w:val="0"/>
      <w:marBottom w:val="0"/>
      <w:divBdr>
        <w:top w:val="none" w:sz="0" w:space="0" w:color="auto"/>
        <w:left w:val="none" w:sz="0" w:space="0" w:color="auto"/>
        <w:bottom w:val="none" w:sz="0" w:space="0" w:color="auto"/>
        <w:right w:val="none" w:sz="0" w:space="0" w:color="auto"/>
      </w:divBdr>
    </w:div>
    <w:div w:id="1025601065">
      <w:bodyDiv w:val="1"/>
      <w:marLeft w:val="0"/>
      <w:marRight w:val="0"/>
      <w:marTop w:val="0"/>
      <w:marBottom w:val="0"/>
      <w:divBdr>
        <w:top w:val="none" w:sz="0" w:space="0" w:color="auto"/>
        <w:left w:val="none" w:sz="0" w:space="0" w:color="auto"/>
        <w:bottom w:val="none" w:sz="0" w:space="0" w:color="auto"/>
        <w:right w:val="none" w:sz="0" w:space="0" w:color="auto"/>
      </w:divBdr>
    </w:div>
    <w:div w:id="1053695758">
      <w:bodyDiv w:val="1"/>
      <w:marLeft w:val="0"/>
      <w:marRight w:val="0"/>
      <w:marTop w:val="0"/>
      <w:marBottom w:val="0"/>
      <w:divBdr>
        <w:top w:val="none" w:sz="0" w:space="0" w:color="auto"/>
        <w:left w:val="none" w:sz="0" w:space="0" w:color="auto"/>
        <w:bottom w:val="none" w:sz="0" w:space="0" w:color="auto"/>
        <w:right w:val="none" w:sz="0" w:space="0" w:color="auto"/>
      </w:divBdr>
    </w:div>
    <w:div w:id="1071462405">
      <w:bodyDiv w:val="1"/>
      <w:marLeft w:val="0"/>
      <w:marRight w:val="0"/>
      <w:marTop w:val="0"/>
      <w:marBottom w:val="0"/>
      <w:divBdr>
        <w:top w:val="none" w:sz="0" w:space="0" w:color="auto"/>
        <w:left w:val="none" w:sz="0" w:space="0" w:color="auto"/>
        <w:bottom w:val="none" w:sz="0" w:space="0" w:color="auto"/>
        <w:right w:val="none" w:sz="0" w:space="0" w:color="auto"/>
      </w:divBdr>
    </w:div>
    <w:div w:id="1105420944">
      <w:bodyDiv w:val="1"/>
      <w:marLeft w:val="0"/>
      <w:marRight w:val="0"/>
      <w:marTop w:val="0"/>
      <w:marBottom w:val="0"/>
      <w:divBdr>
        <w:top w:val="none" w:sz="0" w:space="0" w:color="auto"/>
        <w:left w:val="none" w:sz="0" w:space="0" w:color="auto"/>
        <w:bottom w:val="none" w:sz="0" w:space="0" w:color="auto"/>
        <w:right w:val="none" w:sz="0" w:space="0" w:color="auto"/>
      </w:divBdr>
      <w:divsChild>
        <w:div w:id="145973119">
          <w:marLeft w:val="0"/>
          <w:marRight w:val="0"/>
          <w:marTop w:val="0"/>
          <w:marBottom w:val="0"/>
          <w:divBdr>
            <w:top w:val="none" w:sz="0" w:space="0" w:color="auto"/>
            <w:left w:val="none" w:sz="0" w:space="0" w:color="auto"/>
            <w:bottom w:val="none" w:sz="0" w:space="0" w:color="auto"/>
            <w:right w:val="none" w:sz="0" w:space="0" w:color="auto"/>
          </w:divBdr>
          <w:divsChild>
            <w:div w:id="187792136">
              <w:marLeft w:val="0"/>
              <w:marRight w:val="0"/>
              <w:marTop w:val="0"/>
              <w:marBottom w:val="300"/>
              <w:divBdr>
                <w:top w:val="none" w:sz="0" w:space="0" w:color="auto"/>
                <w:left w:val="none" w:sz="0" w:space="0" w:color="auto"/>
                <w:bottom w:val="none" w:sz="0" w:space="0" w:color="auto"/>
                <w:right w:val="none" w:sz="0" w:space="0" w:color="auto"/>
              </w:divBdr>
              <w:divsChild>
                <w:div w:id="823204856">
                  <w:marLeft w:val="0"/>
                  <w:marRight w:val="0"/>
                  <w:marTop w:val="0"/>
                  <w:marBottom w:val="0"/>
                  <w:divBdr>
                    <w:top w:val="single" w:sz="6" w:space="4" w:color="C5C5C7"/>
                    <w:left w:val="single" w:sz="6" w:space="11" w:color="C5C5C7"/>
                    <w:bottom w:val="none" w:sz="0" w:space="0" w:color="auto"/>
                    <w:right w:val="single" w:sz="6" w:space="11" w:color="C5C5C7"/>
                  </w:divBdr>
                  <w:divsChild>
                    <w:div w:id="1560944520">
                      <w:marLeft w:val="0"/>
                      <w:marRight w:val="0"/>
                      <w:marTop w:val="0"/>
                      <w:marBottom w:val="0"/>
                      <w:divBdr>
                        <w:top w:val="none" w:sz="0" w:space="0" w:color="auto"/>
                        <w:left w:val="none" w:sz="0" w:space="0" w:color="auto"/>
                        <w:bottom w:val="none" w:sz="0" w:space="0" w:color="auto"/>
                        <w:right w:val="none" w:sz="0" w:space="0" w:color="auto"/>
                      </w:divBdr>
                      <w:divsChild>
                        <w:div w:id="1790314629">
                          <w:marLeft w:val="0"/>
                          <w:marRight w:val="0"/>
                          <w:marTop w:val="0"/>
                          <w:marBottom w:val="0"/>
                          <w:divBdr>
                            <w:top w:val="none" w:sz="0" w:space="0" w:color="auto"/>
                            <w:left w:val="none" w:sz="0" w:space="0" w:color="auto"/>
                            <w:bottom w:val="none" w:sz="0" w:space="0" w:color="auto"/>
                            <w:right w:val="none" w:sz="0" w:space="0" w:color="auto"/>
                          </w:divBdr>
                          <w:divsChild>
                            <w:div w:id="1382708989">
                              <w:marLeft w:val="0"/>
                              <w:marRight w:val="0"/>
                              <w:marTop w:val="0"/>
                              <w:marBottom w:val="0"/>
                              <w:divBdr>
                                <w:top w:val="none" w:sz="0" w:space="0" w:color="auto"/>
                                <w:left w:val="none" w:sz="0" w:space="0" w:color="auto"/>
                                <w:bottom w:val="none" w:sz="0" w:space="0" w:color="auto"/>
                                <w:right w:val="none" w:sz="0" w:space="0" w:color="auto"/>
                              </w:divBdr>
                            </w:div>
                            <w:div w:id="1614479382">
                              <w:marLeft w:val="0"/>
                              <w:marRight w:val="0"/>
                              <w:marTop w:val="0"/>
                              <w:marBottom w:val="0"/>
                              <w:divBdr>
                                <w:top w:val="none" w:sz="0" w:space="0" w:color="auto"/>
                                <w:left w:val="none" w:sz="0" w:space="0" w:color="auto"/>
                                <w:bottom w:val="none" w:sz="0" w:space="0" w:color="auto"/>
                                <w:right w:val="none" w:sz="0" w:space="0" w:color="auto"/>
                              </w:divBdr>
                            </w:div>
                            <w:div w:id="1715079542">
                              <w:marLeft w:val="0"/>
                              <w:marRight w:val="0"/>
                              <w:marTop w:val="0"/>
                              <w:marBottom w:val="0"/>
                              <w:divBdr>
                                <w:top w:val="none" w:sz="0" w:space="0" w:color="auto"/>
                                <w:left w:val="none" w:sz="0" w:space="0" w:color="auto"/>
                                <w:bottom w:val="none" w:sz="0" w:space="0" w:color="auto"/>
                                <w:right w:val="none" w:sz="0" w:space="0" w:color="auto"/>
                              </w:divBdr>
                            </w:div>
                            <w:div w:id="1866366734">
                              <w:marLeft w:val="0"/>
                              <w:marRight w:val="0"/>
                              <w:marTop w:val="0"/>
                              <w:marBottom w:val="0"/>
                              <w:divBdr>
                                <w:top w:val="none" w:sz="0" w:space="0" w:color="auto"/>
                                <w:left w:val="none" w:sz="0" w:space="0" w:color="auto"/>
                                <w:bottom w:val="none" w:sz="0" w:space="0" w:color="auto"/>
                                <w:right w:val="none" w:sz="0" w:space="0" w:color="auto"/>
                              </w:divBdr>
                            </w:div>
                            <w:div w:id="1867404781">
                              <w:marLeft w:val="0"/>
                              <w:marRight w:val="0"/>
                              <w:marTop w:val="0"/>
                              <w:marBottom w:val="0"/>
                              <w:divBdr>
                                <w:top w:val="none" w:sz="0" w:space="0" w:color="auto"/>
                                <w:left w:val="none" w:sz="0" w:space="0" w:color="auto"/>
                                <w:bottom w:val="none" w:sz="0" w:space="0" w:color="auto"/>
                                <w:right w:val="none" w:sz="0" w:space="0" w:color="auto"/>
                              </w:divBdr>
                            </w:div>
                            <w:div w:id="2130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22767">
      <w:bodyDiv w:val="1"/>
      <w:marLeft w:val="0"/>
      <w:marRight w:val="0"/>
      <w:marTop w:val="0"/>
      <w:marBottom w:val="0"/>
      <w:divBdr>
        <w:top w:val="none" w:sz="0" w:space="0" w:color="auto"/>
        <w:left w:val="none" w:sz="0" w:space="0" w:color="auto"/>
        <w:bottom w:val="none" w:sz="0" w:space="0" w:color="auto"/>
        <w:right w:val="none" w:sz="0" w:space="0" w:color="auto"/>
      </w:divBdr>
      <w:divsChild>
        <w:div w:id="1351759170">
          <w:marLeft w:val="0"/>
          <w:marRight w:val="0"/>
          <w:marTop w:val="0"/>
          <w:marBottom w:val="0"/>
          <w:divBdr>
            <w:top w:val="none" w:sz="0" w:space="0" w:color="auto"/>
            <w:left w:val="none" w:sz="0" w:space="0" w:color="auto"/>
            <w:bottom w:val="none" w:sz="0" w:space="0" w:color="auto"/>
            <w:right w:val="none" w:sz="0" w:space="0" w:color="auto"/>
          </w:divBdr>
          <w:divsChild>
            <w:div w:id="741564044">
              <w:marLeft w:val="0"/>
              <w:marRight w:val="0"/>
              <w:marTop w:val="100"/>
              <w:marBottom w:val="100"/>
              <w:divBdr>
                <w:top w:val="none" w:sz="0" w:space="0" w:color="auto"/>
                <w:left w:val="none" w:sz="0" w:space="0" w:color="auto"/>
                <w:bottom w:val="none" w:sz="0" w:space="0" w:color="auto"/>
                <w:right w:val="none" w:sz="0" w:space="0" w:color="auto"/>
              </w:divBdr>
              <w:divsChild>
                <w:div w:id="1037775373">
                  <w:marLeft w:val="0"/>
                  <w:marRight w:val="0"/>
                  <w:marTop w:val="0"/>
                  <w:marBottom w:val="0"/>
                  <w:divBdr>
                    <w:top w:val="none" w:sz="0" w:space="0" w:color="auto"/>
                    <w:left w:val="none" w:sz="0" w:space="0" w:color="auto"/>
                    <w:bottom w:val="none" w:sz="0" w:space="0" w:color="auto"/>
                    <w:right w:val="none" w:sz="0" w:space="0" w:color="auto"/>
                  </w:divBdr>
                  <w:divsChild>
                    <w:div w:id="793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5696">
      <w:bodyDiv w:val="1"/>
      <w:marLeft w:val="0"/>
      <w:marRight w:val="0"/>
      <w:marTop w:val="0"/>
      <w:marBottom w:val="0"/>
      <w:divBdr>
        <w:top w:val="none" w:sz="0" w:space="0" w:color="auto"/>
        <w:left w:val="none" w:sz="0" w:space="0" w:color="auto"/>
        <w:bottom w:val="none" w:sz="0" w:space="0" w:color="auto"/>
        <w:right w:val="none" w:sz="0" w:space="0" w:color="auto"/>
      </w:divBdr>
    </w:div>
    <w:div w:id="1201476100">
      <w:bodyDiv w:val="1"/>
      <w:marLeft w:val="0"/>
      <w:marRight w:val="0"/>
      <w:marTop w:val="0"/>
      <w:marBottom w:val="0"/>
      <w:divBdr>
        <w:top w:val="none" w:sz="0" w:space="0" w:color="auto"/>
        <w:left w:val="none" w:sz="0" w:space="0" w:color="auto"/>
        <w:bottom w:val="none" w:sz="0" w:space="0" w:color="auto"/>
        <w:right w:val="none" w:sz="0" w:space="0" w:color="auto"/>
      </w:divBdr>
      <w:divsChild>
        <w:div w:id="967202877">
          <w:marLeft w:val="0"/>
          <w:marRight w:val="0"/>
          <w:marTop w:val="15"/>
          <w:marBottom w:val="0"/>
          <w:divBdr>
            <w:top w:val="none" w:sz="0" w:space="0" w:color="auto"/>
            <w:left w:val="none" w:sz="0" w:space="0" w:color="auto"/>
            <w:bottom w:val="none" w:sz="0" w:space="0" w:color="auto"/>
            <w:right w:val="none" w:sz="0" w:space="0" w:color="auto"/>
          </w:divBdr>
          <w:divsChild>
            <w:div w:id="1286502436">
              <w:marLeft w:val="0"/>
              <w:marRight w:val="0"/>
              <w:marTop w:val="100"/>
              <w:marBottom w:val="100"/>
              <w:divBdr>
                <w:top w:val="none" w:sz="0" w:space="0" w:color="auto"/>
                <w:left w:val="none" w:sz="0" w:space="0" w:color="auto"/>
                <w:bottom w:val="none" w:sz="0" w:space="0" w:color="auto"/>
                <w:right w:val="none" w:sz="0" w:space="0" w:color="auto"/>
              </w:divBdr>
              <w:divsChild>
                <w:div w:id="806044575">
                  <w:marLeft w:val="0"/>
                  <w:marRight w:val="0"/>
                  <w:marTop w:val="0"/>
                  <w:marBottom w:val="0"/>
                  <w:divBdr>
                    <w:top w:val="single" w:sz="6" w:space="0" w:color="808080"/>
                    <w:left w:val="single" w:sz="6" w:space="0" w:color="808080"/>
                    <w:bottom w:val="single" w:sz="6" w:space="0" w:color="808080"/>
                    <w:right w:val="single" w:sz="6" w:space="0" w:color="808080"/>
                  </w:divBdr>
                  <w:divsChild>
                    <w:div w:id="839810658">
                      <w:marLeft w:val="0"/>
                      <w:marRight w:val="0"/>
                      <w:marTop w:val="0"/>
                      <w:marBottom w:val="0"/>
                      <w:divBdr>
                        <w:top w:val="none" w:sz="0" w:space="0" w:color="auto"/>
                        <w:left w:val="none" w:sz="0" w:space="0" w:color="auto"/>
                        <w:bottom w:val="none" w:sz="0" w:space="0" w:color="auto"/>
                        <w:right w:val="none" w:sz="0" w:space="0" w:color="auto"/>
                      </w:divBdr>
                      <w:divsChild>
                        <w:div w:id="960038156">
                          <w:marLeft w:val="0"/>
                          <w:marRight w:val="0"/>
                          <w:marTop w:val="0"/>
                          <w:marBottom w:val="15"/>
                          <w:divBdr>
                            <w:top w:val="none" w:sz="0" w:space="0" w:color="auto"/>
                            <w:left w:val="none" w:sz="0" w:space="0" w:color="auto"/>
                            <w:bottom w:val="none" w:sz="0" w:space="0" w:color="auto"/>
                            <w:right w:val="none" w:sz="0" w:space="0" w:color="auto"/>
                          </w:divBdr>
                          <w:divsChild>
                            <w:div w:id="270557245">
                              <w:marLeft w:val="0"/>
                              <w:marRight w:val="0"/>
                              <w:marTop w:val="0"/>
                              <w:marBottom w:val="0"/>
                              <w:divBdr>
                                <w:top w:val="none" w:sz="0" w:space="0" w:color="auto"/>
                                <w:left w:val="none" w:sz="0" w:space="0" w:color="auto"/>
                                <w:bottom w:val="none" w:sz="0" w:space="0" w:color="auto"/>
                                <w:right w:val="none" w:sz="0" w:space="0" w:color="auto"/>
                              </w:divBdr>
                              <w:divsChild>
                                <w:div w:id="3292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2626">
      <w:bodyDiv w:val="1"/>
      <w:marLeft w:val="0"/>
      <w:marRight w:val="0"/>
      <w:marTop w:val="0"/>
      <w:marBottom w:val="0"/>
      <w:divBdr>
        <w:top w:val="none" w:sz="0" w:space="0" w:color="auto"/>
        <w:left w:val="none" w:sz="0" w:space="0" w:color="auto"/>
        <w:bottom w:val="none" w:sz="0" w:space="0" w:color="auto"/>
        <w:right w:val="none" w:sz="0" w:space="0" w:color="auto"/>
      </w:divBdr>
    </w:div>
    <w:div w:id="1254513906">
      <w:bodyDiv w:val="1"/>
      <w:marLeft w:val="0"/>
      <w:marRight w:val="0"/>
      <w:marTop w:val="0"/>
      <w:marBottom w:val="0"/>
      <w:divBdr>
        <w:top w:val="none" w:sz="0" w:space="0" w:color="auto"/>
        <w:left w:val="none" w:sz="0" w:space="0" w:color="auto"/>
        <w:bottom w:val="none" w:sz="0" w:space="0" w:color="auto"/>
        <w:right w:val="none" w:sz="0" w:space="0" w:color="auto"/>
      </w:divBdr>
    </w:div>
    <w:div w:id="1314143260">
      <w:bodyDiv w:val="1"/>
      <w:marLeft w:val="0"/>
      <w:marRight w:val="0"/>
      <w:marTop w:val="0"/>
      <w:marBottom w:val="0"/>
      <w:divBdr>
        <w:top w:val="none" w:sz="0" w:space="0" w:color="auto"/>
        <w:left w:val="none" w:sz="0" w:space="0" w:color="auto"/>
        <w:bottom w:val="none" w:sz="0" w:space="0" w:color="auto"/>
        <w:right w:val="none" w:sz="0" w:space="0" w:color="auto"/>
      </w:divBdr>
    </w:div>
    <w:div w:id="1318338867">
      <w:bodyDiv w:val="1"/>
      <w:marLeft w:val="0"/>
      <w:marRight w:val="0"/>
      <w:marTop w:val="0"/>
      <w:marBottom w:val="0"/>
      <w:divBdr>
        <w:top w:val="none" w:sz="0" w:space="0" w:color="auto"/>
        <w:left w:val="none" w:sz="0" w:space="0" w:color="auto"/>
        <w:bottom w:val="none" w:sz="0" w:space="0" w:color="auto"/>
        <w:right w:val="none" w:sz="0" w:space="0" w:color="auto"/>
      </w:divBdr>
      <w:divsChild>
        <w:div w:id="141780574">
          <w:marLeft w:val="0"/>
          <w:marRight w:val="0"/>
          <w:marTop w:val="0"/>
          <w:marBottom w:val="0"/>
          <w:divBdr>
            <w:top w:val="none" w:sz="0" w:space="0" w:color="auto"/>
            <w:left w:val="none" w:sz="0" w:space="0" w:color="auto"/>
            <w:bottom w:val="none" w:sz="0" w:space="0" w:color="auto"/>
            <w:right w:val="none" w:sz="0" w:space="0" w:color="auto"/>
          </w:divBdr>
          <w:divsChild>
            <w:div w:id="737440346">
              <w:marLeft w:val="0"/>
              <w:marRight w:val="0"/>
              <w:marTop w:val="0"/>
              <w:marBottom w:val="0"/>
              <w:divBdr>
                <w:top w:val="none" w:sz="0" w:space="0" w:color="auto"/>
                <w:left w:val="none" w:sz="0" w:space="0" w:color="auto"/>
                <w:bottom w:val="none" w:sz="0" w:space="0" w:color="auto"/>
                <w:right w:val="none" w:sz="0" w:space="0" w:color="auto"/>
              </w:divBdr>
              <w:divsChild>
                <w:div w:id="658732415">
                  <w:marLeft w:val="0"/>
                  <w:marRight w:val="0"/>
                  <w:marTop w:val="0"/>
                  <w:marBottom w:val="0"/>
                  <w:divBdr>
                    <w:top w:val="none" w:sz="0" w:space="0" w:color="auto"/>
                    <w:left w:val="none" w:sz="0" w:space="0" w:color="auto"/>
                    <w:bottom w:val="none" w:sz="0" w:space="0" w:color="auto"/>
                    <w:right w:val="none" w:sz="0" w:space="0" w:color="auto"/>
                  </w:divBdr>
                  <w:divsChild>
                    <w:div w:id="922226627">
                      <w:marLeft w:val="3675"/>
                      <w:marRight w:val="0"/>
                      <w:marTop w:val="0"/>
                      <w:marBottom w:val="0"/>
                      <w:divBdr>
                        <w:top w:val="none" w:sz="0" w:space="0" w:color="auto"/>
                        <w:left w:val="none" w:sz="0" w:space="0" w:color="auto"/>
                        <w:bottom w:val="none" w:sz="0" w:space="0" w:color="auto"/>
                        <w:right w:val="none" w:sz="0" w:space="0" w:color="auto"/>
                      </w:divBdr>
                      <w:divsChild>
                        <w:div w:id="378408052">
                          <w:marLeft w:val="0"/>
                          <w:marRight w:val="0"/>
                          <w:marTop w:val="0"/>
                          <w:marBottom w:val="0"/>
                          <w:divBdr>
                            <w:top w:val="none" w:sz="0" w:space="0" w:color="auto"/>
                            <w:left w:val="none" w:sz="0" w:space="0" w:color="auto"/>
                            <w:bottom w:val="none" w:sz="0" w:space="0" w:color="auto"/>
                            <w:right w:val="none" w:sz="0" w:space="0" w:color="auto"/>
                          </w:divBdr>
                          <w:divsChild>
                            <w:div w:id="13389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69048">
      <w:bodyDiv w:val="1"/>
      <w:marLeft w:val="0"/>
      <w:marRight w:val="0"/>
      <w:marTop w:val="0"/>
      <w:marBottom w:val="0"/>
      <w:divBdr>
        <w:top w:val="none" w:sz="0" w:space="0" w:color="auto"/>
        <w:left w:val="none" w:sz="0" w:space="0" w:color="auto"/>
        <w:bottom w:val="none" w:sz="0" w:space="0" w:color="auto"/>
        <w:right w:val="none" w:sz="0" w:space="0" w:color="auto"/>
      </w:divBdr>
    </w:div>
    <w:div w:id="1423182974">
      <w:bodyDiv w:val="1"/>
      <w:marLeft w:val="0"/>
      <w:marRight w:val="0"/>
      <w:marTop w:val="0"/>
      <w:marBottom w:val="0"/>
      <w:divBdr>
        <w:top w:val="none" w:sz="0" w:space="0" w:color="auto"/>
        <w:left w:val="none" w:sz="0" w:space="0" w:color="auto"/>
        <w:bottom w:val="none" w:sz="0" w:space="0" w:color="auto"/>
        <w:right w:val="none" w:sz="0" w:space="0" w:color="auto"/>
      </w:divBdr>
    </w:div>
    <w:div w:id="1457019313">
      <w:bodyDiv w:val="1"/>
      <w:marLeft w:val="0"/>
      <w:marRight w:val="0"/>
      <w:marTop w:val="0"/>
      <w:marBottom w:val="0"/>
      <w:divBdr>
        <w:top w:val="none" w:sz="0" w:space="0" w:color="auto"/>
        <w:left w:val="none" w:sz="0" w:space="0" w:color="auto"/>
        <w:bottom w:val="none" w:sz="0" w:space="0" w:color="auto"/>
        <w:right w:val="none" w:sz="0" w:space="0" w:color="auto"/>
      </w:divBdr>
    </w:div>
    <w:div w:id="1457871807">
      <w:bodyDiv w:val="1"/>
      <w:marLeft w:val="0"/>
      <w:marRight w:val="0"/>
      <w:marTop w:val="0"/>
      <w:marBottom w:val="0"/>
      <w:divBdr>
        <w:top w:val="none" w:sz="0" w:space="0" w:color="auto"/>
        <w:left w:val="none" w:sz="0" w:space="0" w:color="auto"/>
        <w:bottom w:val="none" w:sz="0" w:space="0" w:color="auto"/>
        <w:right w:val="none" w:sz="0" w:space="0" w:color="auto"/>
      </w:divBdr>
    </w:div>
    <w:div w:id="1482383079">
      <w:bodyDiv w:val="1"/>
      <w:marLeft w:val="0"/>
      <w:marRight w:val="0"/>
      <w:marTop w:val="0"/>
      <w:marBottom w:val="0"/>
      <w:divBdr>
        <w:top w:val="none" w:sz="0" w:space="0" w:color="auto"/>
        <w:left w:val="none" w:sz="0" w:space="0" w:color="auto"/>
        <w:bottom w:val="none" w:sz="0" w:space="0" w:color="auto"/>
        <w:right w:val="none" w:sz="0" w:space="0" w:color="auto"/>
      </w:divBdr>
    </w:div>
    <w:div w:id="1507859870">
      <w:bodyDiv w:val="1"/>
      <w:marLeft w:val="0"/>
      <w:marRight w:val="0"/>
      <w:marTop w:val="0"/>
      <w:marBottom w:val="0"/>
      <w:divBdr>
        <w:top w:val="none" w:sz="0" w:space="0" w:color="auto"/>
        <w:left w:val="none" w:sz="0" w:space="0" w:color="auto"/>
        <w:bottom w:val="none" w:sz="0" w:space="0" w:color="auto"/>
        <w:right w:val="none" w:sz="0" w:space="0" w:color="auto"/>
      </w:divBdr>
    </w:div>
    <w:div w:id="1571161216">
      <w:bodyDiv w:val="1"/>
      <w:marLeft w:val="0"/>
      <w:marRight w:val="0"/>
      <w:marTop w:val="0"/>
      <w:marBottom w:val="0"/>
      <w:divBdr>
        <w:top w:val="none" w:sz="0" w:space="0" w:color="auto"/>
        <w:left w:val="none" w:sz="0" w:space="0" w:color="auto"/>
        <w:bottom w:val="none" w:sz="0" w:space="0" w:color="auto"/>
        <w:right w:val="none" w:sz="0" w:space="0" w:color="auto"/>
      </w:divBdr>
      <w:divsChild>
        <w:div w:id="72751598">
          <w:marLeft w:val="547"/>
          <w:marRight w:val="0"/>
          <w:marTop w:val="403"/>
          <w:marBottom w:val="0"/>
          <w:divBdr>
            <w:top w:val="none" w:sz="0" w:space="0" w:color="auto"/>
            <w:left w:val="none" w:sz="0" w:space="0" w:color="auto"/>
            <w:bottom w:val="none" w:sz="0" w:space="0" w:color="auto"/>
            <w:right w:val="none" w:sz="0" w:space="0" w:color="auto"/>
          </w:divBdr>
        </w:div>
      </w:divsChild>
    </w:div>
    <w:div w:id="1575161387">
      <w:bodyDiv w:val="1"/>
      <w:marLeft w:val="0"/>
      <w:marRight w:val="0"/>
      <w:marTop w:val="0"/>
      <w:marBottom w:val="0"/>
      <w:divBdr>
        <w:top w:val="none" w:sz="0" w:space="0" w:color="auto"/>
        <w:left w:val="none" w:sz="0" w:space="0" w:color="auto"/>
        <w:bottom w:val="none" w:sz="0" w:space="0" w:color="auto"/>
        <w:right w:val="none" w:sz="0" w:space="0" w:color="auto"/>
      </w:divBdr>
    </w:div>
    <w:div w:id="1586648302">
      <w:bodyDiv w:val="1"/>
      <w:marLeft w:val="0"/>
      <w:marRight w:val="0"/>
      <w:marTop w:val="0"/>
      <w:marBottom w:val="0"/>
      <w:divBdr>
        <w:top w:val="none" w:sz="0" w:space="0" w:color="auto"/>
        <w:left w:val="none" w:sz="0" w:space="0" w:color="auto"/>
        <w:bottom w:val="none" w:sz="0" w:space="0" w:color="auto"/>
        <w:right w:val="none" w:sz="0" w:space="0" w:color="auto"/>
      </w:divBdr>
      <w:divsChild>
        <w:div w:id="1024936614">
          <w:marLeft w:val="0"/>
          <w:marRight w:val="0"/>
          <w:marTop w:val="0"/>
          <w:marBottom w:val="0"/>
          <w:divBdr>
            <w:top w:val="none" w:sz="0" w:space="0" w:color="auto"/>
            <w:left w:val="none" w:sz="0" w:space="0" w:color="auto"/>
            <w:bottom w:val="none" w:sz="0" w:space="0" w:color="auto"/>
            <w:right w:val="none" w:sz="0" w:space="0" w:color="auto"/>
          </w:divBdr>
          <w:divsChild>
            <w:div w:id="2045403147">
              <w:marLeft w:val="0"/>
              <w:marRight w:val="0"/>
              <w:marTop w:val="0"/>
              <w:marBottom w:val="300"/>
              <w:divBdr>
                <w:top w:val="none" w:sz="0" w:space="0" w:color="auto"/>
                <w:left w:val="none" w:sz="0" w:space="0" w:color="auto"/>
                <w:bottom w:val="none" w:sz="0" w:space="0" w:color="auto"/>
                <w:right w:val="none" w:sz="0" w:space="0" w:color="auto"/>
              </w:divBdr>
              <w:divsChild>
                <w:div w:id="380134573">
                  <w:marLeft w:val="0"/>
                  <w:marRight w:val="0"/>
                  <w:marTop w:val="0"/>
                  <w:marBottom w:val="0"/>
                  <w:divBdr>
                    <w:top w:val="single" w:sz="6" w:space="4" w:color="C5C5C7"/>
                    <w:left w:val="single" w:sz="6" w:space="11" w:color="C5C5C7"/>
                    <w:bottom w:val="none" w:sz="0" w:space="0" w:color="auto"/>
                    <w:right w:val="single" w:sz="6" w:space="11" w:color="C5C5C7"/>
                  </w:divBdr>
                  <w:divsChild>
                    <w:div w:id="2086680567">
                      <w:marLeft w:val="0"/>
                      <w:marRight w:val="0"/>
                      <w:marTop w:val="0"/>
                      <w:marBottom w:val="0"/>
                      <w:divBdr>
                        <w:top w:val="none" w:sz="0" w:space="0" w:color="auto"/>
                        <w:left w:val="none" w:sz="0" w:space="0" w:color="auto"/>
                        <w:bottom w:val="none" w:sz="0" w:space="0" w:color="auto"/>
                        <w:right w:val="none" w:sz="0" w:space="0" w:color="auto"/>
                      </w:divBdr>
                      <w:divsChild>
                        <w:div w:id="1077089551">
                          <w:marLeft w:val="0"/>
                          <w:marRight w:val="0"/>
                          <w:marTop w:val="0"/>
                          <w:marBottom w:val="0"/>
                          <w:divBdr>
                            <w:top w:val="none" w:sz="0" w:space="0" w:color="auto"/>
                            <w:left w:val="none" w:sz="0" w:space="0" w:color="auto"/>
                            <w:bottom w:val="none" w:sz="0" w:space="0" w:color="auto"/>
                            <w:right w:val="none" w:sz="0" w:space="0" w:color="auto"/>
                          </w:divBdr>
                          <w:divsChild>
                            <w:div w:id="96146207">
                              <w:marLeft w:val="0"/>
                              <w:marRight w:val="0"/>
                              <w:marTop w:val="0"/>
                              <w:marBottom w:val="0"/>
                              <w:divBdr>
                                <w:top w:val="none" w:sz="0" w:space="0" w:color="auto"/>
                                <w:left w:val="none" w:sz="0" w:space="0" w:color="auto"/>
                                <w:bottom w:val="none" w:sz="0" w:space="0" w:color="auto"/>
                                <w:right w:val="none" w:sz="0" w:space="0" w:color="auto"/>
                              </w:divBdr>
                            </w:div>
                            <w:div w:id="232787027">
                              <w:marLeft w:val="0"/>
                              <w:marRight w:val="0"/>
                              <w:marTop w:val="0"/>
                              <w:marBottom w:val="0"/>
                              <w:divBdr>
                                <w:top w:val="none" w:sz="0" w:space="0" w:color="auto"/>
                                <w:left w:val="none" w:sz="0" w:space="0" w:color="auto"/>
                                <w:bottom w:val="none" w:sz="0" w:space="0" w:color="auto"/>
                                <w:right w:val="none" w:sz="0" w:space="0" w:color="auto"/>
                              </w:divBdr>
                            </w:div>
                            <w:div w:id="256326810">
                              <w:marLeft w:val="0"/>
                              <w:marRight w:val="0"/>
                              <w:marTop w:val="0"/>
                              <w:marBottom w:val="0"/>
                              <w:divBdr>
                                <w:top w:val="none" w:sz="0" w:space="0" w:color="auto"/>
                                <w:left w:val="none" w:sz="0" w:space="0" w:color="auto"/>
                                <w:bottom w:val="none" w:sz="0" w:space="0" w:color="auto"/>
                                <w:right w:val="none" w:sz="0" w:space="0" w:color="auto"/>
                              </w:divBdr>
                            </w:div>
                            <w:div w:id="816998859">
                              <w:marLeft w:val="0"/>
                              <w:marRight w:val="0"/>
                              <w:marTop w:val="0"/>
                              <w:marBottom w:val="0"/>
                              <w:divBdr>
                                <w:top w:val="none" w:sz="0" w:space="0" w:color="auto"/>
                                <w:left w:val="none" w:sz="0" w:space="0" w:color="auto"/>
                                <w:bottom w:val="none" w:sz="0" w:space="0" w:color="auto"/>
                                <w:right w:val="none" w:sz="0" w:space="0" w:color="auto"/>
                              </w:divBdr>
                            </w:div>
                            <w:div w:id="1438141146">
                              <w:marLeft w:val="0"/>
                              <w:marRight w:val="0"/>
                              <w:marTop w:val="0"/>
                              <w:marBottom w:val="0"/>
                              <w:divBdr>
                                <w:top w:val="none" w:sz="0" w:space="0" w:color="auto"/>
                                <w:left w:val="none" w:sz="0" w:space="0" w:color="auto"/>
                                <w:bottom w:val="none" w:sz="0" w:space="0" w:color="auto"/>
                                <w:right w:val="none" w:sz="0" w:space="0" w:color="auto"/>
                              </w:divBdr>
                            </w:div>
                            <w:div w:id="1585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4391">
      <w:bodyDiv w:val="1"/>
      <w:marLeft w:val="0"/>
      <w:marRight w:val="0"/>
      <w:marTop w:val="0"/>
      <w:marBottom w:val="0"/>
      <w:divBdr>
        <w:top w:val="none" w:sz="0" w:space="0" w:color="auto"/>
        <w:left w:val="none" w:sz="0" w:space="0" w:color="auto"/>
        <w:bottom w:val="none" w:sz="0" w:space="0" w:color="auto"/>
        <w:right w:val="none" w:sz="0" w:space="0" w:color="auto"/>
      </w:divBdr>
    </w:div>
    <w:div w:id="1669286816">
      <w:bodyDiv w:val="1"/>
      <w:marLeft w:val="0"/>
      <w:marRight w:val="0"/>
      <w:marTop w:val="0"/>
      <w:marBottom w:val="0"/>
      <w:divBdr>
        <w:top w:val="none" w:sz="0" w:space="0" w:color="auto"/>
        <w:left w:val="none" w:sz="0" w:space="0" w:color="auto"/>
        <w:bottom w:val="none" w:sz="0" w:space="0" w:color="auto"/>
        <w:right w:val="none" w:sz="0" w:space="0" w:color="auto"/>
      </w:divBdr>
    </w:div>
    <w:div w:id="1717194465">
      <w:bodyDiv w:val="1"/>
      <w:marLeft w:val="0"/>
      <w:marRight w:val="0"/>
      <w:marTop w:val="0"/>
      <w:marBottom w:val="0"/>
      <w:divBdr>
        <w:top w:val="none" w:sz="0" w:space="0" w:color="auto"/>
        <w:left w:val="none" w:sz="0" w:space="0" w:color="auto"/>
        <w:bottom w:val="none" w:sz="0" w:space="0" w:color="auto"/>
        <w:right w:val="none" w:sz="0" w:space="0" w:color="auto"/>
      </w:divBdr>
    </w:div>
    <w:div w:id="1760756562">
      <w:bodyDiv w:val="1"/>
      <w:marLeft w:val="0"/>
      <w:marRight w:val="0"/>
      <w:marTop w:val="0"/>
      <w:marBottom w:val="0"/>
      <w:divBdr>
        <w:top w:val="none" w:sz="0" w:space="0" w:color="auto"/>
        <w:left w:val="none" w:sz="0" w:space="0" w:color="auto"/>
        <w:bottom w:val="none" w:sz="0" w:space="0" w:color="auto"/>
        <w:right w:val="none" w:sz="0" w:space="0" w:color="auto"/>
      </w:divBdr>
    </w:div>
    <w:div w:id="1792287029">
      <w:bodyDiv w:val="1"/>
      <w:marLeft w:val="0"/>
      <w:marRight w:val="0"/>
      <w:marTop w:val="0"/>
      <w:marBottom w:val="0"/>
      <w:divBdr>
        <w:top w:val="none" w:sz="0" w:space="0" w:color="auto"/>
        <w:left w:val="none" w:sz="0" w:space="0" w:color="auto"/>
        <w:bottom w:val="none" w:sz="0" w:space="0" w:color="auto"/>
        <w:right w:val="none" w:sz="0" w:space="0" w:color="auto"/>
      </w:divBdr>
    </w:div>
    <w:div w:id="1845824557">
      <w:bodyDiv w:val="1"/>
      <w:marLeft w:val="0"/>
      <w:marRight w:val="0"/>
      <w:marTop w:val="0"/>
      <w:marBottom w:val="0"/>
      <w:divBdr>
        <w:top w:val="none" w:sz="0" w:space="0" w:color="auto"/>
        <w:left w:val="none" w:sz="0" w:space="0" w:color="auto"/>
        <w:bottom w:val="none" w:sz="0" w:space="0" w:color="auto"/>
        <w:right w:val="none" w:sz="0" w:space="0" w:color="auto"/>
      </w:divBdr>
    </w:div>
    <w:div w:id="1901791081">
      <w:bodyDiv w:val="1"/>
      <w:marLeft w:val="0"/>
      <w:marRight w:val="0"/>
      <w:marTop w:val="0"/>
      <w:marBottom w:val="0"/>
      <w:divBdr>
        <w:top w:val="none" w:sz="0" w:space="0" w:color="auto"/>
        <w:left w:val="none" w:sz="0" w:space="0" w:color="auto"/>
        <w:bottom w:val="none" w:sz="0" w:space="0" w:color="auto"/>
        <w:right w:val="none" w:sz="0" w:space="0" w:color="auto"/>
      </w:divBdr>
      <w:divsChild>
        <w:div w:id="364601970">
          <w:marLeft w:val="3125"/>
          <w:marRight w:val="0"/>
          <w:marTop w:val="0"/>
          <w:marBottom w:val="0"/>
          <w:divBdr>
            <w:top w:val="none" w:sz="0" w:space="0" w:color="auto"/>
            <w:left w:val="none" w:sz="0" w:space="0" w:color="auto"/>
            <w:bottom w:val="none" w:sz="0" w:space="0" w:color="auto"/>
            <w:right w:val="none" w:sz="0" w:space="0" w:color="auto"/>
          </w:divBdr>
        </w:div>
        <w:div w:id="377628000">
          <w:marLeft w:val="3125"/>
          <w:marRight w:val="0"/>
          <w:marTop w:val="0"/>
          <w:marBottom w:val="0"/>
          <w:divBdr>
            <w:top w:val="none" w:sz="0" w:space="0" w:color="auto"/>
            <w:left w:val="none" w:sz="0" w:space="0" w:color="auto"/>
            <w:bottom w:val="none" w:sz="0" w:space="0" w:color="auto"/>
            <w:right w:val="none" w:sz="0" w:space="0" w:color="auto"/>
          </w:divBdr>
        </w:div>
      </w:divsChild>
    </w:div>
    <w:div w:id="1930308975">
      <w:bodyDiv w:val="1"/>
      <w:marLeft w:val="0"/>
      <w:marRight w:val="0"/>
      <w:marTop w:val="0"/>
      <w:marBottom w:val="0"/>
      <w:divBdr>
        <w:top w:val="none" w:sz="0" w:space="0" w:color="auto"/>
        <w:left w:val="none" w:sz="0" w:space="0" w:color="auto"/>
        <w:bottom w:val="none" w:sz="0" w:space="0" w:color="auto"/>
        <w:right w:val="none" w:sz="0" w:space="0" w:color="auto"/>
      </w:divBdr>
    </w:div>
    <w:div w:id="1953630174">
      <w:bodyDiv w:val="1"/>
      <w:marLeft w:val="0"/>
      <w:marRight w:val="0"/>
      <w:marTop w:val="0"/>
      <w:marBottom w:val="0"/>
      <w:divBdr>
        <w:top w:val="none" w:sz="0" w:space="0" w:color="auto"/>
        <w:left w:val="none" w:sz="0" w:space="0" w:color="auto"/>
        <w:bottom w:val="none" w:sz="0" w:space="0" w:color="auto"/>
        <w:right w:val="none" w:sz="0" w:space="0" w:color="auto"/>
      </w:divBdr>
      <w:divsChild>
        <w:div w:id="593175574">
          <w:marLeft w:val="0"/>
          <w:marRight w:val="0"/>
          <w:marTop w:val="0"/>
          <w:marBottom w:val="0"/>
          <w:divBdr>
            <w:top w:val="none" w:sz="0" w:space="0" w:color="auto"/>
            <w:left w:val="none" w:sz="0" w:space="0" w:color="auto"/>
            <w:bottom w:val="none" w:sz="0" w:space="0" w:color="auto"/>
            <w:right w:val="none" w:sz="0" w:space="0" w:color="auto"/>
          </w:divBdr>
        </w:div>
      </w:divsChild>
    </w:div>
    <w:div w:id="1956597079">
      <w:bodyDiv w:val="1"/>
      <w:marLeft w:val="0"/>
      <w:marRight w:val="0"/>
      <w:marTop w:val="0"/>
      <w:marBottom w:val="0"/>
      <w:divBdr>
        <w:top w:val="none" w:sz="0" w:space="0" w:color="auto"/>
        <w:left w:val="none" w:sz="0" w:space="0" w:color="auto"/>
        <w:bottom w:val="none" w:sz="0" w:space="0" w:color="auto"/>
        <w:right w:val="none" w:sz="0" w:space="0" w:color="auto"/>
      </w:divBdr>
    </w:div>
    <w:div w:id="1974824821">
      <w:bodyDiv w:val="1"/>
      <w:marLeft w:val="0"/>
      <w:marRight w:val="0"/>
      <w:marTop w:val="0"/>
      <w:marBottom w:val="0"/>
      <w:divBdr>
        <w:top w:val="none" w:sz="0" w:space="0" w:color="auto"/>
        <w:left w:val="none" w:sz="0" w:space="0" w:color="auto"/>
        <w:bottom w:val="none" w:sz="0" w:space="0" w:color="auto"/>
        <w:right w:val="none" w:sz="0" w:space="0" w:color="auto"/>
      </w:divBdr>
    </w:div>
    <w:div w:id="1997146969">
      <w:bodyDiv w:val="1"/>
      <w:marLeft w:val="0"/>
      <w:marRight w:val="0"/>
      <w:marTop w:val="0"/>
      <w:marBottom w:val="0"/>
      <w:divBdr>
        <w:top w:val="none" w:sz="0" w:space="0" w:color="auto"/>
        <w:left w:val="none" w:sz="0" w:space="0" w:color="auto"/>
        <w:bottom w:val="none" w:sz="0" w:space="0" w:color="auto"/>
        <w:right w:val="none" w:sz="0" w:space="0" w:color="auto"/>
      </w:divBdr>
    </w:div>
    <w:div w:id="2030983221">
      <w:bodyDiv w:val="1"/>
      <w:marLeft w:val="0"/>
      <w:marRight w:val="0"/>
      <w:marTop w:val="0"/>
      <w:marBottom w:val="0"/>
      <w:divBdr>
        <w:top w:val="none" w:sz="0" w:space="0" w:color="auto"/>
        <w:left w:val="none" w:sz="0" w:space="0" w:color="auto"/>
        <w:bottom w:val="none" w:sz="0" w:space="0" w:color="auto"/>
        <w:right w:val="none" w:sz="0" w:space="0" w:color="auto"/>
      </w:divBdr>
    </w:div>
    <w:div w:id="2060005875">
      <w:bodyDiv w:val="1"/>
      <w:marLeft w:val="0"/>
      <w:marRight w:val="0"/>
      <w:marTop w:val="0"/>
      <w:marBottom w:val="0"/>
      <w:divBdr>
        <w:top w:val="none" w:sz="0" w:space="0" w:color="auto"/>
        <w:left w:val="none" w:sz="0" w:space="0" w:color="auto"/>
        <w:bottom w:val="none" w:sz="0" w:space="0" w:color="auto"/>
        <w:right w:val="none" w:sz="0" w:space="0" w:color="auto"/>
      </w:divBdr>
    </w:div>
    <w:div w:id="2106807342">
      <w:bodyDiv w:val="1"/>
      <w:marLeft w:val="0"/>
      <w:marRight w:val="0"/>
      <w:marTop w:val="0"/>
      <w:marBottom w:val="0"/>
      <w:divBdr>
        <w:top w:val="none" w:sz="0" w:space="0" w:color="auto"/>
        <w:left w:val="none" w:sz="0" w:space="0" w:color="auto"/>
        <w:bottom w:val="none" w:sz="0" w:space="0" w:color="auto"/>
        <w:right w:val="none" w:sz="0" w:space="0" w:color="auto"/>
      </w:divBdr>
    </w:div>
    <w:div w:id="2113815118">
      <w:bodyDiv w:val="1"/>
      <w:marLeft w:val="0"/>
      <w:marRight w:val="0"/>
      <w:marTop w:val="0"/>
      <w:marBottom w:val="0"/>
      <w:divBdr>
        <w:top w:val="none" w:sz="0" w:space="0" w:color="auto"/>
        <w:left w:val="none" w:sz="0" w:space="0" w:color="auto"/>
        <w:bottom w:val="none" w:sz="0" w:space="0" w:color="auto"/>
        <w:right w:val="none" w:sz="0" w:space="0" w:color="auto"/>
      </w:divBdr>
    </w:div>
    <w:div w:id="21174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so.eurostat.ec.europa.eu/nui/show.do?dataset=lc_lci_lev" TargetMode="External"/><Relationship Id="rId21" Type="http://schemas.openxmlformats.org/officeDocument/2006/relationships/hyperlink" Target="http://appsso.eurostat.ec.europa.eu/nui/show.do?dataset=urt_d3dens" TargetMode="External"/><Relationship Id="rId42" Type="http://schemas.openxmlformats.org/officeDocument/2006/relationships/hyperlink" Target="https://ec.europa.eu/eurostat/databrowser/view/lfsa_pgauws/default/table?lang=en" TargetMode="External"/><Relationship Id="rId63" Type="http://schemas.openxmlformats.org/officeDocument/2006/relationships/hyperlink" Target="http://ec.europa.eu/eurostat/web/products-datasets/-/aact_eaa01" TargetMode="External"/><Relationship Id="rId84" Type="http://schemas.openxmlformats.org/officeDocument/2006/relationships/hyperlink" Target="https://www.copernicus.eu/sites/default/files/2019-01/Copernicus_Work_Programme_2019.pdf" TargetMode="External"/><Relationship Id="rId138" Type="http://schemas.openxmlformats.org/officeDocument/2006/relationships/hyperlink" Target="http://appsso.eurostat.ec.europa.eu/nui/show.do?dataset=aact_eaa05" TargetMode="External"/><Relationship Id="rId159" Type="http://schemas.openxmlformats.org/officeDocument/2006/relationships/hyperlink" Target="https://appsso.eurostat.ec.europa.eu/nui/submitViewTableAction.do" TargetMode="External"/><Relationship Id="rId170" Type="http://schemas.openxmlformats.org/officeDocument/2006/relationships/hyperlink" Target="https://ec.europa.eu/eurostat/web/agriculture/agri-environmental-indicators" TargetMode="External"/><Relationship Id="rId191" Type="http://schemas.openxmlformats.org/officeDocument/2006/relationships/hyperlink" Target="https://esdac.jrc.ec.europa.eu/" TargetMode="External"/><Relationship Id="rId205" Type="http://schemas.openxmlformats.org/officeDocument/2006/relationships/hyperlink" Target="https://www.preventionweb.net/files/54970_techguidancefdigitalhr.pdf" TargetMode="External"/><Relationship Id="rId107" Type="http://schemas.openxmlformats.org/officeDocument/2006/relationships/hyperlink" Target="https://ec.europa.eu/eurostat/statistics-explained/index.php?title=Glossary:Permanent_grassland" TargetMode="External"/><Relationship Id="rId11" Type="http://schemas.openxmlformats.org/officeDocument/2006/relationships/endnotes" Target="endnotes.xml"/><Relationship Id="rId32" Type="http://schemas.openxmlformats.org/officeDocument/2006/relationships/hyperlink" Target="https://appsso.eurostat.ec.europa.eu/nui/show.do?dataset=urt_d3area&amp;lang=en" TargetMode="External"/><Relationship Id="rId53" Type="http://schemas.openxmlformats.org/officeDocument/2006/relationships/hyperlink" Target="http://appsso.eurostat.ec.europa.eu/nui/show.do?query=BOOKMARK_DS-691831_QID_2E3B32DE_UID_-3F171EB0&amp;layout=TIME,C,X,0;GEO,L,Y,0;UNIT,L,Z,0;TERRTYPO,L,Z,1;INDICATORS,C,Z,2;&amp;zSelection=DS-691831TERRTYPO,URB;DS-691831INDICATORS,OBS_FLAG;DS-691831UNIT,MIO_EUR;&amp;rankName1=UNIT_1_2_-1_2&amp;rankName2=INDICATORS_1_2_-1_2&amp;rankName3=TERRTYPO_1_2_-1_2&amp;rankName4=TIME_1_0_0_0&amp;rankName5=GEO_1_2_0_1&amp;ppcRK=FIRST&amp;ppcSO=ASC&amp;sortC=ASC_-1_FIRST&amp;rStp=&amp;cStp=&amp;rDCh=&amp;cDCh=&amp;rDM=true&amp;cDM=true&amp;footnes=false&amp;empty=false&amp;wai=false&amp;time_mode=ROLLING&amp;time_most_recent=true&amp;lang=EN&amp;cfo=%23%23%23%2C%23%23%23.%23%23%23" TargetMode="External"/><Relationship Id="rId74" Type="http://schemas.openxmlformats.org/officeDocument/2006/relationships/hyperlink" Target="http://appsso.eurostat.ec.europa.eu/nui/show.do?dataset=ef_mptrainman&amp;lang=en" TargetMode="External"/><Relationship Id="rId128" Type="http://schemas.openxmlformats.org/officeDocument/2006/relationships/hyperlink" Target="http://appsso.eurostat.ec.europa.eu/nui/show.do?dataset=nama_10r_3gva" TargetMode="External"/><Relationship Id="rId149" Type="http://schemas.openxmlformats.org/officeDocument/2006/relationships/hyperlink" Target="https://ec.europa.eu/agriculture/trade-analysis/statistics_en" TargetMode="External"/><Relationship Id="rId5" Type="http://schemas.openxmlformats.org/officeDocument/2006/relationships/customXml" Target="../customXml/item5.xml"/><Relationship Id="rId95" Type="http://schemas.openxmlformats.org/officeDocument/2006/relationships/hyperlink" Target="https://ec.europa.eu/eurostat/statistics-explained/index.php?title=Glossary:Equidae" TargetMode="External"/><Relationship Id="rId160" Type="http://schemas.openxmlformats.org/officeDocument/2006/relationships/hyperlink" Target="http://ec.europa.eu/eurostat/statistics-explained/index.php/Agri-environmental_indicators" TargetMode="External"/><Relationship Id="rId181" Type="http://schemas.openxmlformats.org/officeDocument/2006/relationships/hyperlink" Target="https://ec.europa.eu/eurostat/cache/metadata/en/aei_pr_gnb_esms.htm" TargetMode="External"/><Relationship Id="rId216" Type="http://schemas.openxmlformats.org/officeDocument/2006/relationships/hyperlink" Target="https://ec.europa.eu/food/plants/pesticides/sustainable-use-pesticides/harmonised-risk-indicators/trends-harmonised-risk_en" TargetMode="External"/><Relationship Id="rId211" Type="http://schemas.openxmlformats.org/officeDocument/2006/relationships/hyperlink" Target="https://eur-lex.europa.eu/eli/reg/2009/1107/oj" TargetMode="External"/><Relationship Id="rId22" Type="http://schemas.openxmlformats.org/officeDocument/2006/relationships/hyperlink" Target="http://appsso.eurostat.ec.europa.eu/nui/show.do?dataset=demo_r_d3dens&amp;lang=en" TargetMode="External"/><Relationship Id="rId27" Type="http://schemas.openxmlformats.org/officeDocument/2006/relationships/hyperlink" Target="https://appsso.eurostat.ec.europa.eu/nui/show.do?query=BOOKMARK_DS-179161_QID_-5E3ACBDB_UID_-3F171EB0&amp;layout=TIME,C,X,0;GEO,B,Y,0;AGE,L,Z,0;SEX,L,Z,1;UNIT,L,Z,2;INDICATORS,C,Z,3;&amp;zSelection=DS-179161AGE,TOTAL;DS-179161UNIT,NR;DS-179161INDICATORS,OBS_FLAG;DS-179161SEX,T;&amp;rankName1=UNIT_1_2_-1_2&amp;rankName2=AGE_1_2_-1_2&amp;rankName3=INDICATORS_1_2_-1_2&amp;rankName4=SEX_1_2_-1_2&amp;rankName5=TIME_1_0_0_0&amp;rankName6=GEO_1_2_0_1&amp;ppcRK=FIRST&amp;ppcSO=ASC&amp;sortC=ASC_-1_FIRST&amp;rStp=&amp;cStp=&amp;rDCh=&amp;cDCh=&amp;rDM=true&amp;cDM=true&amp;footnes=false&amp;empty=false&amp;wai=false&amp;time_mode=NONE&amp;time_most_recent=false&amp;lang=EN&amp;cfo=%23%23%23%2C%23%23%23.%23%23%23" TargetMode="External"/><Relationship Id="rId43" Type="http://schemas.openxmlformats.org/officeDocument/2006/relationships/hyperlink" Target="http://appsso.eurostat.ec.europa.eu/nui/show.do?dataset=lfst_r_lfu3rt&amp;lang=en" TargetMode="External"/><Relationship Id="rId48" Type="http://schemas.openxmlformats.org/officeDocument/2006/relationships/hyperlink" Target="https://ec.europa.eu/eurostat/web/rural-development/methodology" TargetMode="External"/><Relationship Id="rId64" Type="http://schemas.openxmlformats.org/officeDocument/2006/relationships/hyperlink" Target="http://appsso.eurostat.ec.europa.eu/nui/show.do?dataset=sbs_na_sca_r2" TargetMode="External"/><Relationship Id="rId69" Type="http://schemas.openxmlformats.org/officeDocument/2006/relationships/hyperlink" Target="https://ec.europa.eu/eurostat/web/rural-development/methodology" TargetMode="External"/><Relationship Id="rId113" Type="http://schemas.openxmlformats.org/officeDocument/2006/relationships/hyperlink" Target="https://appsso.eurostat.ec.europa.eu/nui/show.do?dataset=aact_eaa06&amp;lang=en" TargetMode="External"/><Relationship Id="rId118" Type="http://schemas.openxmlformats.org/officeDocument/2006/relationships/hyperlink" Target="https://agridata.ec.europa.eu/extensions/FarmEconomyFocus/FarmEconomyFocus.html" TargetMode="External"/><Relationship Id="rId134" Type="http://schemas.openxmlformats.org/officeDocument/2006/relationships/image" Target="media/image6.wmf"/><Relationship Id="rId139" Type="http://schemas.openxmlformats.org/officeDocument/2006/relationships/hyperlink" Target="http://appsso.eurostat.ec.europa.eu/nui/show.do?dataset=aact_eaa04" TargetMode="External"/><Relationship Id="rId80" Type="http://schemas.openxmlformats.org/officeDocument/2006/relationships/hyperlink" Target="https://www.eea.europa.eu/themes/biodiversity/document-library/natura-2000/natura-2000-network-statistics/natura-2000-barometer-statistics/statistics/barometer-statistics" TargetMode="External"/><Relationship Id="rId85" Type="http://schemas.openxmlformats.org/officeDocument/2006/relationships/hyperlink" Target="https://appsso.eurostat.ec.europa.eu/nui/show.do?dataset=apro_cpsh1&amp;lang=en" TargetMode="External"/><Relationship Id="rId150" Type="http://schemas.openxmlformats.org/officeDocument/2006/relationships/hyperlink" Target="https://ec.europa.eu/agriculture/trade-analysis/statistics_en" TargetMode="External"/><Relationship Id="rId155" Type="http://schemas.openxmlformats.org/officeDocument/2006/relationships/hyperlink" Target="https://appsso.eurostat.ec.europa.eu/nui/show.do?dataset=org_cropar&amp;lang=en" TargetMode="External"/><Relationship Id="rId171" Type="http://schemas.openxmlformats.org/officeDocument/2006/relationships/hyperlink" Target="https://pecbms.info/" TargetMode="External"/><Relationship Id="rId176" Type="http://schemas.openxmlformats.org/officeDocument/2006/relationships/hyperlink" Target="https://ec.europa.eu/eurostat/documents/1798247/6664269/Data+Collection+Manual+for+the+OECD_Eurostat+Joint+Questionnaire+on+Inland+Waters+%28version+3.0%2C+2014%29.pdf/f5f60d49-e88c-4e3c-bc23-c1ec26a01b2a" TargetMode="External"/><Relationship Id="rId192" Type="http://schemas.openxmlformats.org/officeDocument/2006/relationships/hyperlink" Target="https://appsso.eurostat.ec.europa.eu/nui/show.do?dataset=aei_pr_soiler&amp;lang=en" TargetMode="External"/><Relationship Id="rId197" Type="http://schemas.openxmlformats.org/officeDocument/2006/relationships/hyperlink" Target="http://appsso.eurostat.ec.europa.eu/nui/show.do?dataset=apro_cpsh1" TargetMode="External"/><Relationship Id="rId206" Type="http://schemas.openxmlformats.org/officeDocument/2006/relationships/hyperlink" Target="https://sendaimonitor.unisdr.org/" TargetMode="External"/><Relationship Id="rId201" Type="http://schemas.openxmlformats.org/officeDocument/2006/relationships/hyperlink" Target="http://www.eea.europa.eu/data-and-maps/data/data-viewers/greenhouse-gases-viewer" TargetMode="External"/><Relationship Id="rId12" Type="http://schemas.openxmlformats.org/officeDocument/2006/relationships/hyperlink" Target="https://eur-lex.europa.eu/legal-content/EN/TXT/PDF/?uri=CELEX:32013R1260&amp;from=EN" TargetMode="External"/><Relationship Id="rId17" Type="http://schemas.openxmlformats.org/officeDocument/2006/relationships/hyperlink" Target="http://appsso.eurostat.ec.europa.eu/nui/show.do?query=BOOKMARK_DS-488855_QID_56E53AA_UID_-3F171EB0&amp;layout=TIME,C,X,0;GEO,L,Y,0;SEX,L,Z,0;UNIT,L,Z,1;AGE,L,Z,2;INDICATORS,C,Z,3;&amp;zSelection=DS-488855AGE,TOTAL;DS-488855SEX,T;DS-488855UNIT,NR;DS-488855INDICATORS,OBS_FLAG;&amp;rankName1=UNIT_1_2_-1_2&amp;rankName2=AGE_1_2_-1_2&amp;rankName3=INDICATORS_1_2_-1_2&amp;rankName4=SEX_1_2_-1_2&amp;rankName5=TIME_1_0_0_0&amp;rankName6=GEO_1_2_0_1&amp;ppcRK=FIRST&amp;ppcSO=ASC&amp;sortC=ASC_-1_FIRST&amp;rStp=&amp;cStp=&amp;rDCh=&amp;cDCh=&amp;rDM=true&amp;cDM=true&amp;footnes=false&amp;empty=false&amp;wai=false&amp;time_mode=ROLLING&amp;time_most_recent=true&amp;lang=EN&amp;cfo=%23%23%23%2C%23%23%23.%23%23%23" TargetMode="External"/><Relationship Id="rId33" Type="http://schemas.openxmlformats.org/officeDocument/2006/relationships/hyperlink" Target="http://appsso.eurostat.ec.europa.eu/nui/show.do?dataset=reg_area3" TargetMode="External"/><Relationship Id="rId38" Type="http://schemas.openxmlformats.org/officeDocument/2006/relationships/hyperlink" Target="https://www.copernicus.eu/sites/default/files/2019-01/Copernicus_Work_Programme_2019.pdf" TargetMode="External"/><Relationship Id="rId59" Type="http://schemas.openxmlformats.org/officeDocument/2006/relationships/hyperlink" Target="http://appsso.eurostat.ec.europa.eu/nui/show.do?dataset=nama_10_a10" TargetMode="External"/><Relationship Id="rId103" Type="http://schemas.openxmlformats.org/officeDocument/2006/relationships/hyperlink" Target="https://ec.europa.eu/eurostat/statistics-explained/index.php?title=Glossary:Sheep" TargetMode="External"/><Relationship Id="rId108" Type="http://schemas.openxmlformats.org/officeDocument/2006/relationships/hyperlink" Target="https://ec.europa.eu/eurostat/statistics-explained/index.php?title=Glossary:Livestock_unit_(LSU)" TargetMode="External"/><Relationship Id="rId124" Type="http://schemas.openxmlformats.org/officeDocument/2006/relationships/hyperlink" Target="http://appsso.eurostat.ec.europa.eu/nui/show.do?dataset=nama_10r_2gfcf&amp;lang=en" TargetMode="External"/><Relationship Id="rId129" Type="http://schemas.openxmlformats.org/officeDocument/2006/relationships/image" Target="media/image1.wmf"/><Relationship Id="rId54" Type="http://schemas.openxmlformats.org/officeDocument/2006/relationships/hyperlink" Target="https://ec.europa.eu/eurostat/web/rural-development/methodology" TargetMode="External"/><Relationship Id="rId70"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75" Type="http://schemas.openxmlformats.org/officeDocument/2006/relationships/hyperlink" Target="https://appsso.eurostat.ec.europa.eu/nui/show.do?dataset=ef_mp_training&amp;lang=en" TargetMode="External"/><Relationship Id="rId91" Type="http://schemas.openxmlformats.org/officeDocument/2006/relationships/hyperlink" Target="https://ec.europa.eu/eurostat/statistics-explained/index.php?title=Glossary:Utilised_agricultural_area_(UAA)" TargetMode="External"/><Relationship Id="rId96" Type="http://schemas.openxmlformats.org/officeDocument/2006/relationships/hyperlink" Target="https://ec.europa.eu/eurostat/statistics-explained/index.php?title=Glossary:Pig" TargetMode="External"/><Relationship Id="rId140" Type="http://schemas.openxmlformats.org/officeDocument/2006/relationships/hyperlink" Target="http://appsso.eurostat.ec.europa.eu/nui/show.do?dataset=aact_eaa05" TargetMode="External"/><Relationship Id="rId145" Type="http://schemas.openxmlformats.org/officeDocument/2006/relationships/hyperlink" Target="http://appsso.eurostat.ec.europa.eu/nui/show.do?dataset=apro_cpnh1" TargetMode="External"/><Relationship Id="rId161" Type="http://schemas.openxmlformats.org/officeDocument/2006/relationships/hyperlink" Target="https://op.europa.eu/en/publication-detail/-/publication/a7281794-7ebe-11ea-aea8-01aa75ed71a1" TargetMode="External"/><Relationship Id="rId166" Type="http://schemas.openxmlformats.org/officeDocument/2006/relationships/hyperlink" Target="https://ec.europa.eu/eurostat/cache/metadata/EN/t2020_rn130_esmsip2.htm" TargetMode="External"/><Relationship Id="rId182" Type="http://schemas.openxmlformats.org/officeDocument/2006/relationships/hyperlink" Target="https://ec.europa.eu/eurostat/cache/metadata/en/t2020_rn310_esmsip2.htm" TargetMode="External"/><Relationship Id="rId187" Type="http://schemas.openxmlformats.org/officeDocument/2006/relationships/hyperlink" Target="http://www.eea.europa.eu/data-and-maps/indicators/nutrients-in-freshwater" TargetMode="External"/><Relationship Id="rId21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ec.europa.eu/food/plants/pesticides/sustainable-use-pesticides/harmonised-risk-indicators/trends-harmonised-risk-0_en" TargetMode="External"/><Relationship Id="rId23" Type="http://schemas.openxmlformats.org/officeDocument/2006/relationships/hyperlink" Target="http://appsso.eurostat.ec.europa.eu/nui/show.do?dataset=reg_area3" TargetMode="External"/><Relationship Id="rId28" Type="http://schemas.openxmlformats.org/officeDocument/2006/relationships/hyperlink" Target="http://appsso.eurostat.ec.europa.eu/nui/show.do?dataset=urt_pjanaggr3&amp;lang=en" TargetMode="External"/><Relationship Id="rId49" Type="http://schemas.openxmlformats.org/officeDocument/2006/relationships/hyperlink" Target="http://appsso.eurostat.ec.europa.eu/nui/show.do?dataset=nama_10_gdp&amp;lang=en" TargetMode="External"/><Relationship Id="rId114" Type="http://schemas.openxmlformats.org/officeDocument/2006/relationships/hyperlink" Target="http://appsso.eurostat.ec.europa.eu/nui/show.do?dataset=lc_lci_lev" TargetMode="External"/><Relationship Id="rId119" Type="http://schemas.openxmlformats.org/officeDocument/2006/relationships/hyperlink" Target="https://agridata.ec.europa.eu/extensions/FarmEconomyFocus/FarmEconomyFocus.html" TargetMode="External"/><Relationship Id="rId44" Type="http://schemas.openxmlformats.org/officeDocument/2006/relationships/hyperlink" Target="https://ec.europa.eu/eurostat/databrowser/view/lfsi_emp_a/default/table?lang=en" TargetMode="External"/><Relationship Id="rId60" Type="http://schemas.openxmlformats.org/officeDocument/2006/relationships/hyperlink" Target="http://appsso.eurostat.ec.europa.eu/nui/show.do?query=BOOKMARK_DS-691825_QID_47FB2C41_UID_-3F171EB0&amp;layout=TIME,C,X,0;GEO,L,Y,0;CURRENCY,L,Z,0;NACE_R2,L,Z,1;TERRTYPO,L,Z,2;INDICATORS,C,Z,3;&amp;zSelection=DS-691825NACE_R2,TOTAL;DS-691825CURRENCY,MIO_EUR;DS-691825INDICATORS,OBS_FLAG;DS-691825TERRTYPO,URB;&amp;rankName1=CURRENCY_1_2_-1_2&amp;rankName2=INDICATORS_1_2_-1_2&amp;rankName3=TERRTYPO_1_2_-1_2&amp;rankName4=NACE-R2_1_2_-1_2&amp;rankName5=TIME_1_0_0_0&amp;rankName6=GEO_1_2_0_1&amp;sortC=ASC_-1_FIRST&amp;rStp=&amp;cStp=&amp;rDCh=&amp;cDCh=&amp;rDM=true&amp;cDM=true&amp;footnes=false&amp;empty=false&amp;wai=false&amp;time_mode=ROLLING&amp;time_most_recent=false&amp;lang=EN&amp;cfo=%23%23%23%2C%23%23%23.%23%23%23" TargetMode="External"/><Relationship Id="rId65" Type="http://schemas.openxmlformats.org/officeDocument/2006/relationships/hyperlink" Target="http://ec.europa.eu/eurostat/web/structural-business-statistics/data/database" TargetMode="External"/><Relationship Id="rId81" Type="http://schemas.openxmlformats.org/officeDocument/2006/relationships/hyperlink" Target="https://www.eea.europa.eu/data-and-maps/data/natura-11" TargetMode="External"/><Relationship Id="rId86" Type="http://schemas.openxmlformats.org/officeDocument/2006/relationships/hyperlink" Target="https://land.copernicus.eu/pan-european/high-resolution-layers" TargetMode="External"/><Relationship Id="rId130" Type="http://schemas.openxmlformats.org/officeDocument/2006/relationships/image" Target="media/image2.wmf"/><Relationship Id="rId135" Type="http://schemas.openxmlformats.org/officeDocument/2006/relationships/image" Target="media/image7.wmf"/><Relationship Id="rId151" Type="http://schemas.openxmlformats.org/officeDocument/2006/relationships/hyperlink" Target="http://eur-lex.europa.eu/legal-content/EN/TXT/PDF/?uri=CELEX:32011R0692&amp;from=EN" TargetMode="External"/><Relationship Id="rId156" Type="http://schemas.openxmlformats.org/officeDocument/2006/relationships/hyperlink" Target="https://appsso.eurostat.ec.europa.eu/nui/show.do?dataset=org_cropar&amp;lang=en" TargetMode="External"/><Relationship Id="rId177" Type="http://schemas.openxmlformats.org/officeDocument/2006/relationships/hyperlink" Target="https://www.ecad.eu/download/ensembles/download.php" TargetMode="External"/><Relationship Id="rId198" Type="http://schemas.openxmlformats.org/officeDocument/2006/relationships/hyperlink" Target="http://appsso.eurostat.ec.europa.eu/nui/show.do?dataset=for_area&amp;lang=en" TargetMode="External"/><Relationship Id="rId172" Type="http://schemas.openxmlformats.org/officeDocument/2006/relationships/hyperlink" Target="http://appsso.eurostat.ec.europa.eu/nui/show.do?dataset=sdg_15_60" TargetMode="External"/><Relationship Id="rId193" Type="http://schemas.openxmlformats.org/officeDocument/2006/relationships/hyperlink" Target="https://ec.europa.eu/eurostat/tgm/table.do?tab=table&amp;init=1&amp;language=en&amp;pcode=sdg_15_50&amp;plugin=1" TargetMode="External"/><Relationship Id="rId202" Type="http://schemas.openxmlformats.org/officeDocument/2006/relationships/hyperlink" Target="https://unfccc.int/process-and-meetings/transparency-and-reporting/reporting-and-review-under-the-convention/greenhouse-gas-inventories-annex-i-parties/national-inventory-submissions-2019" TargetMode="External"/><Relationship Id="rId207" Type="http://schemas.openxmlformats.org/officeDocument/2006/relationships/hyperlink" Target="https://www.eea.europa.eu/data-and-maps/dashboards/necd-directive-data-viewer-1" TargetMode="External"/><Relationship Id="rId13" Type="http://schemas.openxmlformats.org/officeDocument/2006/relationships/hyperlink" Target="http://appsso.eurostat.ec.europa.eu/nui/show.do?wai=true&amp;dataset=demo_gind" TargetMode="External"/><Relationship Id="rId18" Type="http://schemas.openxmlformats.org/officeDocument/2006/relationships/hyperlink" Target="https://ec.europa.eu/eurostat/web/rural-development/methodology" TargetMode="External"/><Relationship Id="rId39" Type="http://schemas.openxmlformats.org/officeDocument/2006/relationships/hyperlink" Target="http://appsso.eurostat.ec.europa.eu/nui/show.do?dataset=lfst_r_ergau" TargetMode="External"/><Relationship Id="rId109" Type="http://schemas.openxmlformats.org/officeDocument/2006/relationships/hyperlink" Target="https://ec.europa.eu/eurostat/databrowser/view/ef_kvftaa/default/table?lang=en" TargetMode="External"/><Relationship Id="rId34" Type="http://schemas.openxmlformats.org/officeDocument/2006/relationships/hyperlink" Target="https://ec.europa.eu/eurostat/web/rural-development/methodology" TargetMode="External"/><Relationship Id="rId50" Type="http://schemas.openxmlformats.org/officeDocument/2006/relationships/hyperlink" Target="http://appsso.eurostat.ec.europa.eu/nui/show.do?dataset=nama_10_pc&amp;lang=en" TargetMode="External"/><Relationship Id="rId55" Type="http://schemas.openxmlformats.org/officeDocument/2006/relationships/hyperlink" Target="http://ec.europa.eu/eurostat/statistics-explained/index.php/Glossary:At-risk-of-poverty_rate" TargetMode="External"/><Relationship Id="rId76" Type="http://schemas.openxmlformats.org/officeDocument/2006/relationships/hyperlink" Target="https://appsso.eurostat.ec.europa.eu/nui/show.do?dataset=apro_cpsh1&amp;lang=en" TargetMode="External"/><Relationship Id="rId97" Type="http://schemas.openxmlformats.org/officeDocument/2006/relationships/hyperlink" Target="https://ec.europa.eu/eurostat/statistics-explained/index.php?title=Glossary:Poultry" TargetMode="External"/><Relationship Id="rId104" Type="http://schemas.openxmlformats.org/officeDocument/2006/relationships/hyperlink" Target="https://ec.europa.eu/eurostat/statistics-explained/index.php?title=Glossary:Goat" TargetMode="External"/><Relationship Id="rId120" Type="http://schemas.openxmlformats.org/officeDocument/2006/relationships/hyperlink" Target="http://appsso.eurostat.ec.europa.eu/nui/show.do?dataset=aact_eaa01&amp;lang=en" TargetMode="External"/><Relationship Id="rId125" Type="http://schemas.openxmlformats.org/officeDocument/2006/relationships/hyperlink" Target="http://appsso.eurostat.ec.europa.eu/nui/show.do?dataset=aact_eaa01&amp;lang=en" TargetMode="External"/><Relationship Id="rId141" Type="http://schemas.openxmlformats.org/officeDocument/2006/relationships/hyperlink" Target="http://appsso.eurostat.ec.europa.eu/nui/show.do?dataset=aact_eaa04" TargetMode="External"/><Relationship Id="rId146" Type="http://schemas.openxmlformats.org/officeDocument/2006/relationships/hyperlink" Target="http://appsso.eurostat.ec.europa.eu/nui/show.do?dataset=apro_cpnh1" TargetMode="External"/><Relationship Id="rId167" Type="http://schemas.openxmlformats.org/officeDocument/2006/relationships/hyperlink" Target="https://pecbms.info/" TargetMode="External"/><Relationship Id="rId188" Type="http://schemas.openxmlformats.org/officeDocument/2006/relationships/hyperlink" Target="https://esdac.jrc.ec.europa.eu/" TargetMode="External"/><Relationship Id="rId7" Type="http://schemas.openxmlformats.org/officeDocument/2006/relationships/styles" Target="styles.xml"/><Relationship Id="rId71" Type="http://schemas.openxmlformats.org/officeDocument/2006/relationships/hyperlink" Target="http://appsso.eurostat.ec.europa.eu/nui/show.do?query=BOOKMARK_DS-1066934_QID_-3A01F522_UID_-3F171EB0&amp;layout=SEX,L,X,0;UNIT,L,X,1;GEO,L,Y,0;FARMTYPE,L,Z,0;SO_EUR,L,Z,1;AGRAREA,L,Z,2;TIME,C,Z,3;WSTATUS,L,Z,4;INDICATORS,C,Z,5;&amp;zSelection=DS-1066934FARMTYPE,TOTAL;DS-1066934WSTATUS,FLF_D_R;DS-1066934SO_EUR,TOTAL;DS-1066934AGRAREA,TOTAL;DS-1066934INDICATORS,OBS_FLAG;DS-1066934TIME,2016;&amp;rankName1=SO-EUR_1_2_-1_2&amp;rankName2=FARMTYPE_1_2_-1_2&amp;rankName3=INDICATORS_1_2_-1_2&amp;rankName4=AGRAREA_1_2_-1_2&amp;rankName5=TIME_1_0_1_0&amp;rankName6=WSTATUS_1_2_1_0&amp;rankName7=SEX_1_2_0_0&amp;rankName8=UNIT_1_2_1_0&amp;rankName9=GEO_1_2_0_1&amp;rStp=&amp;cStp=&amp;rDCh=&amp;cDCh=&amp;rDM=true&amp;cDM=true&amp;footnes=false&amp;empty=false&amp;wai=false&amp;time_mode=NONE&amp;time_most_recent=false&amp;lang=EN&amp;cfo=%23%23%23%2C%23%23%23.%23%23%23" TargetMode="External"/><Relationship Id="rId92" Type="http://schemas.openxmlformats.org/officeDocument/2006/relationships/hyperlink" Target="https://ec.europa.eu/eurostat/statistics-explained/index.php?title=Glossary:Cattle" TargetMode="External"/><Relationship Id="rId162" Type="http://schemas.openxmlformats.org/officeDocument/2006/relationships/hyperlink" Target="https://ec.europa.eu/eurostat/web/agriculture/agri-environmental-indicators" TargetMode="External"/><Relationship Id="rId183" Type="http://schemas.openxmlformats.org/officeDocument/2006/relationships/hyperlink" Target="http://appsso.eurostat.ec.europa.eu/nui/show.do?dataset=aei_pr_gnb&amp;lang=en" TargetMode="External"/><Relationship Id="rId213" Type="http://schemas.openxmlformats.org/officeDocument/2006/relationships/hyperlink" Target="https://ec.europa.eu/food/plants/pesticides/sustainable-use-pesticides/farm-fork-targets-progress_en" TargetMode="External"/><Relationship Id="rId218"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appsso.eurostat.ec.europa.eu/nui/show.do?dataset=demo_pjanbroad&amp;lang=en" TargetMode="External"/><Relationship Id="rId24" Type="http://schemas.openxmlformats.org/officeDocument/2006/relationships/hyperlink" Target="https://appsso.eurostat.ec.europa.eu/nui/show.do?dataset=demo_r_gind3" TargetMode="External"/><Relationship Id="rId40" Type="http://schemas.openxmlformats.org/officeDocument/2006/relationships/hyperlink" Target="http://appsso.eurostat.ec.europa.eu/nui/show.do?query=BOOKMARK_DS-102287_QID_-763C808F_UID_-3F171EB0&amp;layout=TIME,C,X,0;GEO,B,Y,0;SEX,L,Z,0;AGE,L,Z,1;UNIT,L,Z,2;INDICATORS,C,Z,3;&amp;zSelection=DS-102287UNIT,PC;DS-102287SEX,T;DS-102287AGE,Y15-64;DS-102287INDICATORS,OBS_FLAG;&amp;rankName1=UNIT_1_2_-1_2&amp;rankName2=AGE_1_2_-1_2&amp;rankName3=INDICATORS_1_2_-1_2&amp;rankName4=SEX_1_2_-1_2&amp;rankName5=TIME_1_0_0_0&amp;rankName6=GEO_1_2_0_1&amp;sortC=ASC_-1_FIRST&amp;rStp=&amp;cStp=&amp;rDCh=&amp;cDCh=&amp;rDM=true&amp;cDM=true&amp;footnes=false&amp;empty=false&amp;wai=false&amp;time_mode=NONE&amp;time_most_recent=false&amp;lang=EN&amp;cfo=%23%23%23%2C%23%23%23.%23%23%23" TargetMode="External"/><Relationship Id="rId45" Type="http://schemas.openxmlformats.org/officeDocument/2006/relationships/hyperlink" Target="https://appsso.eurostat.ec.europa.eu/nui/show.do?dataset=lfsa_egan22d&amp;lang=en" TargetMode="External"/><Relationship Id="rId66" Type="http://schemas.openxmlformats.org/officeDocument/2006/relationships/hyperlink" Target="http://appsso.eurostat.ec.europa.eu/nui/show.do?dataset=sbs_na_dt_r2" TargetMode="External"/><Relationship Id="rId87" Type="http://schemas.openxmlformats.org/officeDocument/2006/relationships/hyperlink" Target="https://ec.europa.eu/eurostat/statistics-explained/index.php/LUCAS_-_Land_use_and_land_cover_survey" TargetMode="External"/><Relationship Id="rId110" Type="http://schemas.openxmlformats.org/officeDocument/2006/relationships/hyperlink" Target="https://ec.europa.eu/eurostat/databrowser/view/ef_m_farmleg/default/table?lang=en" TargetMode="External"/><Relationship Id="rId115" Type="http://schemas.openxmlformats.org/officeDocument/2006/relationships/hyperlink" Target="http://appsso.eurostat.ec.europa.eu/nui/show.do?dataset=aact_eaa01" TargetMode="External"/><Relationship Id="rId131" Type="http://schemas.openxmlformats.org/officeDocument/2006/relationships/image" Target="media/image3.wmf"/><Relationship Id="rId136" Type="http://schemas.openxmlformats.org/officeDocument/2006/relationships/image" Target="media/image8.wmf"/><Relationship Id="rId157" Type="http://schemas.openxmlformats.org/officeDocument/2006/relationships/hyperlink" Target="https://appsso.eurostat.ec.europa.eu/nui/show.do?query=BOOKMARK_DS-866366_QID_-1380F3CD_UID_-3F171EB0&amp;layout=CROPS,L,X,0;GEO,L,Y,0;TIME,C,Z,0;FARMTYPE,L,Z,1;SO_EUR,L,Z,2;UNIT,L,Z,3;AGRAREA,L,Z,4;INDICATORS,C,Z,5;&amp;zSelection=DS-866366SO_EUR,TOTAL;DS-866366TIME,2016;DS-866366FARMTYPE,TOTAL;DS-866366INDICATORS,OBS_FLAG;DS-866366AGRAREA,TOTAL;DS-866366UNIT,HLD;&amp;rankName1=TIME_1_1_-1_2&amp;rankName2=UNIT_1_2_-1_2&amp;rankName3=SO-EUR_1_2_-1_2&amp;rankName4=FARMTYPE_1_2_-1_2&amp;rankName5=INDICATORS_1_2_-1_2&amp;rankName6=AGRAREA_1_2_-1_2&amp;rankName7=CROPS_1_2_0_0&amp;rankName8=GEO_1_2_0_1&amp;rStp=&amp;cStp=&amp;rDCh=&amp;cDCh=&amp;rDM=true&amp;cDM=true&amp;footnes=false&amp;empty=false&amp;wai=false&amp;time_mode=NONE&amp;time_most_recent=false&amp;lang=EN&amp;cfo=%23%23%23%2C%23%23%23.%23%23%23" TargetMode="External"/><Relationship Id="rId178" Type="http://schemas.openxmlformats.org/officeDocument/2006/relationships/hyperlink" Target="https://www.knmi.nl/over-het-knmi/about" TargetMode="External"/><Relationship Id="rId61" Type="http://schemas.openxmlformats.org/officeDocument/2006/relationships/hyperlink" Target="http://appsso.eurostat.ec.europa.eu/nui/show.do?dataset=nama_10r_3gva" TargetMode="External"/><Relationship Id="rId82" Type="http://schemas.openxmlformats.org/officeDocument/2006/relationships/hyperlink" Target="https://www.eea.europa.eu/data-and-maps/figures/natura-2000-birds-and-habitat-directives-11" TargetMode="External"/><Relationship Id="rId152" Type="http://schemas.openxmlformats.org/officeDocument/2006/relationships/hyperlink" Target="http://appsso.eurostat.ec.europa.eu/nui/show.do?dataset=tour_cap_natd&amp;lang=enhttp://appsso.eurostat.ec.europa.eu/nui/show.do?dataset=tour_cap_natd&amp;lang=en" TargetMode="External"/><Relationship Id="rId173" Type="http://schemas.openxmlformats.org/officeDocument/2006/relationships/hyperlink" Target="https://www.eea.europa.eu/themes/biodiversity/state-of-nature-in-the-eu/state-of-nature-2020" TargetMode="External"/><Relationship Id="rId194" Type="http://schemas.openxmlformats.org/officeDocument/2006/relationships/hyperlink" Target="https://appsso.eurostat.ec.europa.eu/nui/show.do?dataset=nrg_bal_s&amp;lang=en" TargetMode="External"/><Relationship Id="rId199" Type="http://schemas.openxmlformats.org/officeDocument/2006/relationships/hyperlink" Target="https://ec.europa.eu/eurostat/databrowser/view/apro_cpsh1/default/table?lang=en" TargetMode="External"/><Relationship Id="rId203" Type="http://schemas.openxmlformats.org/officeDocument/2006/relationships/hyperlink" Target="http://di.unfccc.int/time_series" TargetMode="External"/><Relationship Id="rId208" Type="http://schemas.openxmlformats.org/officeDocument/2006/relationships/hyperlink" Target="https://ec.europa.eu/eurostat/databrowser/view/tai07/default/table?lang=en" TargetMode="External"/><Relationship Id="rId19" Type="http://schemas.openxmlformats.org/officeDocument/2006/relationships/hyperlink" Target="https://eur-lex.europa.eu/legal-content/EN/TXT/PDF/?uri=CELEX:32013R1260&amp;from=EN" TargetMode="External"/><Relationship Id="R1e16c395621e4a72" Type="http://schemas.microsoft.com/office/2016/09/relationships/commentsIds" Target="commentsIds.xml"/><Relationship Id="Rf68e29ed4ece4971" Type="http://schemas.microsoft.com/office/2018/08/relationships/commentsExtensible" Target="commentsExtensible.xml"/><Relationship Id="rId14" Type="http://schemas.openxmlformats.org/officeDocument/2006/relationships/hyperlink" Target="http://appsso.eurostat.ec.europa.eu/nui/show.do?query=BOOKMARK_DS-054198_QID_7F7B955A_UID_-3F171EB0&amp;layout=TIME,C,X,0;GEO,L,Y,0;AGE,L,Z,0;SEX,L,Z,1;UNIT,L,Z,2;INDICATORS,C,Z,3;&amp;zSelection=DS-054198AGE,TOTAL;DS-054198SEX,T;DS-054198INDICATORS,OBS_FLAG;DS-054198UNIT,NR;&amp;rankName1=UNIT_1_2_-1_2&amp;rankName2=AGE_1_2_-1_2&amp;rankName3=INDICATORS_1_2_-1_2&amp;rankName4=SEX_1_2_-1_2&amp;rankName5=TIME_1_0_0_0&amp;rankName6=GEO_1_2_0_1&amp;ppcRK=FIRST&amp;ppcSO=ASC&amp;sortC=ASC_-1_FIRST&amp;rStp=&amp;cStp=&amp;rDCh=&amp;cDCh=&amp;rDM=true&amp;cDM=true&amp;footnes=false&amp;empty=false&amp;wai=false&amp;time_mode=ROLLING&amp;time_most_recent=true&amp;lang=EN&amp;cfo=%23%23%23%2C%23%23%23.%23%23%23" TargetMode="External"/><Relationship Id="rId30" Type="http://schemas.openxmlformats.org/officeDocument/2006/relationships/hyperlink" Target="http://appsso.eurostat.ec.europa.eu/nui/show.do?dataset=demo_r_pjangrp3" TargetMode="External"/><Relationship Id="rId35" Type="http://schemas.openxmlformats.org/officeDocument/2006/relationships/hyperlink" Target="https://www.eea.europa.eu/data-and-maps/data/copernicus-land-monitoring-service-corine" TargetMode="External"/><Relationship Id="rId56" Type="http://schemas.openxmlformats.org/officeDocument/2006/relationships/hyperlink" Target="http://appsso.eurostat.ec.europa.eu/nui/show.do?dataset=ilc_peps01&amp;lang=en" TargetMode="External"/><Relationship Id="rId77" Type="http://schemas.openxmlformats.org/officeDocument/2006/relationships/hyperlink" Target="https://appsso.eurostat.ec.europa.eu/nui/show.do?dataset=apro_cpshr&amp;lang=en" TargetMode="External"/><Relationship Id="rId100" Type="http://schemas.openxmlformats.org/officeDocument/2006/relationships/hyperlink" Target="https://ec.europa.eu/eurostat/statistics-explained/index.php?title=Glossary:Grazing_livestock_density_index" TargetMode="External"/><Relationship Id="rId105" Type="http://schemas.openxmlformats.org/officeDocument/2006/relationships/hyperlink" Target="https://ec.europa.eu/eurostat/statistics-explained/index.php?title=Glossary:Equidae" TargetMode="External"/><Relationship Id="rId126" Type="http://schemas.openxmlformats.org/officeDocument/2006/relationships/hyperlink" Target="http://appsso.eurostat.ec.europa.eu/nui/show.do?dataset=nama_10r_2gfcf" TargetMode="External"/><Relationship Id="rId147" Type="http://schemas.openxmlformats.org/officeDocument/2006/relationships/hyperlink" Target="http://appsso.eurostat.ec.europa.eu/nui/show.do?dataset=nama_10_a64" TargetMode="External"/><Relationship Id="rId168" Type="http://schemas.openxmlformats.org/officeDocument/2006/relationships/hyperlink" Target="http://appsso.eurostat.ec.europa.eu/nui/show.do?dataset=ENV_BIO2&amp;lang=en" TargetMode="External"/><Relationship Id="rId8" Type="http://schemas.openxmlformats.org/officeDocument/2006/relationships/settings" Target="settings.xml"/><Relationship Id="rId51" Type="http://schemas.openxmlformats.org/officeDocument/2006/relationships/hyperlink" Target="http://appsso.eurostat.ec.europa.eu/nui/show.do?dataset=nama_10r_3popgdp&amp;lang=en" TargetMode="External"/><Relationship Id="rId72" Type="http://schemas.openxmlformats.org/officeDocument/2006/relationships/hyperlink" Target="https://appsso.eurostat.ec.europa.eu/nui/show.do?query=BOOKMARK_DS-1066934_QID_-56C7D147_UID_-3F171EB0&amp;layout=UNIT,L,X,0;GEO,L,Y,0;FARMTYPE,L,Z,0;SO_EUR,L,Z,1;AGRAREA,L,Z,2;SEX,L,Z,3;TIME,C,Z,4;WSTATUS,L,Z,5;INDICATORS,C,Z,6;&amp;zSelection=DS-1066934FARMTYPE,TOTAL;DS-1066934WSTATUS,TOTAL;DS-1066934SO_EUR,TOTAL;DS-1066934AGRAREA,TOTAL;DS-1066934INDICATORS,OBS_FLAG;DS-1066934TIME,2016;DS-1066934SEX,T;&amp;rankName1=TIME_1_0_-1_2&amp;rankName2=SO-EUR_1_2_-1_2&amp;rankName3=FARMTYPE_1_2_-1_2&amp;rankName4=INDICATORS_1_2_-1_2&amp;rankName5=AGRAREA_1_2_-1_2&amp;rankName6=WSTATUS_1_2_1_0&amp;rankName7=SEX_1_2_0_0&amp;rankName8=UNIT_1_2_0_0&amp;rankName9=GEO_1_2_0_1&amp;rStp=&amp;cStp=&amp;rDCh=&amp;cDCh=&amp;rDM=true&amp;cDM=true&amp;footnes=false&amp;empty=false&amp;wai=false&amp;time_mode=FIXED&amp;time_most_recent=true&amp;lang=EN&amp;cfo=%23%23%23%2C%23%23%23.%23%23%23" TargetMode="External"/><Relationship Id="rId93" Type="http://schemas.openxmlformats.org/officeDocument/2006/relationships/hyperlink" Target="https://ec.europa.eu/eurostat/statistics-explained/index.php?title=Glossary:Sheep" TargetMode="External"/><Relationship Id="rId98" Type="http://schemas.openxmlformats.org/officeDocument/2006/relationships/hyperlink" Target="https://ec.europa.eu/eurostat/statistics-explained/index.php?title=Glossary:Livestock_unit_(LSU)" TargetMode="External"/><Relationship Id="rId121" Type="http://schemas.openxmlformats.org/officeDocument/2006/relationships/hyperlink" Target="http://appsso.eurostat.ec.europa.eu/nui/show.do?dataset=aact_eaa05" TargetMode="External"/><Relationship Id="rId142" Type="http://schemas.openxmlformats.org/officeDocument/2006/relationships/hyperlink" Target="http://appsso.eurostat.ec.europa.eu/nui/show.do?dataset=aact_ali01" TargetMode="External"/><Relationship Id="rId163" Type="http://schemas.openxmlformats.org/officeDocument/2006/relationships/hyperlink" Target="http://ec.europa.eu/eurostat/web/sdi/indicators/natural-resources" TargetMode="External"/><Relationship Id="rId184" Type="http://schemas.openxmlformats.org/officeDocument/2006/relationships/hyperlink" Target="https://ec.europa.eu/eurostat/cache/metadata/en/t2020_rn310_esmsip2.htm" TargetMode="External"/><Relationship Id="rId189" Type="http://schemas.openxmlformats.org/officeDocument/2006/relationships/hyperlink" Target="https://ec.europa.eu/eurostat/statistics-explained/index.php/Agri-environmental_indicator_-_soil_erosion" TargetMode="External"/><Relationship Id="rId219" Type="http://schemas.openxmlformats.org/officeDocument/2006/relationships/header" Target="header2.xml"/><Relationship Id="rId3" Type="http://schemas.openxmlformats.org/officeDocument/2006/relationships/customXml" Target="../customXml/item3.xml"/><Relationship Id="rId214" Type="http://schemas.openxmlformats.org/officeDocument/2006/relationships/hyperlink" Target="https://appsso.eurostat.ec.europa.eu/nui/show.do?dataset=aei_fm_salpest09&amp;lang=en" TargetMode="External"/><Relationship Id="rId25" Type="http://schemas.openxmlformats.org/officeDocument/2006/relationships/hyperlink" Target="http://appsso.eurostat.ec.europa.eu/nui/show.do?dataset=demo_r_d3area&amp;lang=en" TargetMode="External"/><Relationship Id="rId46" Type="http://schemas.openxmlformats.org/officeDocument/2006/relationships/hyperlink" Target="http://appsso.eurostat.ec.europa.eu/nui/show.do?dataset=nama_10r_3empers&amp;lang=en" TargetMode="External"/><Relationship Id="rId67" Type="http://schemas.openxmlformats.org/officeDocument/2006/relationships/hyperlink" Target="http://ec.europa.eu/eurostat/web/structural-business-statistics/data/database" TargetMode="External"/><Relationship Id="rId116" Type="http://schemas.openxmlformats.org/officeDocument/2006/relationships/hyperlink" Target="http://appsso.eurostat.ec.europa.eu/nui/show.do?dataset=aact_ali01" TargetMode="External"/><Relationship Id="rId137" Type="http://schemas.openxmlformats.org/officeDocument/2006/relationships/image" Target="media/image9.wmf"/><Relationship Id="rId158" Type="http://schemas.openxmlformats.org/officeDocument/2006/relationships/hyperlink" Target="https://agridata.ec.europa.eu/extensions/FarmEconomyFocus/FarmEconomyFocus.html" TargetMode="External"/><Relationship Id="rId20" Type="http://schemas.openxmlformats.org/officeDocument/2006/relationships/hyperlink" Target="http://appsso.eurostat.ec.europa.eu/nui/show.do?dataset=demo_r_d3dens&amp;lang=en" TargetMode="External"/><Relationship Id="rId41" Type="http://schemas.openxmlformats.org/officeDocument/2006/relationships/hyperlink" Target="https://ec.europa.eu/eurostat/databrowser/view/LFST_R_URGAU__custom_274568/default/table?lang=en" TargetMode="External"/><Relationship Id="rId62" Type="http://schemas.openxmlformats.org/officeDocument/2006/relationships/hyperlink" Target="http://appsso.eurostat.ec.europa.eu/nui/show.do?dataset=aact_eaa01" TargetMode="External"/><Relationship Id="rId83" Type="http://schemas.openxmlformats.org/officeDocument/2006/relationships/hyperlink" Target="https://www.eea.europa.eu/data-and-maps/data/natura2000-clc-by-nuts" TargetMode="External"/><Relationship Id="rId88" Type="http://schemas.openxmlformats.org/officeDocument/2006/relationships/hyperlink" Target="https://appsso.eurostat.ec.europa.eu/nui/show.do?dataset=ef_lsk_main&amp;lang=en" TargetMode="External"/><Relationship Id="rId111" Type="http://schemas.openxmlformats.org/officeDocument/2006/relationships/hyperlink" Target="http://appsso.eurostat.ec.europa.eu/nui/show.do?dataset=aact_eaa04" TargetMode="External"/><Relationship Id="rId132" Type="http://schemas.openxmlformats.org/officeDocument/2006/relationships/image" Target="media/image4.wmf"/><Relationship Id="rId153" Type="http://schemas.openxmlformats.org/officeDocument/2006/relationships/hyperlink" Target="http://appsso.eurostat.ec.europa.eu/nui/show.do?dataset=tour_cap_nuts2d&amp;lang=en" TargetMode="External"/><Relationship Id="rId174" Type="http://schemas.openxmlformats.org/officeDocument/2006/relationships/hyperlink" Target="https://rod.eionet.europa.eu/obligations/184" TargetMode="External"/><Relationship Id="rId179" Type="http://schemas.openxmlformats.org/officeDocument/2006/relationships/hyperlink" Target="http://ec.europa.eu/eurostat/statistics-explained/index.php/Agri-environmental_indicator_-_gross_nitrogen_balance" TargetMode="External"/><Relationship Id="rId195" Type="http://schemas.openxmlformats.org/officeDocument/2006/relationships/hyperlink" Target="https://appsso.eurostat.ec.europa.eu/nui/show.do?dataset=nrg_bal_s&amp;lang=en" TargetMode="External"/><Relationship Id="rId209" Type="http://schemas.openxmlformats.org/officeDocument/2006/relationships/hyperlink" Target="https://esvacbi.ema.europa.eu/analytics/saw.dll?PortalPages" TargetMode="External"/><Relationship Id="rId190" Type="http://schemas.openxmlformats.org/officeDocument/2006/relationships/hyperlink" Target="https://ec.europa.eu/eurostat/statistics-explained/index.php?title=SDG_15_-_Life_on_land_(statistical_annex)" TargetMode="External"/><Relationship Id="rId204" Type="http://schemas.openxmlformats.org/officeDocument/2006/relationships/hyperlink" Target="http://ec.europa.eu/eurostat/product?mode=view&amp;code=env_air_gge" TargetMode="External"/><Relationship Id="rId220" Type="http://schemas.openxmlformats.org/officeDocument/2006/relationships/fontTable" Target="fontTable.xml"/><Relationship Id="rId15" Type="http://schemas.openxmlformats.org/officeDocument/2006/relationships/hyperlink" Target="http://appsso.eurostat.ec.europa.eu/nui/show.do?wai=true&amp;dataset=urt_gind3" TargetMode="External"/><Relationship Id="rId36" Type="http://schemas.openxmlformats.org/officeDocument/2006/relationships/hyperlink" Target="https://land.copernicus.eu/pan-european/corine-land-cover/clc2018" TargetMode="External"/><Relationship Id="rId57" Type="http://schemas.openxmlformats.org/officeDocument/2006/relationships/hyperlink" Target="http://appsso.eurostat.ec.europa.eu/nui/show.do?dataset=ilc_peps13&amp;lang=en" TargetMode="External"/><Relationship Id="rId106" Type="http://schemas.openxmlformats.org/officeDocument/2006/relationships/hyperlink" Target="https://ec.europa.eu/eurostat/statistics-explained/index.php?title=Glossary:Arable_land" TargetMode="External"/><Relationship Id="rId127" Type="http://schemas.openxmlformats.org/officeDocument/2006/relationships/hyperlink" Target="http://appsso.eurostat.ec.europa.eu/nui/show.do?dataset=aact_eaa01&amp;lang=en" TargetMode="External"/><Relationship Id="rId10" Type="http://schemas.openxmlformats.org/officeDocument/2006/relationships/footnotes" Target="footnotes.xml"/><Relationship Id="rId31" Type="http://schemas.openxmlformats.org/officeDocument/2006/relationships/hyperlink" Target="http://appsso.eurostat.ec.europa.eu/nui/show.do?dataset=reg_area3&amp;lang=en" TargetMode="External"/><Relationship Id="rId52" Type="http://schemas.openxmlformats.org/officeDocument/2006/relationships/hyperlink" Target="http://appsso.eurostat.ec.europa.eu/nui/show.do?dataset=nama_10r_3gdp&amp;lang=en" TargetMode="External"/><Relationship Id="rId73" Type="http://schemas.openxmlformats.org/officeDocument/2006/relationships/hyperlink" Target="http://appsso.eurostat.ec.europa.eu/nui/show.do?query=BOOKMARK_DS-763823_QID_6420C86B_UID_-3F171EB0&amp;layout=INDIC_AGR,L,X,0;GEO,L,Y,0;AGE,L,Z,0;SEX,L,Z,1;FARMTYPE,L,Z,2;SO_EUR,L,Z,3;AGRAREA,L,Z,4;TIME,C,Z,5;INDICATORS,C,Z,6;&amp;zSelection=DS-763823SEX,T;DS-763823FARMTYPE,TOTAL;DS-763823AGE,TOTAL;DS-763823INDICATORS,OBS_FLAG;DS-763823TIME,2016;DS-763823AGRAREA,TOTAL;DS-763823SO_EUR,TOTAL;&amp;rankName1=TIME_1_1_-1_2&amp;rankName2=GEO_1_2_0_1&amp;rankName3=SO-EUR_1_2_-1_2&amp;rankName4=AGE_1_2_-1_2&amp;rankName5=INDIC-AGR_1_2_0_0&amp;rankName6=FARMTYPE_1_2_-1_2&amp;rankName7=INDICATORS_1_2_-1_2&amp;rankName8=SEX_1_2_-1_2&amp;rankName9=AGRAREA_1_2_-1_2&amp;rStp=&amp;cStp=&amp;rDCh=&amp;cDCh=&amp;rDM=true&amp;cDM=true&amp;footnes=false&amp;empty=false&amp;wai=false&amp;time_mode=NONE&amp;time_most_recent=false&amp;lang=EN&amp;cfo=%23%23%23%2C%23%23%23.%23%23%23" TargetMode="External"/><Relationship Id="rId78" Type="http://schemas.openxmlformats.org/officeDocument/2006/relationships/hyperlink" Target="https://appsso.eurostat.ec.europa.eu/nui/show.do?dataset=ef_mp_irri" TargetMode="External"/><Relationship Id="rId94" Type="http://schemas.openxmlformats.org/officeDocument/2006/relationships/hyperlink" Target="https://ec.europa.eu/eurostat/statistics-explained/index.php?title=Glossary:Goat" TargetMode="External"/><Relationship Id="rId99" Type="http://schemas.openxmlformats.org/officeDocument/2006/relationships/hyperlink" Target="https://ec.europa.eu/eurostat/statistics-explained/index.php?title=Glossary:Utilised_agricultural_area_(UAA)" TargetMode="External"/><Relationship Id="rId101" Type="http://schemas.openxmlformats.org/officeDocument/2006/relationships/hyperlink" Target="https://ec.europa.eu/eurostat/statistics-explained/index.php?title=Glossary:Fodder_area" TargetMode="External"/><Relationship Id="rId122" Type="http://schemas.openxmlformats.org/officeDocument/2006/relationships/hyperlink" Target="http://appsso.eurostat.ec.europa.eu/nui/show.do?dataset=aact_eaa07" TargetMode="External"/><Relationship Id="rId143" Type="http://schemas.openxmlformats.org/officeDocument/2006/relationships/hyperlink" Target="http://appsso.eurostat.ec.europa.eu/nui/show.do?dataset=aact_ali01" TargetMode="External"/><Relationship Id="rId148" Type="http://schemas.openxmlformats.org/officeDocument/2006/relationships/hyperlink" Target="http://appsso.eurostat.ec.europa.eu/nui/show.do?dataset=nama_10_a64" TargetMode="External"/><Relationship Id="rId164" Type="http://schemas.openxmlformats.org/officeDocument/2006/relationships/hyperlink" Target="https://ec.europa.eu/eurostat/statistics-explained/index.php?title=SDG_15_-_Life_on_land_(statistical_annex)" TargetMode="External"/><Relationship Id="rId169" Type="http://schemas.openxmlformats.org/officeDocument/2006/relationships/hyperlink" Target="file:///\\net1.cec.eu.int\AGRI\Public\PMEF_WG\Fiches\FICHES%20LATEST%20OFFICIAL%20VERSIONS\Fiches2022\1AprilMeeting\Statistics%20|%20Eurostat%20(europa.eu)" TargetMode="External"/><Relationship Id="rId185" Type="http://schemas.openxmlformats.org/officeDocument/2006/relationships/hyperlink" Target="https://ec.europa.eu/eurostat/statistics-explained/index.php?title=Archive:Agri-environmental_indicator_-_nitrate_pollution_of_water"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appsso.eurostat.ec.europa.eu/nui/show.do?dataset=aei_pr_gnb&amp;lang=en" TargetMode="External"/><Relationship Id="rId210" Type="http://schemas.openxmlformats.org/officeDocument/2006/relationships/hyperlink" Target="http://www.ema.europa.eu/ema/index.jsp?curl=pages/regulation/document_listing/document_listing_000302.jsp" TargetMode="External"/><Relationship Id="rId215" Type="http://schemas.openxmlformats.org/officeDocument/2006/relationships/hyperlink" Target="https://ec.europa.eu/food/plant/pesticides/sustainable_use_pesticides/harmonised-risk-indicators_en" TargetMode="External"/><Relationship Id="rId26" Type="http://schemas.openxmlformats.org/officeDocument/2006/relationships/hyperlink" Target="https://ec.europa.eu/eurostat/web/rural-development/methodology" TargetMode="External"/><Relationship Id="rId47" Type="http://schemas.openxmlformats.org/officeDocument/2006/relationships/hyperlink" Target="http://appsso.eurostat.ec.europa.eu/nui/show.do?dataset=lfst_r_lfe2en2&amp;lang=en" TargetMode="External"/><Relationship Id="rId68" Type="http://schemas.openxmlformats.org/officeDocument/2006/relationships/hyperlink" Target="https://appsso.eurostat.ec.europa.eu/nui/show.do?dataset=sbs_na_1a_se_r2" TargetMode="External"/><Relationship Id="rId89" Type="http://schemas.openxmlformats.org/officeDocument/2006/relationships/hyperlink" Target="http://data.europa.eu/eli/reg/2018/1091/oj" TargetMode="External"/><Relationship Id="rId112" Type="http://schemas.openxmlformats.org/officeDocument/2006/relationships/hyperlink" Target="http://appsso.eurostat.ec.europa.eu/nui/show.do?dataset=aact_ali01" TargetMode="External"/><Relationship Id="rId133" Type="http://schemas.openxmlformats.org/officeDocument/2006/relationships/image" Target="media/image5.wmf"/><Relationship Id="rId154" Type="http://schemas.openxmlformats.org/officeDocument/2006/relationships/hyperlink" Target="https://eur-lex.europa.eu/legal-content/EN/TXT/PDF/?uri=CELEX:32007R0834&amp;from=EN" TargetMode="External"/><Relationship Id="rId175" Type="http://schemas.openxmlformats.org/officeDocument/2006/relationships/hyperlink" Target="https://ec.europa.eu/eurostat/databrowser/view/sdg_06_60/default/table?lang=en" TargetMode="External"/><Relationship Id="rId196" Type="http://schemas.openxmlformats.org/officeDocument/2006/relationships/hyperlink" Target="https://appsso.eurostat.ec.europa.eu/nui/show.do?dataset=nrg_bal_s&amp;lang=en" TargetMode="External"/><Relationship Id="rId200" Type="http://schemas.openxmlformats.org/officeDocument/2006/relationships/hyperlink" Target="https://ec.europa.eu/eurostat/databrowser/view/ef_lsk_main/default/table?lang=en" TargetMode="External"/><Relationship Id="rId16" Type="http://schemas.openxmlformats.org/officeDocument/2006/relationships/hyperlink" Target="http://appsso.eurostat.ec.europa.eu/nui/show.do?wai=true&amp;dataset=demo_r_gind3" TargetMode="External"/><Relationship Id="rId221" Type="http://schemas.openxmlformats.org/officeDocument/2006/relationships/theme" Target="theme/theme1.xml"/><Relationship Id="rId37" Type="http://schemas.openxmlformats.org/officeDocument/2006/relationships/hyperlink" Target="https://land.copernicus.eu/pan-european/corine-land-cover/lcc-2012-2018" TargetMode="External"/><Relationship Id="rId58" Type="http://schemas.openxmlformats.org/officeDocument/2006/relationships/hyperlink" Target="http://appsso.eurostat.ec.europa.eu/nui/show.do?dataset=ilc_peps11&amp;lang=en" TargetMode="External"/><Relationship Id="rId79" Type="http://schemas.openxmlformats.org/officeDocument/2006/relationships/hyperlink" Target="https://appsso.eurostat.ec.europa.eu/nui/show.do?dataset=aei_ef_ir&amp;lang=en" TargetMode="External"/><Relationship Id="rId102" Type="http://schemas.openxmlformats.org/officeDocument/2006/relationships/hyperlink" Target="https://ec.europa.eu/eurostat/statistics-explained/index.php?title=Glossary:Cattle" TargetMode="External"/><Relationship Id="rId123" Type="http://schemas.openxmlformats.org/officeDocument/2006/relationships/hyperlink" Target="http://appsso.eurostat.ec.europa.eu/nui/show.do?dataset=nama_10r_3gva&amp;lang=en" TargetMode="External"/><Relationship Id="rId144" Type="http://schemas.openxmlformats.org/officeDocument/2006/relationships/hyperlink" Target="http://appsso.eurostat.ec.europa.eu/nui/show.do?dataset=ef_mptenure" TargetMode="External"/><Relationship Id="rId90" Type="http://schemas.openxmlformats.org/officeDocument/2006/relationships/hyperlink" Target="https://ec.europa.eu/eurostat/statistics-explained/index.php?title=Glossary:Livestock_density_index" TargetMode="External"/><Relationship Id="rId165" Type="http://schemas.openxmlformats.org/officeDocument/2006/relationships/hyperlink" Target="https://pecbms.info/methods/" TargetMode="External"/><Relationship Id="rId186" Type="http://schemas.openxmlformats.org/officeDocument/2006/relationships/hyperlink" Target="https://www.eea.europa.eu/data-and-maps/indicators/nutrients-in-freshwater/nutrients-in-freshwater-assessment-published-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publications/state-of-nature-in-the-eu" TargetMode="External"/><Relationship Id="rId3" Type="http://schemas.openxmlformats.org/officeDocument/2006/relationships/hyperlink" Target="https://ec.europa.eu/eurostat/statistics-explained/index.php/Wages_and_labour_costs" TargetMode="External"/><Relationship Id="rId7" Type="http://schemas.openxmlformats.org/officeDocument/2006/relationships/hyperlink" Target="http://ec.europa.eu/environment/nature/natura2000/management/docs/FARMING%20FOR%20NATURA%202000-final%20guidance.pdf" TargetMode="External"/><Relationship Id="rId2" Type="http://schemas.openxmlformats.org/officeDocument/2006/relationships/hyperlink" Target="https://ec.europa.eu/eurostat/statistics-explained/index.php/Glossary:Livestock_unit_(LSU)" TargetMode="External"/><Relationship Id="rId1" Type="http://schemas.openxmlformats.org/officeDocument/2006/relationships/hyperlink" Target="http://epp.eurostat.ec.europa.eu/statistics_explained/index.php/Glossary:Purchasing_power_parities_(PPPs)" TargetMode="External"/><Relationship Id="rId6" Type="http://schemas.openxmlformats.org/officeDocument/2006/relationships/hyperlink" Target="https://agridata.ec.europa.eu/extensions/FarmEconomyFocus/FarmEconomyFocus.html" TargetMode="External"/><Relationship Id="rId5" Type="http://schemas.openxmlformats.org/officeDocument/2006/relationships/hyperlink" Target="https://ec.europa.eu/eurostat/data/database" TargetMode="External"/><Relationship Id="rId10" Type="http://schemas.openxmlformats.org/officeDocument/2006/relationships/hyperlink" Target="https://eur-lex.europa.eu/eli/reg/2009/1107/oj" TargetMode="External"/><Relationship Id="rId4" Type="http://schemas.openxmlformats.org/officeDocument/2006/relationships/hyperlink" Target="https://ec.europa.eu/eurostat/web/agriculture/methodology" TargetMode="External"/><Relationship Id="rId9" Type="http://schemas.openxmlformats.org/officeDocument/2006/relationships/hyperlink" Target="https://ec.europa.eu/eurostat/statistics-explained/index.php/Glossary:Tonnes_of_oil_equivalent_(t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61CDEE72A644C89B9A1DF04C47A1E" ma:contentTypeVersion="6" ma:contentTypeDescription="Create a new document." ma:contentTypeScope="" ma:versionID="e2122f176229278798501e371f45e6f2">
  <xsd:schema xmlns:xsd="http://www.w3.org/2001/XMLSchema" xmlns:xs="http://www.w3.org/2001/XMLSchema" xmlns:p="http://schemas.microsoft.com/office/2006/metadata/properties" xmlns:ns2="e6ee3247-8b46-474f-a038-b5373d9ae335" xmlns:ns3="efd8db94-863d-4aa7-920c-2a11bce3e61a" targetNamespace="http://schemas.microsoft.com/office/2006/metadata/properties" ma:root="true" ma:fieldsID="d374ad17730ca69810bacc006fbefe4b" ns2:_="" ns3:_="">
    <xsd:import namespace="e6ee3247-8b46-474f-a038-b5373d9ae335"/>
    <xsd:import namespace="efd8db94-863d-4aa7-920c-2a11bce3e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3247-8b46-474f-a038-b5373d9a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db94-863d-4aa7-920c-2a11bce3e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2873-3130-40CE-9549-33A3D3178B6F}">
  <ds:schemaRefs>
    <ds:schemaRef ds:uri="efd8db94-863d-4aa7-920c-2a11bce3e6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ee3247-8b46-474f-a038-b5373d9ae335"/>
    <ds:schemaRef ds:uri="http://www.w3.org/XML/1998/namespace"/>
    <ds:schemaRef ds:uri="http://purl.org/dc/dcmitype/"/>
  </ds:schemaRefs>
</ds:datastoreItem>
</file>

<file path=customXml/itemProps2.xml><?xml version="1.0" encoding="utf-8"?>
<ds:datastoreItem xmlns:ds="http://schemas.openxmlformats.org/officeDocument/2006/customXml" ds:itemID="{565CB556-AC3C-430B-B5ED-BA88B6B65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e3247-8b46-474f-a038-b5373d9ae335"/>
    <ds:schemaRef ds:uri="efd8db94-863d-4aa7-920c-2a11bce3e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05012-7A7B-4E9E-B1BE-44A4812B0F56}">
  <ds:schemaRefs>
    <ds:schemaRef ds:uri="http://schemas.microsoft.com/sharepoint/v3/contenttype/forms"/>
  </ds:schemaRefs>
</ds:datastoreItem>
</file>

<file path=customXml/itemProps4.xml><?xml version="1.0" encoding="utf-8"?>
<ds:datastoreItem xmlns:ds="http://schemas.openxmlformats.org/officeDocument/2006/customXml" ds:itemID="{EBF31F59-73F0-4654-8937-579C69445FCD}">
  <ds:schemaRefs>
    <ds:schemaRef ds:uri="http://schemas.microsoft.com/office/2006/metadata/longProperties"/>
  </ds:schemaRefs>
</ds:datastoreItem>
</file>

<file path=customXml/itemProps5.xml><?xml version="1.0" encoding="utf-8"?>
<ds:datastoreItem xmlns:ds="http://schemas.openxmlformats.org/officeDocument/2006/customXml" ds:itemID="{691B03FC-9497-40F6-924D-9995825B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31915</Words>
  <Characters>181916</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Context and Impact indicators</vt:lpstr>
    </vt:vector>
  </TitlesOfParts>
  <Company/>
  <LinksUpToDate>false</LinksUpToDate>
  <CharactersWithSpaces>213405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and Impact indicators</dc:title>
  <dc:subject/>
  <dc:creator>LAPKOWSKA - ZARZYCKA Elzbieta (AGRI)</dc:creator>
  <cp:keywords/>
  <dc:description/>
  <cp:lastModifiedBy>CAMINITI Antonino (AGRI)</cp:lastModifiedBy>
  <cp:revision>3</cp:revision>
  <dcterms:created xsi:type="dcterms:W3CDTF">2023-02-09T16:06:00Z</dcterms:created>
  <dcterms:modified xsi:type="dcterms:W3CDTF">2023-02-09T16:07:00Z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0x01010089561CDEE72A644C89B9A1DF04C47A1E</vt:lpwstr>
  </property>
</Properties>
</file>